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273" w14:textId="77777777" w:rsidR="005A3D76" w:rsidRPr="00EB6636" w:rsidRDefault="005A3D76" w:rsidP="008A1F47">
      <w:pPr>
        <w:pStyle w:val="Nagwek1"/>
        <w:spacing w:before="0" w:line="240" w:lineRule="auto"/>
        <w:jc w:val="both"/>
        <w:rPr>
          <w:rFonts w:cstheme="majorHAnsi"/>
          <w:color w:val="219CDC" w:themeColor="accent5"/>
          <w:sz w:val="20"/>
          <w:szCs w:val="2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</w:p>
    <w:p w14:paraId="0AF6D4A5" w14:textId="0ABAAA73" w:rsidR="00A06546" w:rsidRDefault="00A06546" w:rsidP="00A06546">
      <w:pPr>
        <w:pStyle w:val="Nagwek1"/>
        <w:spacing w:line="240" w:lineRule="auto"/>
        <w:jc w:val="center"/>
        <w:rPr>
          <w:rFonts w:cs="Arial (Headings)"/>
          <w:caps/>
          <w:color w:val="219CDC" w:themeColor="accent5"/>
          <w:szCs w:val="36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>
        <w:rPr>
          <w:rFonts w:cs="Arial (Headings)"/>
          <w:caps/>
          <w:noProof/>
          <w:color w:val="219CDC" w:themeColor="accent5"/>
          <w:szCs w:val="36"/>
          <w:lang w:val="pl-PL"/>
        </w:rPr>
        <w:drawing>
          <wp:inline distT="0" distB="0" distL="0" distR="0" wp14:anchorId="3629AA49" wp14:editId="2F66CD13">
            <wp:extent cx="6029960" cy="2009775"/>
            <wp:effectExtent l="0" t="0" r="8890" b="9525"/>
            <wp:docPr id="104295493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4935" name="Obraz 10429549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12DFB" w14:textId="4E287BE2" w:rsidR="00FA68FD" w:rsidRPr="00A06546" w:rsidRDefault="00FA68FD" w:rsidP="00A06546">
      <w:pPr>
        <w:pStyle w:val="Nagwek1"/>
        <w:spacing w:line="240" w:lineRule="auto"/>
        <w:jc w:val="center"/>
        <w:rPr>
          <w:rFonts w:cs="Arial (Headings)"/>
          <w:caps/>
          <w:color w:val="219CDC" w:themeColor="accent5"/>
          <w:szCs w:val="36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 w:rsidRPr="00A06546">
        <w:rPr>
          <w:rFonts w:cs="Arial (Headings)"/>
          <w:caps/>
          <w:color w:val="219CDC" w:themeColor="accent5"/>
          <w:szCs w:val="36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Bez dowodu wartości TRUDNIEJ O FINANSOWANIE.</w:t>
      </w:r>
      <w:r w:rsidR="00A06546">
        <w:rPr>
          <w:rFonts w:cs="Arial (Headings)"/>
          <w:caps/>
          <w:color w:val="219CDC" w:themeColor="accent5"/>
          <w:szCs w:val="36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 </w:t>
      </w:r>
      <w:r w:rsidR="00E45C49">
        <w:rPr>
          <w:rFonts w:cs="Arial (Headings)"/>
          <w:caps/>
          <w:color w:val="219CDC" w:themeColor="accent5"/>
          <w:szCs w:val="36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BAROMETR SAINT-GOBAIN WSKAZUJE ROLĘ BA</w:t>
      </w:r>
      <w:r w:rsidR="00DB2497">
        <w:rPr>
          <w:rFonts w:cs="Arial (Headings)"/>
          <w:caps/>
          <w:color w:val="219CDC" w:themeColor="accent5"/>
          <w:szCs w:val="36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N</w:t>
      </w:r>
      <w:r w:rsidR="00E45C49">
        <w:rPr>
          <w:rFonts w:cs="Arial (Headings)"/>
          <w:caps/>
          <w:color w:val="219CDC" w:themeColor="accent5"/>
          <w:szCs w:val="36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KÓW</w:t>
      </w:r>
      <w:r w:rsidR="00A06546">
        <w:rPr>
          <w:rFonts w:cs="Arial (Headings)"/>
          <w:caps/>
          <w:color w:val="219CDC" w:themeColor="accent5"/>
          <w:szCs w:val="36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 I </w:t>
      </w:r>
      <w:r w:rsidR="00E45C49">
        <w:rPr>
          <w:rFonts w:cs="Arial (Headings)"/>
          <w:caps/>
          <w:color w:val="219CDC" w:themeColor="accent5"/>
          <w:szCs w:val="36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UBEZPIECZYCIELI W ROZWOJU ZRÓWNOWAŻONEGO BUDOWNICTWA</w:t>
      </w:r>
    </w:p>
    <w:p w14:paraId="22184855" w14:textId="77777777" w:rsidR="00A06546" w:rsidRDefault="00A06546" w:rsidP="00FA68FD">
      <w:pPr>
        <w:pStyle w:val="Nagwek2"/>
        <w:spacing w:after="240" w:line="240" w:lineRule="auto"/>
        <w:rPr>
          <w:rFonts w:cstheme="majorHAnsi"/>
          <w:b/>
          <w:bCs/>
          <w:sz w:val="20"/>
          <w:szCs w:val="20"/>
          <w:lang w:val="pl-PL"/>
        </w:rPr>
      </w:pPr>
    </w:p>
    <w:p w14:paraId="37B521F6" w14:textId="460DFFB9" w:rsidR="00F955E6" w:rsidRPr="00FA68FD" w:rsidRDefault="00F955E6" w:rsidP="00FA68FD">
      <w:pPr>
        <w:pStyle w:val="Nagwek2"/>
        <w:spacing w:after="240" w:line="240" w:lineRule="auto"/>
        <w:rPr>
          <w:rFonts w:cstheme="majorHAnsi"/>
          <w:b/>
          <w:bCs/>
          <w:sz w:val="20"/>
          <w:szCs w:val="20"/>
          <w:lang w:val="pl-PL"/>
        </w:rPr>
      </w:pPr>
      <w:r w:rsidRPr="00FA68FD">
        <w:rPr>
          <w:rFonts w:cstheme="majorHAnsi"/>
          <w:b/>
          <w:bCs/>
          <w:sz w:val="20"/>
          <w:szCs w:val="20"/>
          <w:lang w:val="pl-PL"/>
        </w:rPr>
        <w:t>Ekstremalne zjawiska pogodowe, rosnące koszty eksploatacji budynków i potrzeba ochrony wartości inwestycji sprawiają, że zrównoważone budownictwo przestaje być wyłącznie tematem środowiskowym. Coraz częściej staje się elementem zarządzania ryzykiem, wzmacniania odporności miast i regionów oraz długoterminowego bezpieczeństwa użytkowników i nieruchomości. Najnowszy Barometr Zrównoważonego Budownictwa 2026 pokazuje jednak, że między świadomością a realną praktyką rynkową nadal istnieje wyraźna luka – także w naszym kraju.</w:t>
      </w:r>
    </w:p>
    <w:p w14:paraId="3AE4B9FA" w14:textId="4578110F" w:rsidR="00F955E6" w:rsidRPr="00FA68FD" w:rsidRDefault="00F955E6" w:rsidP="00FA68FD">
      <w:pPr>
        <w:pStyle w:val="Nagwek2"/>
        <w:spacing w:after="240" w:line="240" w:lineRule="auto"/>
        <w:rPr>
          <w:rFonts w:cstheme="majorHAnsi"/>
          <w:sz w:val="20"/>
          <w:szCs w:val="20"/>
          <w:lang w:val="pl-PL"/>
        </w:rPr>
      </w:pPr>
      <w:r w:rsidRPr="00FA68FD">
        <w:rPr>
          <w:rFonts w:cstheme="majorHAnsi"/>
          <w:sz w:val="20"/>
          <w:szCs w:val="20"/>
          <w:lang w:val="pl-PL"/>
        </w:rPr>
        <w:t>W Polsce zrównoważone budownictwo jest obecne w debacie o przyszłości sektora, ale wciąż zbyt rzadko przekłada się na poczucie pilności i konkretne decyzje inwestycyjne. Z 4. wydania Barometru Zrównoważonego Budownictwa, przygotowanego przez Obserwatorium Zrównoważonego Budownictwa Grupy Saint-Gobain, wynika, że tylko 39% polskich interesariuszy i 38% obywateli uznaje rozwój zrównoważonego budownictwa za priorytet. To wyraźnie mniej niż średnia globalna, która wynosi odpowiednio 65% i 63%.</w:t>
      </w:r>
    </w:p>
    <w:p w14:paraId="73BF7CF7" w14:textId="2A3E1E5D" w:rsidR="00F955E6" w:rsidRPr="00FA68FD" w:rsidRDefault="00F955E6" w:rsidP="00FA68FD">
      <w:pPr>
        <w:pStyle w:val="Nagwek2"/>
        <w:spacing w:after="240" w:line="240" w:lineRule="auto"/>
        <w:rPr>
          <w:rFonts w:cstheme="majorHAnsi"/>
          <w:sz w:val="20"/>
          <w:szCs w:val="20"/>
          <w:lang w:val="pl-PL"/>
        </w:rPr>
      </w:pPr>
      <w:r w:rsidRPr="00FA68FD">
        <w:rPr>
          <w:rFonts w:cstheme="majorHAnsi"/>
          <w:sz w:val="20"/>
          <w:szCs w:val="20"/>
          <w:lang w:val="pl-PL"/>
        </w:rPr>
        <w:t>Dane te pokazują, że jednym z najważniejszych wyzwań dla polskiego rynku nie jest już wyłącznie budowanie świadomości, lecz przekładanie jej na praktykę projektową, finansową, ubezpieczeniową</w:t>
      </w:r>
      <w:r w:rsidR="00FA68FD">
        <w:rPr>
          <w:rFonts w:cstheme="majorHAnsi"/>
          <w:sz w:val="20"/>
          <w:szCs w:val="20"/>
          <w:lang w:val="pl-PL"/>
        </w:rPr>
        <w:t xml:space="preserve"> i </w:t>
      </w:r>
      <w:r w:rsidRPr="00FA68FD">
        <w:rPr>
          <w:rFonts w:cstheme="majorHAnsi"/>
          <w:sz w:val="20"/>
          <w:szCs w:val="20"/>
          <w:lang w:val="pl-PL"/>
        </w:rPr>
        <w:t>inwestycyjną. Oznacza to konieczność</w:t>
      </w:r>
      <w:r w:rsidR="00920E31">
        <w:rPr>
          <w:rFonts w:cstheme="majorHAnsi"/>
          <w:sz w:val="20"/>
          <w:szCs w:val="20"/>
          <w:lang w:val="pl-PL"/>
        </w:rPr>
        <w:t xml:space="preserve"> </w:t>
      </w:r>
      <w:r w:rsidR="004376A9" w:rsidRPr="00FA68FD">
        <w:rPr>
          <w:rFonts w:cstheme="majorHAnsi"/>
          <w:sz w:val="20"/>
          <w:szCs w:val="20"/>
          <w:lang w:val="pl-PL"/>
        </w:rPr>
        <w:t>większego eksponowania</w:t>
      </w:r>
      <w:r w:rsidRPr="00FA68FD">
        <w:rPr>
          <w:rFonts w:cstheme="majorHAnsi"/>
          <w:sz w:val="20"/>
          <w:szCs w:val="20"/>
          <w:lang w:val="pl-PL"/>
        </w:rPr>
        <w:t xml:space="preserve"> wartości zrównoważonych obiektów – nie tylko w wymiarze środowiskowym, ale także ekonomicznym, użytkowym czy społecznym.</w:t>
      </w:r>
    </w:p>
    <w:p w14:paraId="7AA5BFF1" w14:textId="1ADA4AC8" w:rsidR="00902258" w:rsidRPr="00FA68FD" w:rsidRDefault="00902258" w:rsidP="00FA68FD">
      <w:pPr>
        <w:pStyle w:val="Nagwek2"/>
        <w:spacing w:after="240" w:line="240" w:lineRule="auto"/>
        <w:rPr>
          <w:rFonts w:cstheme="majorHAnsi"/>
          <w:sz w:val="20"/>
          <w:szCs w:val="20"/>
          <w:lang w:val="pl-PL"/>
        </w:rPr>
      </w:pPr>
      <w:r w:rsidRPr="00FA68FD">
        <w:rPr>
          <w:rFonts w:cstheme="majorHAnsi"/>
          <w:sz w:val="20"/>
          <w:szCs w:val="20"/>
          <w:lang w:val="pl-PL"/>
        </w:rPr>
        <w:t xml:space="preserve">Barometr </w:t>
      </w:r>
      <w:r w:rsidR="00545BC8" w:rsidRPr="00FA68FD">
        <w:rPr>
          <w:rFonts w:cstheme="majorHAnsi"/>
          <w:sz w:val="20"/>
          <w:szCs w:val="20"/>
          <w:lang w:val="pl-PL"/>
        </w:rPr>
        <w:t>Z</w:t>
      </w:r>
      <w:r w:rsidRPr="00FA68FD">
        <w:rPr>
          <w:rFonts w:cstheme="majorHAnsi"/>
          <w:sz w:val="20"/>
          <w:szCs w:val="20"/>
          <w:lang w:val="pl-PL"/>
        </w:rPr>
        <w:t xml:space="preserve">równoważonego </w:t>
      </w:r>
      <w:r w:rsidR="00545BC8" w:rsidRPr="00FA68FD">
        <w:rPr>
          <w:rFonts w:cstheme="majorHAnsi"/>
          <w:sz w:val="20"/>
          <w:szCs w:val="20"/>
          <w:lang w:val="pl-PL"/>
        </w:rPr>
        <w:t>B</w:t>
      </w:r>
      <w:r w:rsidRPr="00FA68FD">
        <w:rPr>
          <w:rFonts w:cstheme="majorHAnsi"/>
          <w:sz w:val="20"/>
          <w:szCs w:val="20"/>
          <w:lang w:val="pl-PL"/>
        </w:rPr>
        <w:t>udownictwa 2026</w:t>
      </w:r>
      <w:r w:rsidR="005531F1" w:rsidRPr="00FA68FD">
        <w:rPr>
          <w:rFonts w:cstheme="majorHAnsi"/>
          <w:sz w:val="20"/>
          <w:szCs w:val="20"/>
          <w:lang w:val="pl-PL"/>
        </w:rPr>
        <w:t xml:space="preserve"> </w:t>
      </w:r>
      <w:r w:rsidR="00545BC8" w:rsidRPr="00FA68FD">
        <w:rPr>
          <w:rFonts w:cstheme="majorHAnsi"/>
          <w:sz w:val="20"/>
          <w:szCs w:val="20"/>
          <w:lang w:val="pl-PL"/>
        </w:rPr>
        <w:t xml:space="preserve">zwraca </w:t>
      </w:r>
      <w:r w:rsidR="00F955E6" w:rsidRPr="00FA68FD">
        <w:rPr>
          <w:rFonts w:cstheme="majorHAnsi"/>
          <w:sz w:val="20"/>
          <w:szCs w:val="20"/>
          <w:lang w:val="pl-PL"/>
        </w:rPr>
        <w:t xml:space="preserve">jednocześnie </w:t>
      </w:r>
      <w:r w:rsidR="00545BC8" w:rsidRPr="00FA68FD">
        <w:rPr>
          <w:rFonts w:cstheme="majorHAnsi"/>
          <w:sz w:val="20"/>
          <w:szCs w:val="20"/>
          <w:lang w:val="pl-PL"/>
        </w:rPr>
        <w:t>uwagę</w:t>
      </w:r>
      <w:r w:rsidRPr="00FA68FD">
        <w:rPr>
          <w:rFonts w:cstheme="majorHAnsi"/>
          <w:sz w:val="20"/>
          <w:szCs w:val="20"/>
          <w:lang w:val="pl-PL"/>
        </w:rPr>
        <w:t xml:space="preserve"> na </w:t>
      </w:r>
      <w:r w:rsidR="00F17DBF" w:rsidRPr="00FA68FD">
        <w:rPr>
          <w:rFonts w:cstheme="majorHAnsi"/>
          <w:sz w:val="20"/>
          <w:szCs w:val="20"/>
          <w:lang w:val="pl-PL"/>
        </w:rPr>
        <w:t>istniejącą</w:t>
      </w:r>
      <w:r w:rsidRPr="00FA68FD">
        <w:rPr>
          <w:rFonts w:cstheme="majorHAnsi"/>
          <w:sz w:val="20"/>
          <w:szCs w:val="20"/>
          <w:lang w:val="pl-PL"/>
        </w:rPr>
        <w:t xml:space="preserve"> </w:t>
      </w:r>
      <w:r w:rsidR="00545BC8" w:rsidRPr="00FA68FD">
        <w:rPr>
          <w:rFonts w:cstheme="majorHAnsi"/>
          <w:sz w:val="20"/>
          <w:szCs w:val="20"/>
          <w:lang w:val="pl-PL"/>
        </w:rPr>
        <w:t>rozbieżność</w:t>
      </w:r>
      <w:r w:rsidRPr="00FA68FD">
        <w:rPr>
          <w:rFonts w:cstheme="majorHAnsi"/>
          <w:sz w:val="20"/>
          <w:szCs w:val="20"/>
          <w:lang w:val="pl-PL"/>
        </w:rPr>
        <w:t xml:space="preserve">: </w:t>
      </w:r>
      <w:r w:rsidR="00F955E6" w:rsidRPr="00FA68FD">
        <w:rPr>
          <w:rFonts w:cstheme="majorHAnsi"/>
          <w:sz w:val="20"/>
          <w:szCs w:val="20"/>
          <w:lang w:val="pl-PL"/>
        </w:rPr>
        <w:t>choć</w:t>
      </w:r>
      <w:r w:rsidRPr="00FA68FD">
        <w:rPr>
          <w:rFonts w:cstheme="majorHAnsi"/>
          <w:sz w:val="20"/>
          <w:szCs w:val="20"/>
          <w:lang w:val="pl-PL"/>
        </w:rPr>
        <w:t xml:space="preserve"> </w:t>
      </w:r>
      <w:r w:rsidR="00F17DBF" w:rsidRPr="00FA68FD">
        <w:rPr>
          <w:rFonts w:cstheme="majorHAnsi"/>
          <w:sz w:val="20"/>
          <w:szCs w:val="20"/>
          <w:lang w:val="pl-PL"/>
        </w:rPr>
        <w:t>instytucje</w:t>
      </w:r>
      <w:r w:rsidRPr="00FA68FD">
        <w:rPr>
          <w:rFonts w:cstheme="majorHAnsi"/>
          <w:sz w:val="20"/>
          <w:szCs w:val="20"/>
          <w:lang w:val="pl-PL"/>
        </w:rPr>
        <w:t xml:space="preserve"> finansowe </w:t>
      </w:r>
      <w:r w:rsidR="00F17DBF" w:rsidRPr="00FA68FD">
        <w:rPr>
          <w:rFonts w:cstheme="majorHAnsi"/>
          <w:sz w:val="20"/>
          <w:szCs w:val="20"/>
          <w:lang w:val="pl-PL"/>
        </w:rPr>
        <w:t>dostrzegają</w:t>
      </w:r>
      <w:r w:rsidRPr="00FA68FD">
        <w:rPr>
          <w:rFonts w:cstheme="majorHAnsi"/>
          <w:sz w:val="20"/>
          <w:szCs w:val="20"/>
          <w:lang w:val="pl-PL"/>
        </w:rPr>
        <w:t xml:space="preserve"> znaczenie adaptacji i odporności w </w:t>
      </w:r>
      <w:r w:rsidR="00F17DBF" w:rsidRPr="00FA68FD">
        <w:rPr>
          <w:rFonts w:cstheme="majorHAnsi"/>
          <w:sz w:val="20"/>
          <w:szCs w:val="20"/>
          <w:lang w:val="pl-PL"/>
        </w:rPr>
        <w:t xml:space="preserve">kontekście </w:t>
      </w:r>
      <w:r w:rsidRPr="00FA68FD">
        <w:rPr>
          <w:rFonts w:cstheme="majorHAnsi"/>
          <w:sz w:val="20"/>
          <w:szCs w:val="20"/>
          <w:lang w:val="pl-PL"/>
        </w:rPr>
        <w:t>środowisk</w:t>
      </w:r>
      <w:r w:rsidR="00F17DBF" w:rsidRPr="00FA68FD">
        <w:rPr>
          <w:rFonts w:cstheme="majorHAnsi"/>
          <w:sz w:val="20"/>
          <w:szCs w:val="20"/>
          <w:lang w:val="pl-PL"/>
        </w:rPr>
        <w:t>a</w:t>
      </w:r>
      <w:r w:rsidRPr="00FA68FD">
        <w:rPr>
          <w:rFonts w:cstheme="majorHAnsi"/>
          <w:sz w:val="20"/>
          <w:szCs w:val="20"/>
          <w:lang w:val="pl-PL"/>
        </w:rPr>
        <w:t xml:space="preserve"> budowlan</w:t>
      </w:r>
      <w:r w:rsidR="00F17DBF" w:rsidRPr="00FA68FD">
        <w:rPr>
          <w:rFonts w:cstheme="majorHAnsi"/>
          <w:sz w:val="20"/>
          <w:szCs w:val="20"/>
          <w:lang w:val="pl-PL"/>
        </w:rPr>
        <w:t>ego</w:t>
      </w:r>
      <w:r w:rsidRPr="00FA68FD">
        <w:rPr>
          <w:rFonts w:cstheme="majorHAnsi"/>
          <w:sz w:val="20"/>
          <w:szCs w:val="20"/>
          <w:lang w:val="pl-PL"/>
        </w:rPr>
        <w:t>, uwzględni</w:t>
      </w:r>
      <w:r w:rsidR="00F17DBF" w:rsidRPr="00FA68FD">
        <w:rPr>
          <w:rFonts w:cstheme="majorHAnsi"/>
          <w:sz w:val="20"/>
          <w:szCs w:val="20"/>
          <w:lang w:val="pl-PL"/>
        </w:rPr>
        <w:t>a</w:t>
      </w:r>
      <w:r w:rsidRPr="00FA68FD">
        <w:rPr>
          <w:rFonts w:cstheme="majorHAnsi"/>
          <w:sz w:val="20"/>
          <w:szCs w:val="20"/>
          <w:lang w:val="pl-PL"/>
        </w:rPr>
        <w:t>nie</w:t>
      </w:r>
      <w:r w:rsidR="00F17DBF" w:rsidRPr="00FA68FD">
        <w:rPr>
          <w:rFonts w:cstheme="majorHAnsi"/>
          <w:sz w:val="20"/>
          <w:szCs w:val="20"/>
          <w:lang w:val="pl-PL"/>
        </w:rPr>
        <w:t xml:space="preserve"> tych czynników</w:t>
      </w:r>
      <w:r w:rsidRPr="00FA68FD">
        <w:rPr>
          <w:rFonts w:cstheme="majorHAnsi"/>
          <w:sz w:val="20"/>
          <w:szCs w:val="20"/>
          <w:lang w:val="pl-PL"/>
        </w:rPr>
        <w:t xml:space="preserve"> w decyzjach dotyczących inwestycji, finansowania i ubezpieczeń pozostaje ograniczone ze względu na niewystarczająco </w:t>
      </w:r>
      <w:r w:rsidR="00F17DBF" w:rsidRPr="00FA68FD">
        <w:rPr>
          <w:rFonts w:cstheme="majorHAnsi"/>
          <w:sz w:val="20"/>
          <w:szCs w:val="20"/>
          <w:lang w:val="pl-PL"/>
        </w:rPr>
        <w:t>udowodnione</w:t>
      </w:r>
      <w:r w:rsidRPr="00FA68FD">
        <w:rPr>
          <w:rFonts w:cstheme="majorHAnsi"/>
          <w:sz w:val="20"/>
          <w:szCs w:val="20"/>
          <w:lang w:val="pl-PL"/>
        </w:rPr>
        <w:t xml:space="preserve"> korzyści.</w:t>
      </w:r>
    </w:p>
    <w:p w14:paraId="1B5B67E4" w14:textId="32448346" w:rsidR="004A43D8" w:rsidRPr="00FA68FD" w:rsidRDefault="004A43D8" w:rsidP="00FA68FD">
      <w:pPr>
        <w:pStyle w:val="Nagwek2"/>
        <w:spacing w:after="240" w:line="240" w:lineRule="auto"/>
        <w:rPr>
          <w:rFonts w:cstheme="majorHAnsi"/>
          <w:sz w:val="20"/>
          <w:szCs w:val="20"/>
          <w:lang w:val="pl-PL"/>
        </w:rPr>
      </w:pPr>
      <w:r w:rsidRPr="00FA68FD">
        <w:rPr>
          <w:rFonts w:cstheme="majorHAnsi"/>
          <w:sz w:val="20"/>
          <w:szCs w:val="20"/>
          <w:lang w:val="pl-PL"/>
        </w:rPr>
        <w:t xml:space="preserve">– </w:t>
      </w:r>
      <w:r w:rsidRPr="00FA68FD">
        <w:rPr>
          <w:rFonts w:cstheme="majorHAnsi"/>
          <w:i/>
          <w:iCs/>
          <w:sz w:val="20"/>
          <w:szCs w:val="20"/>
          <w:lang w:val="pl-PL"/>
        </w:rPr>
        <w:t>Doskonałym przykładem rozdźwięku, z którym mamy do czynienia</w:t>
      </w:r>
      <w:r w:rsidR="00957220" w:rsidRPr="00FA68FD">
        <w:rPr>
          <w:rFonts w:cstheme="majorHAnsi"/>
          <w:i/>
          <w:iCs/>
          <w:sz w:val="20"/>
          <w:szCs w:val="20"/>
          <w:lang w:val="pl-PL"/>
        </w:rPr>
        <w:t>,</w:t>
      </w:r>
      <w:r w:rsidRPr="00FA68FD">
        <w:rPr>
          <w:rFonts w:cstheme="majorHAnsi"/>
          <w:i/>
          <w:iCs/>
          <w:sz w:val="20"/>
          <w:szCs w:val="20"/>
          <w:lang w:val="pl-PL"/>
        </w:rPr>
        <w:t xml:space="preserve"> jest kwestia odporności. Regiony narażone na zagrożenia klimatyczne rozumieją jej znaczenie. Musi ona jednak być częściej uwzględniana</w:t>
      </w:r>
      <w:r w:rsidR="006C1E54">
        <w:rPr>
          <w:rFonts w:cstheme="majorHAnsi"/>
          <w:i/>
          <w:iCs/>
          <w:sz w:val="20"/>
          <w:szCs w:val="20"/>
          <w:lang w:val="pl-PL"/>
        </w:rPr>
        <w:t xml:space="preserve"> w </w:t>
      </w:r>
      <w:r w:rsidRPr="00FA68FD">
        <w:rPr>
          <w:rFonts w:cstheme="majorHAnsi"/>
          <w:i/>
          <w:iCs/>
          <w:sz w:val="20"/>
          <w:szCs w:val="20"/>
          <w:lang w:val="pl-PL"/>
        </w:rPr>
        <w:t>procesach podejmowania decyzji dotyczących inwestycji oraz zamówień publicznych i prywatnych. Uznanie odporności za czynnik wpływający na efektywność i ograniczenie ryzyka pomoże w pełni unaocznić jej wartość</w:t>
      </w:r>
      <w:r w:rsidRPr="00FA68FD">
        <w:rPr>
          <w:rFonts w:cstheme="majorHAnsi"/>
          <w:sz w:val="20"/>
          <w:szCs w:val="20"/>
          <w:lang w:val="pl-PL"/>
        </w:rPr>
        <w:t xml:space="preserve"> – podkreślił we wstępie dokumentu </w:t>
      </w:r>
      <w:r w:rsidRPr="00FA68FD">
        <w:rPr>
          <w:rFonts w:cstheme="majorHAnsi"/>
          <w:b/>
          <w:bCs/>
          <w:sz w:val="20"/>
          <w:szCs w:val="20"/>
          <w:lang w:val="pl-PL"/>
        </w:rPr>
        <w:t xml:space="preserve">Benoit Bazin, Prezes i </w:t>
      </w:r>
      <w:r w:rsidR="00957220" w:rsidRPr="00FA68FD">
        <w:rPr>
          <w:rFonts w:cstheme="majorHAnsi"/>
          <w:b/>
          <w:bCs/>
          <w:sz w:val="20"/>
          <w:szCs w:val="20"/>
          <w:lang w:val="pl-PL"/>
        </w:rPr>
        <w:t xml:space="preserve">Dyrektor </w:t>
      </w:r>
      <w:r w:rsidR="00AB073D" w:rsidRPr="00FA68FD">
        <w:rPr>
          <w:rFonts w:cstheme="majorHAnsi"/>
          <w:b/>
          <w:bCs/>
          <w:sz w:val="20"/>
          <w:szCs w:val="20"/>
          <w:lang w:val="pl-PL"/>
        </w:rPr>
        <w:t xml:space="preserve">Generalny </w:t>
      </w:r>
      <w:r w:rsidR="00957220" w:rsidRPr="00FA68FD">
        <w:rPr>
          <w:rFonts w:cstheme="majorHAnsi"/>
          <w:b/>
          <w:bCs/>
          <w:sz w:val="20"/>
          <w:szCs w:val="20"/>
          <w:lang w:val="pl-PL"/>
        </w:rPr>
        <w:t>Grupy</w:t>
      </w:r>
      <w:r w:rsidRPr="00FA68FD">
        <w:rPr>
          <w:rFonts w:cstheme="majorHAnsi"/>
          <w:b/>
          <w:bCs/>
          <w:sz w:val="20"/>
          <w:szCs w:val="20"/>
          <w:lang w:val="pl-PL"/>
        </w:rPr>
        <w:t xml:space="preserve"> Saint-Gobain</w:t>
      </w:r>
      <w:r w:rsidRPr="00FA68FD">
        <w:rPr>
          <w:rFonts w:cstheme="majorHAnsi"/>
          <w:sz w:val="20"/>
          <w:szCs w:val="20"/>
          <w:lang w:val="pl-PL"/>
        </w:rPr>
        <w:t>.</w:t>
      </w:r>
    </w:p>
    <w:p w14:paraId="2B801B50" w14:textId="77777777" w:rsidR="00A06546" w:rsidRDefault="00A06546" w:rsidP="00FA68FD">
      <w:pPr>
        <w:pStyle w:val="Nagwek2"/>
        <w:spacing w:after="240" w:line="240" w:lineRule="auto"/>
        <w:rPr>
          <w:rFonts w:cstheme="majorHAnsi"/>
          <w:b/>
          <w:bCs/>
          <w:color w:val="67B9B0" w:themeColor="accent4"/>
          <w:sz w:val="20"/>
          <w:szCs w:val="20"/>
          <w:lang w:val="pl-PL"/>
        </w:rPr>
      </w:pPr>
    </w:p>
    <w:p w14:paraId="7FF283F6" w14:textId="24CEC59F" w:rsidR="00902258" w:rsidRPr="00FA68FD" w:rsidRDefault="00902258" w:rsidP="00FA68FD">
      <w:pPr>
        <w:pStyle w:val="Nagwek2"/>
        <w:spacing w:after="240" w:line="240" w:lineRule="auto"/>
        <w:rPr>
          <w:rFonts w:cstheme="majorHAnsi"/>
          <w:b/>
          <w:bCs/>
          <w:color w:val="67B9B0" w:themeColor="accent4"/>
          <w:sz w:val="20"/>
          <w:szCs w:val="20"/>
          <w:lang w:val="pl-PL"/>
        </w:rPr>
      </w:pPr>
      <w:r w:rsidRPr="00FA68FD">
        <w:rPr>
          <w:rFonts w:cstheme="majorHAnsi"/>
          <w:b/>
          <w:bCs/>
          <w:color w:val="67B9B0" w:themeColor="accent4"/>
          <w:sz w:val="20"/>
          <w:szCs w:val="20"/>
          <w:lang w:val="pl-PL"/>
        </w:rPr>
        <w:lastRenderedPageBreak/>
        <w:t xml:space="preserve">Banki i ubezpieczyciele: świadomość </w:t>
      </w:r>
      <w:r w:rsidR="00F42995" w:rsidRPr="00FA68FD">
        <w:rPr>
          <w:rFonts w:cstheme="majorHAnsi"/>
          <w:b/>
          <w:bCs/>
          <w:color w:val="67B9B0" w:themeColor="accent4"/>
          <w:sz w:val="20"/>
          <w:szCs w:val="20"/>
          <w:lang w:val="pl-PL"/>
        </w:rPr>
        <w:t>problemu istnieje</w:t>
      </w:r>
      <w:r w:rsidRPr="00FA68FD">
        <w:rPr>
          <w:rFonts w:cstheme="majorHAnsi"/>
          <w:b/>
          <w:bCs/>
          <w:color w:val="67B9B0" w:themeColor="accent4"/>
          <w:sz w:val="20"/>
          <w:szCs w:val="20"/>
          <w:lang w:val="pl-PL"/>
        </w:rPr>
        <w:t>, ale</w:t>
      </w:r>
      <w:r w:rsidR="00F42995" w:rsidRPr="00FA68FD">
        <w:rPr>
          <w:rFonts w:cstheme="majorHAnsi"/>
          <w:b/>
          <w:bCs/>
          <w:color w:val="67B9B0" w:themeColor="accent4"/>
          <w:sz w:val="20"/>
          <w:szCs w:val="20"/>
          <w:lang w:val="pl-PL"/>
        </w:rPr>
        <w:t xml:space="preserve"> jest</w:t>
      </w:r>
      <w:r w:rsidRPr="00FA68FD">
        <w:rPr>
          <w:rFonts w:cstheme="majorHAnsi"/>
          <w:b/>
          <w:bCs/>
          <w:color w:val="67B9B0" w:themeColor="accent4"/>
          <w:sz w:val="20"/>
          <w:szCs w:val="20"/>
          <w:lang w:val="pl-PL"/>
        </w:rPr>
        <w:t xml:space="preserve"> wciąż niepełna</w:t>
      </w:r>
    </w:p>
    <w:p w14:paraId="49354708" w14:textId="0350832A" w:rsidR="00902258" w:rsidRPr="00FA68FD" w:rsidRDefault="00902258" w:rsidP="00FA68FD">
      <w:pPr>
        <w:pStyle w:val="Nagwek2"/>
        <w:spacing w:after="240" w:line="240" w:lineRule="auto"/>
        <w:rPr>
          <w:rFonts w:cstheme="majorHAnsi"/>
          <w:sz w:val="20"/>
          <w:szCs w:val="20"/>
          <w:lang w:val="pl-PL"/>
        </w:rPr>
      </w:pPr>
      <w:r w:rsidRPr="00FA68FD">
        <w:rPr>
          <w:rFonts w:cstheme="majorHAnsi"/>
          <w:sz w:val="20"/>
          <w:szCs w:val="20"/>
          <w:lang w:val="pl-PL"/>
        </w:rPr>
        <w:t xml:space="preserve">Po raz pierwszy od </w:t>
      </w:r>
      <w:r w:rsidR="00F42995" w:rsidRPr="00FA68FD">
        <w:rPr>
          <w:rFonts w:cstheme="majorHAnsi"/>
          <w:sz w:val="20"/>
          <w:szCs w:val="20"/>
          <w:lang w:val="pl-PL"/>
        </w:rPr>
        <w:t>swojego debiutu</w:t>
      </w:r>
      <w:r w:rsidRPr="00FA68FD">
        <w:rPr>
          <w:rFonts w:cstheme="majorHAnsi"/>
          <w:sz w:val="20"/>
          <w:szCs w:val="20"/>
          <w:lang w:val="pl-PL"/>
        </w:rPr>
        <w:t xml:space="preserve"> w 2023 r</w:t>
      </w:r>
      <w:r w:rsidR="00F42995" w:rsidRPr="00FA68FD">
        <w:rPr>
          <w:rFonts w:cstheme="majorHAnsi"/>
          <w:sz w:val="20"/>
          <w:szCs w:val="20"/>
          <w:lang w:val="pl-PL"/>
        </w:rPr>
        <w:t>oku,</w:t>
      </w:r>
      <w:r w:rsidRPr="00FA68FD">
        <w:rPr>
          <w:rFonts w:cstheme="majorHAnsi"/>
          <w:sz w:val="20"/>
          <w:szCs w:val="20"/>
          <w:lang w:val="pl-PL"/>
        </w:rPr>
        <w:t xml:space="preserve"> Barometr Zrównoważonego Budownictwa </w:t>
      </w:r>
      <w:r w:rsidR="00F42995" w:rsidRPr="00FA68FD">
        <w:rPr>
          <w:rFonts w:cstheme="majorHAnsi"/>
          <w:sz w:val="20"/>
          <w:szCs w:val="20"/>
          <w:lang w:val="pl-PL"/>
        </w:rPr>
        <w:t>prezentuje</w:t>
      </w:r>
      <w:r w:rsidRPr="00FA68FD">
        <w:rPr>
          <w:rFonts w:cstheme="majorHAnsi"/>
          <w:sz w:val="20"/>
          <w:szCs w:val="20"/>
          <w:lang w:val="pl-PL"/>
        </w:rPr>
        <w:t xml:space="preserve"> </w:t>
      </w:r>
      <w:r w:rsidRPr="00FA68FD">
        <w:rPr>
          <w:rFonts w:cstheme="majorHAnsi"/>
          <w:b/>
          <w:bCs/>
          <w:sz w:val="20"/>
          <w:szCs w:val="20"/>
          <w:lang w:val="pl-PL"/>
        </w:rPr>
        <w:t>jakościowe międzynarodowe badanie przeprowadzone wśród</w:t>
      </w:r>
      <w:r w:rsidR="00F42995" w:rsidRPr="00FA68FD">
        <w:rPr>
          <w:rFonts w:cstheme="majorHAnsi"/>
          <w:b/>
          <w:bCs/>
          <w:sz w:val="20"/>
          <w:szCs w:val="20"/>
          <w:lang w:val="pl-PL"/>
        </w:rPr>
        <w:t xml:space="preserve"> przedstawicieli</w:t>
      </w:r>
      <w:r w:rsidRPr="00FA68FD">
        <w:rPr>
          <w:rFonts w:cstheme="majorHAnsi"/>
          <w:b/>
          <w:bCs/>
          <w:sz w:val="20"/>
          <w:szCs w:val="20"/>
          <w:lang w:val="pl-PL"/>
        </w:rPr>
        <w:t xml:space="preserve"> sektora </w:t>
      </w:r>
      <w:r w:rsidR="00D84F76" w:rsidRPr="00FA68FD">
        <w:rPr>
          <w:rFonts w:cstheme="majorHAnsi"/>
          <w:b/>
          <w:bCs/>
          <w:sz w:val="20"/>
          <w:szCs w:val="20"/>
          <w:lang w:val="pl-PL"/>
        </w:rPr>
        <w:t xml:space="preserve">finansowego </w:t>
      </w:r>
      <w:r w:rsidR="006E5134" w:rsidRPr="00FA68FD">
        <w:rPr>
          <w:rFonts w:cstheme="majorHAnsi"/>
          <w:sz w:val="20"/>
          <w:szCs w:val="20"/>
          <w:lang w:val="pl-PL"/>
        </w:rPr>
        <w:t xml:space="preserve">– </w:t>
      </w:r>
      <w:r w:rsidRPr="00FA68FD">
        <w:rPr>
          <w:rFonts w:cstheme="majorHAnsi"/>
          <w:sz w:val="20"/>
          <w:szCs w:val="20"/>
          <w:lang w:val="pl-PL"/>
        </w:rPr>
        <w:t xml:space="preserve">banków komercyjnych, banków rozwoju i ubezpieczycieli </w:t>
      </w:r>
      <w:r w:rsidR="006E5134" w:rsidRPr="00FA68FD">
        <w:rPr>
          <w:rFonts w:cstheme="majorHAnsi"/>
          <w:sz w:val="20"/>
          <w:szCs w:val="20"/>
          <w:lang w:val="pl-PL"/>
        </w:rPr>
        <w:t xml:space="preserve">– </w:t>
      </w:r>
      <w:r w:rsidR="00F42995" w:rsidRPr="00FA68FD">
        <w:rPr>
          <w:rFonts w:cstheme="majorHAnsi"/>
          <w:sz w:val="20"/>
          <w:szCs w:val="20"/>
          <w:lang w:val="pl-PL"/>
        </w:rPr>
        <w:t>poświęcone zagadnieniom</w:t>
      </w:r>
      <w:r w:rsidRPr="00FA68FD">
        <w:rPr>
          <w:rFonts w:cstheme="majorHAnsi"/>
          <w:sz w:val="20"/>
          <w:szCs w:val="20"/>
          <w:lang w:val="pl-PL"/>
        </w:rPr>
        <w:t xml:space="preserve"> </w:t>
      </w:r>
      <w:r w:rsidRPr="00FA68FD">
        <w:rPr>
          <w:rFonts w:cstheme="majorHAnsi"/>
          <w:b/>
          <w:bCs/>
          <w:sz w:val="20"/>
          <w:szCs w:val="20"/>
          <w:lang w:val="pl-PL"/>
        </w:rPr>
        <w:t>adaptacji</w:t>
      </w:r>
      <w:r w:rsidR="00FA68FD">
        <w:rPr>
          <w:rFonts w:cstheme="majorHAnsi"/>
          <w:b/>
          <w:bCs/>
          <w:sz w:val="20"/>
          <w:szCs w:val="20"/>
          <w:lang w:val="pl-PL"/>
        </w:rPr>
        <w:t xml:space="preserve"> i </w:t>
      </w:r>
      <w:r w:rsidRPr="00FA68FD">
        <w:rPr>
          <w:rFonts w:cstheme="majorHAnsi"/>
          <w:b/>
          <w:bCs/>
          <w:sz w:val="20"/>
          <w:szCs w:val="20"/>
          <w:lang w:val="pl-PL"/>
        </w:rPr>
        <w:t>odporności</w:t>
      </w:r>
      <w:r w:rsidRPr="00FA68FD">
        <w:rPr>
          <w:rFonts w:cstheme="majorHAnsi"/>
          <w:sz w:val="20"/>
          <w:szCs w:val="20"/>
          <w:lang w:val="pl-PL"/>
        </w:rPr>
        <w:t>.</w:t>
      </w:r>
    </w:p>
    <w:p w14:paraId="1BF2CAB6" w14:textId="24AD06AF" w:rsidR="00902258" w:rsidRPr="00FA68FD" w:rsidRDefault="00902258" w:rsidP="00FA68FD">
      <w:pPr>
        <w:pStyle w:val="Nagwek2"/>
        <w:spacing w:after="240" w:line="240" w:lineRule="auto"/>
        <w:rPr>
          <w:rFonts w:cstheme="majorHAnsi"/>
          <w:sz w:val="20"/>
          <w:szCs w:val="20"/>
          <w:lang w:val="pl-PL"/>
        </w:rPr>
      </w:pPr>
      <w:r w:rsidRPr="00FA68FD">
        <w:rPr>
          <w:rFonts w:cstheme="majorHAnsi"/>
          <w:sz w:val="20"/>
          <w:szCs w:val="20"/>
          <w:lang w:val="pl-PL"/>
        </w:rPr>
        <w:t xml:space="preserve">Ten nowy element </w:t>
      </w:r>
      <w:r w:rsidR="00F42995" w:rsidRPr="00FA68FD">
        <w:rPr>
          <w:rFonts w:cstheme="majorHAnsi"/>
          <w:sz w:val="20"/>
          <w:szCs w:val="20"/>
          <w:lang w:val="pl-PL"/>
        </w:rPr>
        <w:t xml:space="preserve">stanowi </w:t>
      </w:r>
      <w:r w:rsidRPr="00FA68FD">
        <w:rPr>
          <w:rFonts w:cstheme="majorHAnsi"/>
          <w:sz w:val="20"/>
          <w:szCs w:val="20"/>
          <w:lang w:val="pl-PL"/>
        </w:rPr>
        <w:t>uzupełni</w:t>
      </w:r>
      <w:r w:rsidR="00F42995" w:rsidRPr="00FA68FD">
        <w:rPr>
          <w:rFonts w:cstheme="majorHAnsi"/>
          <w:sz w:val="20"/>
          <w:szCs w:val="20"/>
          <w:lang w:val="pl-PL"/>
        </w:rPr>
        <w:t>enie</w:t>
      </w:r>
      <w:r w:rsidRPr="00FA68FD">
        <w:rPr>
          <w:rFonts w:cstheme="majorHAnsi"/>
          <w:sz w:val="20"/>
          <w:szCs w:val="20"/>
          <w:lang w:val="pl-PL"/>
        </w:rPr>
        <w:t xml:space="preserve"> </w:t>
      </w:r>
      <w:r w:rsidRPr="00FA68FD">
        <w:rPr>
          <w:rFonts w:cstheme="majorHAnsi"/>
          <w:b/>
          <w:bCs/>
          <w:sz w:val="20"/>
          <w:szCs w:val="20"/>
          <w:lang w:val="pl-PL"/>
        </w:rPr>
        <w:t>międzynarodowe</w:t>
      </w:r>
      <w:r w:rsidR="00F42995" w:rsidRPr="00FA68FD">
        <w:rPr>
          <w:rFonts w:cstheme="majorHAnsi"/>
          <w:b/>
          <w:bCs/>
          <w:sz w:val="20"/>
          <w:szCs w:val="20"/>
          <w:lang w:val="pl-PL"/>
        </w:rPr>
        <w:t>go</w:t>
      </w:r>
      <w:r w:rsidRPr="00FA68FD">
        <w:rPr>
          <w:rFonts w:cstheme="majorHAnsi"/>
          <w:b/>
          <w:bCs/>
          <w:sz w:val="20"/>
          <w:szCs w:val="20"/>
          <w:lang w:val="pl-PL"/>
        </w:rPr>
        <w:t xml:space="preserve"> badani</w:t>
      </w:r>
      <w:r w:rsidR="00F42995" w:rsidRPr="00FA68FD">
        <w:rPr>
          <w:rFonts w:cstheme="majorHAnsi"/>
          <w:b/>
          <w:bCs/>
          <w:sz w:val="20"/>
          <w:szCs w:val="20"/>
          <w:lang w:val="pl-PL"/>
        </w:rPr>
        <w:t>a</w:t>
      </w:r>
      <w:r w:rsidRPr="00FA68FD">
        <w:rPr>
          <w:rFonts w:cstheme="majorHAnsi"/>
          <w:b/>
          <w:bCs/>
          <w:sz w:val="20"/>
          <w:szCs w:val="20"/>
          <w:lang w:val="pl-PL"/>
        </w:rPr>
        <w:t xml:space="preserve"> ilościowe</w:t>
      </w:r>
      <w:r w:rsidR="00F42995" w:rsidRPr="00FA68FD">
        <w:rPr>
          <w:rFonts w:cstheme="majorHAnsi"/>
          <w:b/>
          <w:bCs/>
          <w:sz w:val="20"/>
          <w:szCs w:val="20"/>
          <w:lang w:val="pl-PL"/>
        </w:rPr>
        <w:t>go</w:t>
      </w:r>
      <w:r w:rsidRPr="00FA68FD">
        <w:rPr>
          <w:rFonts w:cstheme="majorHAnsi"/>
          <w:b/>
          <w:bCs/>
          <w:sz w:val="20"/>
          <w:szCs w:val="20"/>
          <w:lang w:val="pl-PL"/>
        </w:rPr>
        <w:t xml:space="preserve"> </w:t>
      </w:r>
      <w:r w:rsidRPr="00FA68FD">
        <w:rPr>
          <w:rFonts w:cstheme="majorHAnsi"/>
          <w:sz w:val="20"/>
          <w:szCs w:val="20"/>
          <w:lang w:val="pl-PL"/>
        </w:rPr>
        <w:t>przeprowadzane</w:t>
      </w:r>
      <w:r w:rsidR="00F42995" w:rsidRPr="00FA68FD">
        <w:rPr>
          <w:rFonts w:cstheme="majorHAnsi"/>
          <w:sz w:val="20"/>
          <w:szCs w:val="20"/>
          <w:lang w:val="pl-PL"/>
        </w:rPr>
        <w:t>go</w:t>
      </w:r>
      <w:r w:rsidRPr="00FA68FD">
        <w:rPr>
          <w:rFonts w:cstheme="majorHAnsi"/>
          <w:sz w:val="20"/>
          <w:szCs w:val="20"/>
          <w:lang w:val="pl-PL"/>
        </w:rPr>
        <w:t xml:space="preserve"> co roku </w:t>
      </w:r>
      <w:r w:rsidR="00D84F76" w:rsidRPr="00FA68FD">
        <w:rPr>
          <w:rFonts w:cstheme="majorHAnsi"/>
          <w:sz w:val="20"/>
          <w:szCs w:val="20"/>
          <w:lang w:val="pl-PL"/>
        </w:rPr>
        <w:t>(</w:t>
      </w:r>
      <w:r w:rsidR="00F42995" w:rsidRPr="00FA68FD">
        <w:rPr>
          <w:rFonts w:cstheme="majorHAnsi"/>
          <w:sz w:val="20"/>
          <w:szCs w:val="20"/>
          <w:lang w:val="pl-PL"/>
        </w:rPr>
        <w:t xml:space="preserve">z udziałem </w:t>
      </w:r>
      <w:r w:rsidRPr="00FA68FD">
        <w:rPr>
          <w:rFonts w:cstheme="majorHAnsi"/>
          <w:sz w:val="20"/>
          <w:szCs w:val="20"/>
          <w:lang w:val="pl-PL"/>
        </w:rPr>
        <w:t>4800 interesariuszy i 30 000 obywateli w 30 krajach</w:t>
      </w:r>
      <w:r w:rsidR="00D84F76" w:rsidRPr="00FA68FD">
        <w:rPr>
          <w:rFonts w:cstheme="majorHAnsi"/>
          <w:sz w:val="20"/>
          <w:szCs w:val="20"/>
          <w:lang w:val="pl-PL"/>
        </w:rPr>
        <w:t>)</w:t>
      </w:r>
      <w:r w:rsidRPr="00FA68FD">
        <w:rPr>
          <w:rFonts w:cstheme="majorHAnsi"/>
          <w:sz w:val="20"/>
          <w:szCs w:val="20"/>
          <w:lang w:val="pl-PL"/>
        </w:rPr>
        <w:t>.</w:t>
      </w:r>
    </w:p>
    <w:p w14:paraId="4C5770F2" w14:textId="7B3927BC" w:rsidR="00902258" w:rsidRPr="00FA68FD" w:rsidRDefault="00902258" w:rsidP="00FA68FD">
      <w:pPr>
        <w:pStyle w:val="Nagwek2"/>
        <w:spacing w:after="240" w:line="240" w:lineRule="auto"/>
        <w:rPr>
          <w:rFonts w:cstheme="majorHAnsi"/>
          <w:sz w:val="20"/>
          <w:szCs w:val="20"/>
          <w:lang w:val="pl-PL"/>
        </w:rPr>
      </w:pPr>
      <w:r w:rsidRPr="00FA68FD">
        <w:rPr>
          <w:rFonts w:cstheme="majorHAnsi"/>
          <w:sz w:val="20"/>
          <w:szCs w:val="20"/>
          <w:lang w:val="pl-PL"/>
        </w:rPr>
        <w:t>W</w:t>
      </w:r>
      <w:r w:rsidR="00636640" w:rsidRPr="00FA68FD">
        <w:rPr>
          <w:rFonts w:cstheme="majorHAnsi"/>
          <w:sz w:val="20"/>
          <w:szCs w:val="20"/>
          <w:lang w:val="pl-PL"/>
        </w:rPr>
        <w:t xml:space="preserve"> skali globalnej w</w:t>
      </w:r>
      <w:r w:rsidRPr="00FA68FD">
        <w:rPr>
          <w:rFonts w:cstheme="majorHAnsi"/>
          <w:sz w:val="20"/>
          <w:szCs w:val="20"/>
          <w:lang w:val="pl-PL"/>
        </w:rPr>
        <w:t xml:space="preserve">yniki pokazują, że </w:t>
      </w:r>
      <w:r w:rsidRPr="00FA68FD">
        <w:rPr>
          <w:rFonts w:cstheme="majorHAnsi"/>
          <w:b/>
          <w:bCs/>
          <w:sz w:val="20"/>
          <w:szCs w:val="20"/>
          <w:lang w:val="pl-PL"/>
        </w:rPr>
        <w:t xml:space="preserve">adaptacja do zmian klimatu i odporność </w:t>
      </w:r>
      <w:r w:rsidRPr="00FA68FD">
        <w:rPr>
          <w:rFonts w:cstheme="majorHAnsi"/>
          <w:sz w:val="20"/>
          <w:szCs w:val="20"/>
          <w:lang w:val="pl-PL"/>
        </w:rPr>
        <w:t xml:space="preserve">zyskują na znaczeniu wszędzie: zarówno wśród podmiotów finansowych i interesariuszy (26% </w:t>
      </w:r>
      <w:r w:rsidR="00F42995" w:rsidRPr="00FA68FD">
        <w:rPr>
          <w:rFonts w:cstheme="majorHAnsi"/>
          <w:sz w:val="20"/>
          <w:szCs w:val="20"/>
          <w:lang w:val="pl-PL"/>
        </w:rPr>
        <w:t>odpowiedzi</w:t>
      </w:r>
      <w:r w:rsidRPr="00FA68FD">
        <w:rPr>
          <w:rFonts w:cstheme="majorHAnsi"/>
          <w:sz w:val="20"/>
          <w:szCs w:val="20"/>
          <w:lang w:val="pl-PL"/>
        </w:rPr>
        <w:t>, wzrost o 5 punktów</w:t>
      </w:r>
      <w:r w:rsidR="00F42995" w:rsidRPr="00FA68FD">
        <w:rPr>
          <w:rFonts w:cstheme="majorHAnsi"/>
          <w:sz w:val="20"/>
          <w:szCs w:val="20"/>
          <w:lang w:val="pl-PL"/>
        </w:rPr>
        <w:t xml:space="preserve"> procentowych</w:t>
      </w:r>
      <w:r w:rsidRPr="00FA68FD">
        <w:rPr>
          <w:rFonts w:cstheme="majorHAnsi"/>
          <w:sz w:val="20"/>
          <w:szCs w:val="20"/>
          <w:lang w:val="pl-PL"/>
        </w:rPr>
        <w:t xml:space="preserve"> w porównaniu z </w:t>
      </w:r>
      <w:r w:rsidR="00F42995" w:rsidRPr="00FA68FD">
        <w:rPr>
          <w:rFonts w:cstheme="majorHAnsi"/>
          <w:sz w:val="20"/>
          <w:szCs w:val="20"/>
          <w:lang w:val="pl-PL"/>
        </w:rPr>
        <w:t xml:space="preserve">rokiem </w:t>
      </w:r>
      <w:r w:rsidRPr="00FA68FD">
        <w:rPr>
          <w:rFonts w:cstheme="majorHAnsi"/>
          <w:sz w:val="20"/>
          <w:szCs w:val="20"/>
          <w:lang w:val="pl-PL"/>
        </w:rPr>
        <w:t>2025</w:t>
      </w:r>
      <w:r w:rsidR="00F42995" w:rsidRPr="00FA68FD">
        <w:rPr>
          <w:rFonts w:cstheme="majorHAnsi"/>
          <w:sz w:val="20"/>
          <w:szCs w:val="20"/>
          <w:lang w:val="pl-PL"/>
        </w:rPr>
        <w:t>, w którym również</w:t>
      </w:r>
      <w:r w:rsidRPr="00FA68FD">
        <w:rPr>
          <w:rFonts w:cstheme="majorHAnsi"/>
          <w:sz w:val="20"/>
          <w:szCs w:val="20"/>
          <w:lang w:val="pl-PL"/>
        </w:rPr>
        <w:t xml:space="preserve"> </w:t>
      </w:r>
      <w:r w:rsidR="00F42995" w:rsidRPr="00FA68FD">
        <w:rPr>
          <w:rFonts w:cstheme="majorHAnsi"/>
          <w:sz w:val="20"/>
          <w:szCs w:val="20"/>
          <w:lang w:val="pl-PL"/>
        </w:rPr>
        <w:t>odnotowano znaczący wzrost w stosunku do</w:t>
      </w:r>
      <w:r w:rsidRPr="00FA68FD">
        <w:rPr>
          <w:rFonts w:cstheme="majorHAnsi"/>
          <w:sz w:val="20"/>
          <w:szCs w:val="20"/>
          <w:lang w:val="pl-PL"/>
        </w:rPr>
        <w:t xml:space="preserve"> poprzedni</w:t>
      </w:r>
      <w:r w:rsidR="00F42995" w:rsidRPr="00FA68FD">
        <w:rPr>
          <w:rFonts w:cstheme="majorHAnsi"/>
          <w:sz w:val="20"/>
          <w:szCs w:val="20"/>
          <w:lang w:val="pl-PL"/>
        </w:rPr>
        <w:t>ego</w:t>
      </w:r>
      <w:r w:rsidRPr="00FA68FD">
        <w:rPr>
          <w:rFonts w:cstheme="majorHAnsi"/>
          <w:sz w:val="20"/>
          <w:szCs w:val="20"/>
          <w:lang w:val="pl-PL"/>
        </w:rPr>
        <w:t xml:space="preserve"> roku)</w:t>
      </w:r>
      <w:r w:rsidR="00F42995" w:rsidRPr="00FA68FD">
        <w:rPr>
          <w:rFonts w:cstheme="majorHAnsi"/>
          <w:sz w:val="20"/>
          <w:szCs w:val="20"/>
          <w:lang w:val="pl-PL"/>
        </w:rPr>
        <w:t xml:space="preserve">, jak i wśród </w:t>
      </w:r>
      <w:r w:rsidR="0001531F" w:rsidRPr="00FA68FD">
        <w:rPr>
          <w:rFonts w:cstheme="majorHAnsi"/>
          <w:sz w:val="20"/>
          <w:szCs w:val="20"/>
          <w:lang w:val="pl-PL"/>
        </w:rPr>
        <w:t>respondentów indywidualnych</w:t>
      </w:r>
      <w:r w:rsidRPr="00FA68FD">
        <w:rPr>
          <w:rFonts w:cstheme="majorHAnsi"/>
          <w:sz w:val="20"/>
          <w:szCs w:val="20"/>
          <w:lang w:val="pl-PL"/>
        </w:rPr>
        <w:t>.</w:t>
      </w:r>
    </w:p>
    <w:p w14:paraId="5DAE0F5B" w14:textId="4F87C3F6" w:rsidR="00902258" w:rsidRPr="00FA68FD" w:rsidRDefault="0001531F" w:rsidP="00FA68FD">
      <w:pPr>
        <w:pStyle w:val="Nagwek2"/>
        <w:spacing w:after="240" w:line="240" w:lineRule="auto"/>
        <w:rPr>
          <w:rFonts w:cstheme="majorHAnsi"/>
          <w:sz w:val="20"/>
          <w:szCs w:val="20"/>
          <w:lang w:val="pl-PL"/>
        </w:rPr>
      </w:pPr>
      <w:r w:rsidRPr="00FA68FD">
        <w:rPr>
          <w:rFonts w:cstheme="majorHAnsi"/>
          <w:sz w:val="20"/>
          <w:szCs w:val="20"/>
          <w:lang w:val="pl-PL"/>
        </w:rPr>
        <w:t xml:space="preserve">Pojęcia </w:t>
      </w:r>
      <w:r w:rsidR="00902258" w:rsidRPr="00FA68FD">
        <w:rPr>
          <w:rFonts w:cstheme="majorHAnsi"/>
          <w:sz w:val="20"/>
          <w:szCs w:val="20"/>
          <w:lang w:val="pl-PL"/>
        </w:rPr>
        <w:t xml:space="preserve">te odnoszą się do zdolności budynków i infrastruktury do </w:t>
      </w:r>
      <w:r w:rsidRPr="00FA68FD">
        <w:rPr>
          <w:rFonts w:cstheme="majorHAnsi"/>
          <w:b/>
          <w:bCs/>
          <w:sz w:val="20"/>
          <w:szCs w:val="20"/>
          <w:lang w:val="pl-PL"/>
        </w:rPr>
        <w:t>sprostania</w:t>
      </w:r>
      <w:r w:rsidR="00902258" w:rsidRPr="00FA68FD">
        <w:rPr>
          <w:rFonts w:cstheme="majorHAnsi"/>
          <w:b/>
          <w:bCs/>
          <w:sz w:val="20"/>
          <w:szCs w:val="20"/>
          <w:lang w:val="pl-PL"/>
        </w:rPr>
        <w:t xml:space="preserve"> zagroże</w:t>
      </w:r>
      <w:r w:rsidRPr="00FA68FD">
        <w:rPr>
          <w:rFonts w:cstheme="majorHAnsi"/>
          <w:b/>
          <w:bCs/>
          <w:sz w:val="20"/>
          <w:szCs w:val="20"/>
          <w:lang w:val="pl-PL"/>
        </w:rPr>
        <w:t>niom</w:t>
      </w:r>
      <w:r w:rsidR="00902258" w:rsidRPr="00FA68FD">
        <w:rPr>
          <w:rFonts w:cstheme="majorHAnsi"/>
          <w:b/>
          <w:bCs/>
          <w:sz w:val="20"/>
          <w:szCs w:val="20"/>
          <w:lang w:val="pl-PL"/>
        </w:rPr>
        <w:t xml:space="preserve"> klimatyczny</w:t>
      </w:r>
      <w:r w:rsidRPr="00FA68FD">
        <w:rPr>
          <w:rFonts w:cstheme="majorHAnsi"/>
          <w:b/>
          <w:bCs/>
          <w:sz w:val="20"/>
          <w:szCs w:val="20"/>
          <w:lang w:val="pl-PL"/>
        </w:rPr>
        <w:t>m</w:t>
      </w:r>
      <w:r w:rsidR="00902258" w:rsidRPr="00FA68FD">
        <w:rPr>
          <w:rFonts w:cstheme="majorHAnsi"/>
          <w:b/>
          <w:bCs/>
          <w:sz w:val="20"/>
          <w:szCs w:val="20"/>
          <w:lang w:val="pl-PL"/>
        </w:rPr>
        <w:t xml:space="preserve">, </w:t>
      </w:r>
      <w:r w:rsidRPr="00FA68FD">
        <w:rPr>
          <w:rFonts w:cstheme="majorHAnsi"/>
          <w:b/>
          <w:bCs/>
          <w:sz w:val="20"/>
          <w:szCs w:val="20"/>
          <w:lang w:val="pl-PL"/>
        </w:rPr>
        <w:t>absorbowania</w:t>
      </w:r>
      <w:r w:rsidR="00902258" w:rsidRPr="00FA68FD">
        <w:rPr>
          <w:rFonts w:cstheme="majorHAnsi"/>
          <w:b/>
          <w:bCs/>
          <w:sz w:val="20"/>
          <w:szCs w:val="20"/>
          <w:lang w:val="pl-PL"/>
        </w:rPr>
        <w:t xml:space="preserve"> wstrząsów i zachowania</w:t>
      </w:r>
      <w:r w:rsidRPr="00FA68FD">
        <w:rPr>
          <w:rFonts w:cstheme="majorHAnsi"/>
          <w:b/>
          <w:bCs/>
          <w:sz w:val="20"/>
          <w:szCs w:val="20"/>
          <w:lang w:val="pl-PL"/>
        </w:rPr>
        <w:t xml:space="preserve"> swojej</w:t>
      </w:r>
      <w:r w:rsidR="00902258" w:rsidRPr="00FA68FD">
        <w:rPr>
          <w:rFonts w:cstheme="majorHAnsi"/>
          <w:b/>
          <w:bCs/>
          <w:sz w:val="20"/>
          <w:szCs w:val="20"/>
          <w:lang w:val="pl-PL"/>
        </w:rPr>
        <w:t xml:space="preserve"> wartości w</w:t>
      </w:r>
      <w:r w:rsidRPr="00FA68FD">
        <w:rPr>
          <w:rFonts w:cstheme="majorHAnsi"/>
          <w:b/>
          <w:bCs/>
          <w:sz w:val="20"/>
          <w:szCs w:val="20"/>
          <w:lang w:val="pl-PL"/>
        </w:rPr>
        <w:t xml:space="preserve"> perspektywie długoterminowej</w:t>
      </w:r>
      <w:r w:rsidR="00902258" w:rsidRPr="00FA68FD">
        <w:rPr>
          <w:rFonts w:cstheme="majorHAnsi"/>
          <w:sz w:val="20"/>
          <w:szCs w:val="20"/>
          <w:lang w:val="pl-PL"/>
        </w:rPr>
        <w:t xml:space="preserve">. </w:t>
      </w:r>
      <w:r w:rsidRPr="00FA68FD">
        <w:rPr>
          <w:rFonts w:cstheme="majorHAnsi"/>
          <w:sz w:val="20"/>
          <w:szCs w:val="20"/>
          <w:lang w:val="pl-PL"/>
        </w:rPr>
        <w:t>Nadal jednak rzadko stanowią one</w:t>
      </w:r>
      <w:r w:rsidR="00902258" w:rsidRPr="00FA68FD">
        <w:rPr>
          <w:rFonts w:cstheme="majorHAnsi"/>
          <w:sz w:val="20"/>
          <w:szCs w:val="20"/>
          <w:lang w:val="pl-PL"/>
        </w:rPr>
        <w:t xml:space="preserve"> kryteria </w:t>
      </w:r>
      <w:r w:rsidRPr="00FA68FD">
        <w:rPr>
          <w:rFonts w:cstheme="majorHAnsi"/>
          <w:sz w:val="20"/>
          <w:szCs w:val="20"/>
          <w:lang w:val="pl-PL"/>
        </w:rPr>
        <w:t>kształtujące</w:t>
      </w:r>
      <w:r w:rsidR="00902258" w:rsidRPr="00FA68FD">
        <w:rPr>
          <w:rFonts w:cstheme="majorHAnsi"/>
          <w:sz w:val="20"/>
          <w:szCs w:val="20"/>
          <w:lang w:val="pl-PL"/>
        </w:rPr>
        <w:t xml:space="preserve"> model</w:t>
      </w:r>
      <w:r w:rsidRPr="00FA68FD">
        <w:rPr>
          <w:rFonts w:cstheme="majorHAnsi"/>
          <w:sz w:val="20"/>
          <w:szCs w:val="20"/>
          <w:lang w:val="pl-PL"/>
        </w:rPr>
        <w:t>e</w:t>
      </w:r>
      <w:r w:rsidR="00902258" w:rsidRPr="00FA68FD">
        <w:rPr>
          <w:rFonts w:cstheme="majorHAnsi"/>
          <w:sz w:val="20"/>
          <w:szCs w:val="20"/>
          <w:lang w:val="pl-PL"/>
        </w:rPr>
        <w:t xml:space="preserve"> ekonomiczn</w:t>
      </w:r>
      <w:r w:rsidRPr="00FA68FD">
        <w:rPr>
          <w:rFonts w:cstheme="majorHAnsi"/>
          <w:sz w:val="20"/>
          <w:szCs w:val="20"/>
          <w:lang w:val="pl-PL"/>
        </w:rPr>
        <w:t>e</w:t>
      </w:r>
      <w:r w:rsidR="00902258" w:rsidRPr="00FA68FD">
        <w:rPr>
          <w:rFonts w:cstheme="majorHAnsi"/>
          <w:sz w:val="20"/>
          <w:szCs w:val="20"/>
          <w:lang w:val="pl-PL"/>
        </w:rPr>
        <w:t xml:space="preserve"> i </w:t>
      </w:r>
      <w:r w:rsidR="00902258" w:rsidRPr="00FA68FD">
        <w:rPr>
          <w:rFonts w:cstheme="majorHAnsi"/>
          <w:b/>
          <w:bCs/>
          <w:sz w:val="20"/>
          <w:szCs w:val="20"/>
          <w:lang w:val="pl-PL"/>
        </w:rPr>
        <w:t>trudno przełożyć je na</w:t>
      </w:r>
      <w:r w:rsidRPr="00FA68FD">
        <w:rPr>
          <w:rFonts w:cstheme="majorHAnsi"/>
          <w:b/>
          <w:bCs/>
          <w:sz w:val="20"/>
          <w:szCs w:val="20"/>
          <w:lang w:val="pl-PL"/>
        </w:rPr>
        <w:t xml:space="preserve"> procesy</w:t>
      </w:r>
      <w:r w:rsidR="00902258" w:rsidRPr="00FA68FD">
        <w:rPr>
          <w:rFonts w:cstheme="majorHAnsi"/>
          <w:b/>
          <w:bCs/>
          <w:sz w:val="20"/>
          <w:szCs w:val="20"/>
          <w:lang w:val="pl-PL"/>
        </w:rPr>
        <w:t xml:space="preserve"> decyz</w:t>
      </w:r>
      <w:r w:rsidRPr="00FA68FD">
        <w:rPr>
          <w:rFonts w:cstheme="majorHAnsi"/>
          <w:b/>
          <w:bCs/>
          <w:sz w:val="20"/>
          <w:szCs w:val="20"/>
          <w:lang w:val="pl-PL"/>
        </w:rPr>
        <w:t>yjne</w:t>
      </w:r>
      <w:r w:rsidR="00902258" w:rsidRPr="00FA68FD">
        <w:rPr>
          <w:rFonts w:cstheme="majorHAnsi"/>
          <w:b/>
          <w:bCs/>
          <w:sz w:val="20"/>
          <w:szCs w:val="20"/>
          <w:lang w:val="pl-PL"/>
        </w:rPr>
        <w:t xml:space="preserve"> dotyczące kredytów lub alokacji kapitału</w:t>
      </w:r>
      <w:r w:rsidR="00902258" w:rsidRPr="00FA68FD">
        <w:rPr>
          <w:rFonts w:cstheme="majorHAnsi"/>
          <w:sz w:val="20"/>
          <w:szCs w:val="20"/>
          <w:lang w:val="pl-PL"/>
        </w:rPr>
        <w:t>.</w:t>
      </w:r>
    </w:p>
    <w:p w14:paraId="0E4FEECB" w14:textId="587A5ED4" w:rsidR="00902258" w:rsidRPr="00FA68FD" w:rsidRDefault="00902258" w:rsidP="00FA68FD">
      <w:pPr>
        <w:pStyle w:val="Nagwek2"/>
        <w:spacing w:after="240" w:line="240" w:lineRule="auto"/>
        <w:rPr>
          <w:rFonts w:cstheme="majorHAnsi"/>
          <w:b/>
          <w:bCs/>
          <w:color w:val="67B9B0" w:themeColor="accent4"/>
          <w:sz w:val="20"/>
          <w:szCs w:val="20"/>
          <w:lang w:val="pl-PL"/>
        </w:rPr>
      </w:pPr>
      <w:r w:rsidRPr="00FA68FD">
        <w:rPr>
          <w:rFonts w:cstheme="majorHAnsi"/>
          <w:b/>
          <w:bCs/>
          <w:color w:val="67B9B0" w:themeColor="accent4"/>
          <w:sz w:val="20"/>
          <w:szCs w:val="20"/>
          <w:lang w:val="pl-PL"/>
        </w:rPr>
        <w:t xml:space="preserve">Główna przeszkoda: brak </w:t>
      </w:r>
      <w:r w:rsidR="00D84F76" w:rsidRPr="00FA68FD">
        <w:rPr>
          <w:rFonts w:cstheme="majorHAnsi"/>
          <w:b/>
          <w:bCs/>
          <w:color w:val="67B9B0" w:themeColor="accent4"/>
          <w:sz w:val="20"/>
          <w:szCs w:val="20"/>
          <w:lang w:val="pl-PL"/>
        </w:rPr>
        <w:t>wykazanej</w:t>
      </w:r>
      <w:r w:rsidRPr="00FA68FD">
        <w:rPr>
          <w:rFonts w:cstheme="majorHAnsi"/>
          <w:b/>
          <w:bCs/>
          <w:color w:val="67B9B0" w:themeColor="accent4"/>
          <w:sz w:val="20"/>
          <w:szCs w:val="20"/>
          <w:lang w:val="pl-PL"/>
        </w:rPr>
        <w:t xml:space="preserve"> stopy zwrotu z inwestycji</w:t>
      </w:r>
    </w:p>
    <w:p w14:paraId="6C7E5774" w14:textId="3541D78E" w:rsidR="00902258" w:rsidRPr="00FA68FD" w:rsidRDefault="00F955E6" w:rsidP="00FA68FD">
      <w:pPr>
        <w:tabs>
          <w:tab w:val="left" w:pos="6237"/>
        </w:tabs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Rozmówcy uczestniczący w badaniu jakościowym wskazują na tę samą barierę: </w:t>
      </w:r>
      <w:r w:rsidR="00902258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potrzebę </w:t>
      </w:r>
      <w:r w:rsidR="0001531F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>przejrzystego</w:t>
      </w:r>
      <w:r w:rsidR="00902258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 wykazania </w:t>
      </w:r>
      <w:r w:rsidR="0001531F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stopy </w:t>
      </w:r>
      <w:r w:rsidR="00902258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zwrotu z inwestycji </w:t>
      </w:r>
      <w:r w:rsidR="00902258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w projekty związane z adaptacją i odpornością.</w:t>
      </w:r>
    </w:p>
    <w:p w14:paraId="45EDDC73" w14:textId="722DE243" w:rsidR="00902258" w:rsidRPr="00FA68FD" w:rsidRDefault="00902258" w:rsidP="00FA68FD">
      <w:p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W przeciwieństwie do redukcji emisji CO</w:t>
      </w:r>
      <w:r w:rsidRPr="00FA68FD">
        <w:rPr>
          <w:rFonts w:ascii="Cambria Math" w:eastAsiaTheme="majorEastAsia" w:hAnsi="Cambria Math" w:cs="Cambria Math"/>
          <w:color w:val="17428C" w:themeColor="accent1"/>
          <w:sz w:val="20"/>
          <w:szCs w:val="20"/>
          <w:lang w:val="pl-PL"/>
        </w:rPr>
        <w:t>₂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, która korzysta z powszechnie </w:t>
      </w:r>
      <w:r w:rsidR="0001531F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ustandaryzowanych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wskaźników, odporność opiera się na </w:t>
      </w:r>
      <w:r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>długoterminowych, probabilistycznych i często pośrednich korzyściach</w:t>
      </w:r>
      <w:r w:rsidR="0001531F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, </w:t>
      </w:r>
      <w:r w:rsidR="0001531F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takich jak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zmniejszeni</w:t>
      </w:r>
      <w:r w:rsidR="0001531F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e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przyszłych strat, ciągło</w:t>
      </w:r>
      <w:r w:rsidR="0001531F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ść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działa</w:t>
      </w:r>
      <w:r w:rsidR="0001531F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lności biznesowej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oraz zachowani</w:t>
      </w:r>
      <w:r w:rsidR="0001531F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e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wartości aktywów.</w:t>
      </w:r>
    </w:p>
    <w:p w14:paraId="6B7D4691" w14:textId="42C49AC1" w:rsidR="000B6790" w:rsidRPr="00FA68FD" w:rsidRDefault="00902258" w:rsidP="00FA68FD">
      <w:p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W rezultacie natychmiastowe i widoczne – czasem </w:t>
      </w:r>
      <w:r w:rsidR="0001531F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bardzo wysokie 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– koszty są zestawiane z </w:t>
      </w:r>
      <w:r w:rsidR="000972BD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mniej sprecyzowanymi i odległymi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korzyściami, które wciąż są słabo zintegrowane z modelami finansowymi</w:t>
      </w:r>
      <w:r w:rsid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i 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ubezpieczeniowymi.</w:t>
      </w:r>
    </w:p>
    <w:p w14:paraId="197ADDB8" w14:textId="77777777" w:rsidR="00902258" w:rsidRPr="00FA68FD" w:rsidRDefault="00902258" w:rsidP="00FA68FD">
      <w:pPr>
        <w:pStyle w:val="Nagwek2"/>
        <w:spacing w:after="240" w:line="240" w:lineRule="auto"/>
        <w:rPr>
          <w:rFonts w:cstheme="majorHAnsi"/>
          <w:b/>
          <w:bCs/>
          <w:color w:val="67B9B0" w:themeColor="accent4"/>
          <w:sz w:val="20"/>
          <w:szCs w:val="20"/>
          <w:lang w:val="pl-PL"/>
        </w:rPr>
      </w:pPr>
      <w:r w:rsidRPr="00FA68FD">
        <w:rPr>
          <w:rFonts w:cstheme="majorHAnsi"/>
          <w:b/>
          <w:bCs/>
          <w:color w:val="67B9B0" w:themeColor="accent4"/>
          <w:sz w:val="20"/>
          <w:szCs w:val="20"/>
          <w:lang w:val="pl-PL"/>
        </w:rPr>
        <w:t>Uczynienie odporności atutem ekonomicznym</w:t>
      </w:r>
    </w:p>
    <w:p w14:paraId="19989D42" w14:textId="045CEBED" w:rsidR="00902258" w:rsidRPr="00FA68FD" w:rsidRDefault="00902258" w:rsidP="00FA68FD">
      <w:p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Aby przyspieszyć transformację sektora i przejście na zrównoważone budownictwo, należy </w:t>
      </w:r>
      <w:r w:rsidR="000065A9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jak najszybciej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</w:t>
      </w:r>
      <w:r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uczynić odporność dźwignią wyników ekonomicznych, konkurencyjności i </w:t>
      </w:r>
      <w:r w:rsidR="000065A9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>ograniczania</w:t>
      </w:r>
      <w:r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 ryzyka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.</w:t>
      </w:r>
    </w:p>
    <w:p w14:paraId="0ED5B669" w14:textId="0B71B64F" w:rsidR="00902258" w:rsidRPr="00FA68FD" w:rsidRDefault="00902258" w:rsidP="00FA68FD">
      <w:p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Barometr pokazuje, że</w:t>
      </w:r>
      <w:r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 47% interesariuszy 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uważa, </w:t>
      </w:r>
      <w:r w:rsidR="00636640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że</w:t>
      </w:r>
      <w:r w:rsidR="00636640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 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budownictwo zrównoważone </w:t>
      </w:r>
      <w:r w:rsidR="000065A9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zapewnia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większą wartość niż tradycyjne – </w:t>
      </w:r>
      <w:r w:rsidR="000065A9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jest to jednak nadal 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ocena </w:t>
      </w:r>
      <w:r w:rsidR="000065A9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zbyt słaba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, szczególnie w Europie i regionie Azji</w:t>
      </w:r>
      <w:r w:rsid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i 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Pacyfiku.</w:t>
      </w:r>
    </w:p>
    <w:p w14:paraId="2B0AF49F" w14:textId="2AA1010D" w:rsidR="003610BA" w:rsidRPr="00FA68FD" w:rsidRDefault="003610BA" w:rsidP="00FA68FD">
      <w:p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W kontekście Polski</w:t>
      </w:r>
      <w:r w:rsidR="00214C61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także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ma to </w:t>
      </w:r>
      <w:r w:rsidR="007979CC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duże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znaczenie. Niskie poczucie pilności nie oznacza odrzucenia idei zrównoważonego budownictwa, ale pokazuje, że dla wielu uczestników rynku temat ten wciąż wymaga przełożenia na </w:t>
      </w:r>
      <w:r w:rsidRPr="00A06546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język konkretnych korzyści: niższych kosztów eksploatacji, większej odporności na ryzyka klimatyczne, komfortu i bezpieczeństwa użytkowników oraz długoterminowej </w:t>
      </w:r>
      <w:r w:rsidR="00DF03D7" w:rsidRPr="00A06546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>wartości</w:t>
      </w:r>
      <w:r w:rsidRPr="00A06546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 inwestycji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.</w:t>
      </w:r>
    </w:p>
    <w:p w14:paraId="37C38DEC" w14:textId="3872F99B" w:rsidR="00902258" w:rsidRPr="00FA68FD" w:rsidRDefault="000065A9" w:rsidP="00FA68FD">
      <w:p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T</w:t>
      </w:r>
      <w:r w:rsidR="00902258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rzy czynniki</w:t>
      </w:r>
      <w:r w:rsidR="00D84F76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,</w:t>
      </w:r>
      <w:r w:rsidR="00902258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które mogą wzmocnić poparcie najbardziej niezdecydowanych respondentów (6% interesariuszy) dla utrzymania tempa rozwoju zrównoważonego budownictwa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to</w:t>
      </w:r>
      <w:r w:rsidR="00902258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:</w:t>
      </w:r>
    </w:p>
    <w:p w14:paraId="64285DEA" w14:textId="30010154" w:rsidR="00902258" w:rsidRPr="00FA68FD" w:rsidRDefault="000065A9" w:rsidP="00FA68FD">
      <w:pPr>
        <w:pStyle w:val="Nagwek2"/>
        <w:numPr>
          <w:ilvl w:val="0"/>
          <w:numId w:val="3"/>
        </w:numPr>
        <w:tabs>
          <w:tab w:val="num" w:pos="720"/>
        </w:tabs>
        <w:spacing w:after="240" w:line="240" w:lineRule="auto"/>
        <w:rPr>
          <w:rFonts w:cstheme="majorHAnsi"/>
          <w:sz w:val="20"/>
          <w:szCs w:val="20"/>
          <w:lang w:val="pl-PL"/>
        </w:rPr>
      </w:pPr>
      <w:r w:rsidRPr="00FA68FD">
        <w:rPr>
          <w:rFonts w:cstheme="majorHAnsi"/>
          <w:sz w:val="20"/>
          <w:szCs w:val="20"/>
          <w:lang w:val="pl-PL"/>
        </w:rPr>
        <w:lastRenderedPageBreak/>
        <w:t>sprawienie, aby</w:t>
      </w:r>
      <w:r w:rsidR="00902258" w:rsidRPr="00FA68FD">
        <w:rPr>
          <w:rFonts w:cstheme="majorHAnsi"/>
          <w:sz w:val="20"/>
          <w:szCs w:val="20"/>
          <w:lang w:val="pl-PL"/>
        </w:rPr>
        <w:t xml:space="preserve"> korzyści</w:t>
      </w:r>
      <w:r w:rsidRPr="00FA68FD">
        <w:rPr>
          <w:rFonts w:cstheme="majorHAnsi"/>
          <w:sz w:val="20"/>
          <w:szCs w:val="20"/>
          <w:lang w:val="pl-PL"/>
        </w:rPr>
        <w:t xml:space="preserve"> stały się widoczne i wymierne</w:t>
      </w:r>
      <w:r w:rsidR="00902258" w:rsidRPr="00FA68FD">
        <w:rPr>
          <w:rFonts w:cstheme="majorHAnsi"/>
          <w:sz w:val="20"/>
          <w:szCs w:val="20"/>
          <w:lang w:val="pl-PL"/>
        </w:rPr>
        <w:t>,</w:t>
      </w:r>
    </w:p>
    <w:p w14:paraId="7BA7C946" w14:textId="01EB195D" w:rsidR="00902258" w:rsidRPr="00FA68FD" w:rsidRDefault="000065A9" w:rsidP="00FA68FD">
      <w:pPr>
        <w:pStyle w:val="Nagwek2"/>
        <w:numPr>
          <w:ilvl w:val="0"/>
          <w:numId w:val="3"/>
        </w:numPr>
        <w:tabs>
          <w:tab w:val="num" w:pos="720"/>
        </w:tabs>
        <w:spacing w:after="240" w:line="240" w:lineRule="auto"/>
        <w:rPr>
          <w:rFonts w:cstheme="majorHAnsi"/>
          <w:sz w:val="20"/>
          <w:szCs w:val="20"/>
          <w:lang w:val="pl-PL"/>
        </w:rPr>
      </w:pPr>
      <w:r w:rsidRPr="00FA68FD">
        <w:rPr>
          <w:rFonts w:cstheme="majorHAnsi"/>
          <w:sz w:val="20"/>
          <w:szCs w:val="20"/>
          <w:lang w:val="pl-PL"/>
        </w:rPr>
        <w:t>zagwarantowanie</w:t>
      </w:r>
      <w:r w:rsidR="00902258" w:rsidRPr="00FA68FD">
        <w:rPr>
          <w:rFonts w:cstheme="majorHAnsi"/>
          <w:sz w:val="20"/>
          <w:szCs w:val="20"/>
          <w:lang w:val="pl-PL"/>
        </w:rPr>
        <w:t xml:space="preserve"> rzeczywistych </w:t>
      </w:r>
      <w:r w:rsidR="00EB6636" w:rsidRPr="00FA68FD">
        <w:rPr>
          <w:rFonts w:cstheme="majorHAnsi"/>
          <w:sz w:val="20"/>
          <w:szCs w:val="20"/>
          <w:lang w:val="pl-PL"/>
        </w:rPr>
        <w:t>rezultatów</w:t>
      </w:r>
      <w:r w:rsidR="00902258" w:rsidRPr="00FA68FD">
        <w:rPr>
          <w:rFonts w:cstheme="majorHAnsi"/>
          <w:sz w:val="20"/>
          <w:szCs w:val="20"/>
          <w:lang w:val="pl-PL"/>
        </w:rPr>
        <w:t xml:space="preserve"> dla użytkowników,</w:t>
      </w:r>
    </w:p>
    <w:p w14:paraId="6EE17884" w14:textId="29059767" w:rsidR="00902258" w:rsidRPr="00FA68FD" w:rsidRDefault="00902258" w:rsidP="00FA68FD">
      <w:pPr>
        <w:pStyle w:val="Nagwek2"/>
        <w:numPr>
          <w:ilvl w:val="0"/>
          <w:numId w:val="3"/>
        </w:numPr>
        <w:tabs>
          <w:tab w:val="num" w:pos="720"/>
        </w:tabs>
        <w:spacing w:after="240" w:line="240" w:lineRule="auto"/>
        <w:rPr>
          <w:rFonts w:cstheme="majorHAnsi"/>
          <w:sz w:val="20"/>
          <w:szCs w:val="20"/>
          <w:lang w:val="pl-PL"/>
        </w:rPr>
      </w:pPr>
      <w:r w:rsidRPr="00FA68FD">
        <w:rPr>
          <w:rFonts w:cstheme="majorHAnsi"/>
          <w:sz w:val="20"/>
          <w:szCs w:val="20"/>
          <w:lang w:val="pl-PL"/>
        </w:rPr>
        <w:t>obiektyw</w:t>
      </w:r>
      <w:r w:rsidR="000065A9" w:rsidRPr="00FA68FD">
        <w:rPr>
          <w:rFonts w:cstheme="majorHAnsi"/>
          <w:sz w:val="20"/>
          <w:szCs w:val="20"/>
          <w:lang w:val="pl-PL"/>
        </w:rPr>
        <w:t>na ocena</w:t>
      </w:r>
      <w:r w:rsidRPr="00FA68FD">
        <w:rPr>
          <w:rFonts w:cstheme="majorHAnsi"/>
          <w:sz w:val="20"/>
          <w:szCs w:val="20"/>
          <w:lang w:val="pl-PL"/>
        </w:rPr>
        <w:t xml:space="preserve"> konkurencyjności ekonomicznej rozwiązań.</w:t>
      </w:r>
    </w:p>
    <w:p w14:paraId="5AD943FB" w14:textId="777C116A" w:rsidR="00902258" w:rsidRPr="00FA68FD" w:rsidRDefault="000065A9" w:rsidP="00FA68FD">
      <w:pPr>
        <w:pStyle w:val="Nagwek2"/>
        <w:spacing w:after="240" w:line="240" w:lineRule="auto"/>
        <w:rPr>
          <w:rFonts w:cstheme="majorHAnsi"/>
          <w:b/>
          <w:bCs/>
          <w:color w:val="67B9B0" w:themeColor="accent4"/>
          <w:sz w:val="20"/>
          <w:szCs w:val="20"/>
          <w:lang w:val="pl-PL"/>
        </w:rPr>
      </w:pPr>
      <w:r w:rsidRPr="00FA68FD">
        <w:rPr>
          <w:rFonts w:cstheme="majorHAnsi"/>
          <w:b/>
          <w:bCs/>
          <w:color w:val="67B9B0" w:themeColor="accent4"/>
          <w:sz w:val="20"/>
          <w:szCs w:val="20"/>
          <w:lang w:val="pl-PL"/>
        </w:rPr>
        <w:t>Instytucje finansowe</w:t>
      </w:r>
      <w:r w:rsidR="00902258" w:rsidRPr="00FA68FD">
        <w:rPr>
          <w:rFonts w:cstheme="majorHAnsi"/>
          <w:b/>
          <w:bCs/>
          <w:color w:val="67B9B0" w:themeColor="accent4"/>
          <w:sz w:val="20"/>
          <w:szCs w:val="20"/>
          <w:lang w:val="pl-PL"/>
        </w:rPr>
        <w:t xml:space="preserve"> odgrywają kluczową rolę w </w:t>
      </w:r>
      <w:r w:rsidRPr="00FA68FD">
        <w:rPr>
          <w:rFonts w:cstheme="majorHAnsi"/>
          <w:b/>
          <w:bCs/>
          <w:color w:val="67B9B0" w:themeColor="accent4"/>
          <w:sz w:val="20"/>
          <w:szCs w:val="20"/>
          <w:lang w:val="pl-PL"/>
        </w:rPr>
        <w:t>dalszym rozwoju</w:t>
      </w:r>
    </w:p>
    <w:p w14:paraId="5C11E0E7" w14:textId="07F30B5D" w:rsidR="00902258" w:rsidRPr="00FA68FD" w:rsidRDefault="00902258" w:rsidP="00FA68FD">
      <w:p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W tym kontekście</w:t>
      </w:r>
      <w:r w:rsidR="00110EA0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,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</w:t>
      </w:r>
      <w:r w:rsidR="00110EA0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strategiczną pozycję zajmują </w:t>
      </w:r>
      <w:r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>banki i ubezpieczyciele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: poprzez bardziej</w:t>
      </w:r>
      <w:r w:rsidR="000065A9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</w:t>
      </w:r>
      <w:r w:rsidR="00EB6636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konsekwentne</w:t>
      </w:r>
      <w:r w:rsidR="000065A9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i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systematyczne uwzględnianie kwestii adaptacji i odporności w</w:t>
      </w:r>
      <w:r w:rsidR="00110EA0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swoich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proc</w:t>
      </w:r>
      <w:r w:rsidR="000065A9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esach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decyz</w:t>
      </w:r>
      <w:r w:rsidR="00110EA0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yjnych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mogą</w:t>
      </w:r>
      <w:r w:rsidR="000065A9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one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odegrać </w:t>
      </w:r>
      <w:r w:rsidR="00636EC1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istotną 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rolę w przejściu od wspólnych ambicji do transformacji sektora budowlanego na dużą skalę.</w:t>
      </w:r>
    </w:p>
    <w:p w14:paraId="34EDED43" w14:textId="2C69E9ED" w:rsidR="00902258" w:rsidRPr="00FA68FD" w:rsidRDefault="00902258" w:rsidP="00FA68FD">
      <w:p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W</w:t>
      </w:r>
      <w:r w:rsidR="00110EA0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tym celu musimy osiągnąć 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postęp</w:t>
      </w:r>
      <w:r w:rsidR="00110EA0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na kilku polach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:</w:t>
      </w:r>
    </w:p>
    <w:p w14:paraId="26B3FA09" w14:textId="402F5B82" w:rsidR="00902258" w:rsidRPr="00FA68FD" w:rsidRDefault="00110EA0" w:rsidP="00FA68FD">
      <w:pPr>
        <w:numPr>
          <w:ilvl w:val="0"/>
          <w:numId w:val="2"/>
        </w:num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o</w:t>
      </w:r>
      <w:r w:rsidR="00902258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pracowanie </w:t>
      </w:r>
      <w:r w:rsidR="00902258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>wskaźników i standardów</w:t>
      </w:r>
      <w:r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 przydatnych z operacyjnego punktu widzenia</w:t>
      </w:r>
      <w:r w:rsidR="00902258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,</w:t>
      </w:r>
    </w:p>
    <w:p w14:paraId="618BE4D0" w14:textId="26EA276F" w:rsidR="00902258" w:rsidRPr="00FA68FD" w:rsidRDefault="00110EA0" w:rsidP="00FA68FD">
      <w:pPr>
        <w:numPr>
          <w:ilvl w:val="0"/>
          <w:numId w:val="2"/>
        </w:num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bardziej precyzyjne</w:t>
      </w:r>
      <w:r w:rsidR="00902258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</w:t>
      </w:r>
      <w:r w:rsidR="00902258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przełożenie ryzyka fizycznego na </w:t>
      </w:r>
      <w:r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>skutki</w:t>
      </w:r>
      <w:r w:rsidR="00902258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 finansowe</w:t>
      </w:r>
      <w:r w:rsidR="00902258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,</w:t>
      </w:r>
    </w:p>
    <w:p w14:paraId="4ED5EC95" w14:textId="018D261D" w:rsidR="00902258" w:rsidRPr="00FA68FD" w:rsidRDefault="00902258" w:rsidP="00FA68FD">
      <w:pPr>
        <w:numPr>
          <w:ilvl w:val="0"/>
          <w:numId w:val="2"/>
        </w:num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tworzenie </w:t>
      </w:r>
      <w:r w:rsidR="00110EA0"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>odpowiednio d</w:t>
      </w:r>
      <w:r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>ostosowanych instrumentów finansowych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,</w:t>
      </w:r>
      <w:r w:rsidR="00110EA0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</w:t>
      </w:r>
    </w:p>
    <w:p w14:paraId="3E3C9929" w14:textId="6C8F94A6" w:rsidR="00636EC1" w:rsidRPr="00FA68FD" w:rsidRDefault="00902258" w:rsidP="00FA68FD">
      <w:pPr>
        <w:numPr>
          <w:ilvl w:val="0"/>
          <w:numId w:val="2"/>
        </w:num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systematyczne </w:t>
      </w:r>
      <w:r w:rsidRPr="00FA68FD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 xml:space="preserve">uwzględnianie odporności 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w ocenach projektów i portfeli.</w:t>
      </w:r>
    </w:p>
    <w:p w14:paraId="6C878CC5" w14:textId="18D3F291" w:rsidR="00024F5B" w:rsidRPr="00FA68FD" w:rsidRDefault="00902258" w:rsidP="00FA68FD">
      <w:pPr>
        <w:spacing w:after="240" w:line="240" w:lineRule="auto"/>
        <w:jc w:val="both"/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Pełna wersja 4</w:t>
      </w:r>
      <w:r w:rsidR="00110EA0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. wydania</w:t>
      </w:r>
      <w:r w:rsidR="00EB6636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vertAlign w:val="superscript"/>
          <w:lang w:val="pl-PL"/>
        </w:rPr>
        <w:t xml:space="preserve"> 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Barometru Zrównoważonego Budownictwa </w:t>
      </w:r>
      <w:r w:rsidR="00957220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znajduje się na</w:t>
      </w:r>
      <w:r w:rsidR="00D84F76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</w:t>
      </w:r>
      <w:r w:rsidR="008A1F47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stronie: </w:t>
      </w:r>
      <w:hyperlink r:id="rId12" w:history="1">
        <w:r w:rsidR="008A1F47" w:rsidRPr="00FA68FD">
          <w:rPr>
            <w:rStyle w:val="Hipercze"/>
            <w:rFonts w:asciiTheme="majorHAnsi" w:eastAsiaTheme="majorEastAsia" w:hAnsiTheme="majorHAnsi" w:cstheme="majorHAnsi"/>
            <w:sz w:val="20"/>
            <w:szCs w:val="20"/>
            <w:lang w:val="pl-PL"/>
          </w:rPr>
          <w:t>https://www.saint-gobain.pl/raport-saint-gobain-barometr-zrownowazonego-budownictwa-2026</w:t>
        </w:r>
      </w:hyperlink>
      <w:r w:rsidR="008A1F47"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. </w:t>
      </w:r>
    </w:p>
    <w:p w14:paraId="05DB7406" w14:textId="246BB72A" w:rsidR="00AB073D" w:rsidRPr="00405D55" w:rsidRDefault="00AB073D" w:rsidP="00FA68FD">
      <w:pPr>
        <w:spacing w:after="240" w:line="240" w:lineRule="auto"/>
        <w:jc w:val="both"/>
        <w:rPr>
          <w:rFonts w:asciiTheme="majorHAnsi" w:eastAsiaTheme="majorEastAsia" w:hAnsiTheme="majorHAnsi" w:cstheme="majorBidi"/>
          <w:color w:val="17428C" w:themeColor="accent1"/>
          <w:sz w:val="20"/>
          <w:szCs w:val="20"/>
          <w:lang w:val="pl-PL"/>
        </w:rPr>
      </w:pP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Uzupełnieniem działań Obserwatorium Zrównoważonego Budownictwa jest międzynarodowy magazyn online </w:t>
      </w:r>
      <w:r w:rsidRPr="00FA68FD">
        <w:rPr>
          <w:rFonts w:asciiTheme="majorHAnsi" w:eastAsiaTheme="majorEastAsia" w:hAnsiTheme="majorHAnsi" w:cstheme="majorHAnsi"/>
          <w:b/>
          <w:bCs/>
          <w:i/>
          <w:iCs/>
          <w:color w:val="17428C" w:themeColor="accent1"/>
          <w:sz w:val="20"/>
          <w:szCs w:val="20"/>
          <w:lang w:val="pl-PL"/>
        </w:rPr>
        <w:t>Constructing a Sustainable Future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, poświęcony najważniejszym trendom, analizom, rozmowom</w:t>
      </w:r>
      <w:r w:rsid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 i 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przykładom dobrych projektów. Najnowsza coroczna edycja magazynu, dostępna w formie cyfrowego flipbooka w języku angielskim, pokazuje zrównoważone budownictwo w szerokiej perspektywie: jako obszar łączący jakość życia, odporność na zmiany klimatu, efektywność ekonomiczną oraz ochronę zasobów. Wśród prezentowanych materiałów znalazł się również polski akcent – </w:t>
      </w:r>
      <w:r w:rsidRPr="00A06546">
        <w:rPr>
          <w:rFonts w:asciiTheme="majorHAnsi" w:eastAsiaTheme="majorEastAsia" w:hAnsiTheme="majorHAnsi" w:cstheme="majorHAnsi"/>
          <w:b/>
          <w:bCs/>
          <w:color w:val="17428C" w:themeColor="accent1"/>
          <w:sz w:val="20"/>
          <w:szCs w:val="20"/>
          <w:lang w:val="pl-PL"/>
        </w:rPr>
        <w:t>warszawski Forest Campus</w:t>
      </w:r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 xml:space="preserve">, wskazany jako przykład realizacji łączącej walory estetyczne i techniczne, m.in. dzięki zastosowaniu zielonego dachu. Zachęcamy do lektury: </w:t>
      </w:r>
      <w:hyperlink r:id="rId13" w:history="1">
        <w:r w:rsidRPr="00FA68FD">
          <w:rPr>
            <w:rStyle w:val="Hipercze"/>
            <w:rFonts w:asciiTheme="majorHAnsi" w:eastAsiaTheme="majorEastAsia" w:hAnsiTheme="majorHAnsi" w:cstheme="majorHAnsi"/>
            <w:sz w:val="20"/>
            <w:szCs w:val="20"/>
            <w:lang w:val="pl-PL"/>
          </w:rPr>
          <w:t>https://www.constructing-sustainable-future.com/en/flipbook-2/</w:t>
        </w:r>
      </w:hyperlink>
      <w:r w:rsidRPr="00FA68FD">
        <w:rPr>
          <w:rFonts w:asciiTheme="majorHAnsi" w:eastAsiaTheme="majorEastAsia" w:hAnsiTheme="majorHAnsi" w:cstheme="majorHAnsi"/>
          <w:color w:val="17428C" w:themeColor="accent1"/>
          <w:sz w:val="20"/>
          <w:szCs w:val="20"/>
          <w:lang w:val="pl-PL"/>
        </w:rPr>
        <w:t>.</w:t>
      </w:r>
    </w:p>
    <w:p w14:paraId="122975DB" w14:textId="3D7CD642" w:rsidR="00024F5B" w:rsidRPr="00EB6636" w:rsidRDefault="00024F5B" w:rsidP="008A1F47">
      <w:pPr>
        <w:pStyle w:val="Nagwek2"/>
        <w:spacing w:after="120"/>
        <w:rPr>
          <w:b/>
          <w:bCs/>
          <w:color w:val="67B9B0" w:themeColor="accent4"/>
          <w:sz w:val="18"/>
          <w:szCs w:val="18"/>
          <w:lang w:val="pl-PL"/>
        </w:rPr>
      </w:pPr>
      <w:r w:rsidRPr="00EB6636">
        <w:rPr>
          <w:b/>
          <w:bCs/>
          <w:color w:val="67B9B0" w:themeColor="accent4"/>
          <w:sz w:val="18"/>
          <w:szCs w:val="18"/>
          <w:lang w:val="pl-PL"/>
        </w:rPr>
        <w:t>O</w:t>
      </w:r>
      <w:r w:rsidR="00E029EA" w:rsidRPr="00EB6636">
        <w:rPr>
          <w:b/>
          <w:bCs/>
          <w:color w:val="67B9B0" w:themeColor="accent4"/>
          <w:sz w:val="18"/>
          <w:szCs w:val="18"/>
          <w:lang w:val="pl-PL"/>
        </w:rPr>
        <w:t xml:space="preserve"> </w:t>
      </w:r>
      <w:r w:rsidRPr="00EB6636">
        <w:rPr>
          <w:b/>
          <w:bCs/>
          <w:color w:val="67B9B0" w:themeColor="accent4"/>
          <w:sz w:val="18"/>
          <w:szCs w:val="18"/>
          <w:lang w:val="pl-PL"/>
        </w:rPr>
        <w:t>Saint-Gobain</w:t>
      </w:r>
    </w:p>
    <w:p w14:paraId="59C443CD" w14:textId="0B3A411A" w:rsidR="006C402E" w:rsidRPr="00EB6636" w:rsidRDefault="001D6614" w:rsidP="008A1F47">
      <w:pPr>
        <w:jc w:val="both"/>
        <w:rPr>
          <w:sz w:val="18"/>
          <w:szCs w:val="18"/>
          <w:lang w:val="pl-PL"/>
        </w:rPr>
      </w:pPr>
      <w:r w:rsidRPr="00EB6636">
        <w:rPr>
          <w:rFonts w:asciiTheme="majorHAnsi" w:eastAsiaTheme="majorEastAsia" w:hAnsiTheme="majorHAnsi" w:cstheme="majorBidi"/>
          <w:color w:val="17428C" w:themeColor="accent1"/>
          <w:sz w:val="18"/>
          <w:szCs w:val="18"/>
          <w:lang w:val="pl-PL"/>
        </w:rPr>
        <w:t xml:space="preserve">Saint-Gobain, światowy lider w dziedzinie lekkiego i zrównoważonego budownictwa, </w:t>
      </w:r>
      <w:r w:rsidR="00110EA0" w:rsidRPr="00EB6636">
        <w:rPr>
          <w:rFonts w:asciiTheme="majorHAnsi" w:eastAsiaTheme="majorEastAsia" w:hAnsiTheme="majorHAnsi" w:cstheme="majorBidi"/>
          <w:color w:val="17428C" w:themeColor="accent1"/>
          <w:sz w:val="18"/>
          <w:szCs w:val="18"/>
          <w:lang w:val="pl-PL"/>
        </w:rPr>
        <w:t>tworzy</w:t>
      </w:r>
      <w:r w:rsidRPr="00EB6636">
        <w:rPr>
          <w:rFonts w:asciiTheme="majorHAnsi" w:eastAsiaTheme="majorEastAsia" w:hAnsiTheme="majorHAnsi" w:cstheme="majorBidi"/>
          <w:color w:val="17428C" w:themeColor="accent1"/>
          <w:sz w:val="18"/>
          <w:szCs w:val="18"/>
          <w:lang w:val="pl-PL"/>
        </w:rPr>
        <w:t>, produkuje i dystrybuuje materiały oraz świadczy usługi dostosowane do potrzeb rynk</w:t>
      </w:r>
      <w:r w:rsidR="00110EA0" w:rsidRPr="00EB6636">
        <w:rPr>
          <w:rFonts w:asciiTheme="majorHAnsi" w:eastAsiaTheme="majorEastAsia" w:hAnsiTheme="majorHAnsi" w:cstheme="majorBidi"/>
          <w:color w:val="17428C" w:themeColor="accent1"/>
          <w:sz w:val="18"/>
          <w:szCs w:val="18"/>
          <w:lang w:val="pl-PL"/>
        </w:rPr>
        <w:t>u</w:t>
      </w:r>
      <w:r w:rsidRPr="00EB6636">
        <w:rPr>
          <w:rFonts w:asciiTheme="majorHAnsi" w:eastAsiaTheme="majorEastAsia" w:hAnsiTheme="majorHAnsi" w:cstheme="majorBidi"/>
          <w:color w:val="17428C" w:themeColor="accent1"/>
          <w:sz w:val="18"/>
          <w:szCs w:val="18"/>
          <w:lang w:val="pl-PL"/>
        </w:rPr>
        <w:t xml:space="preserve"> mieszkaniowego, niemieszkaniowego</w:t>
      </w:r>
      <w:r w:rsidR="00FA68FD">
        <w:rPr>
          <w:rFonts w:asciiTheme="majorHAnsi" w:eastAsiaTheme="majorEastAsia" w:hAnsiTheme="majorHAnsi" w:cstheme="majorBidi"/>
          <w:color w:val="17428C" w:themeColor="accent1"/>
          <w:sz w:val="18"/>
          <w:szCs w:val="18"/>
          <w:lang w:val="pl-PL"/>
        </w:rPr>
        <w:t xml:space="preserve"> i </w:t>
      </w:r>
      <w:r w:rsidRPr="00EB6636">
        <w:rPr>
          <w:rFonts w:asciiTheme="majorHAnsi" w:eastAsiaTheme="majorEastAsia" w:hAnsiTheme="majorHAnsi" w:cstheme="majorBidi"/>
          <w:color w:val="17428C" w:themeColor="accent1"/>
          <w:sz w:val="18"/>
          <w:szCs w:val="18"/>
          <w:lang w:val="pl-PL"/>
        </w:rPr>
        <w:t xml:space="preserve">infrastrukturalnego. Zintegrowane i innowacyjne rozwiązania firmy zapewniają klientom zrównoważony rozwój, </w:t>
      </w:r>
      <w:r w:rsidR="00110EA0" w:rsidRPr="00EB6636">
        <w:rPr>
          <w:rFonts w:asciiTheme="majorHAnsi" w:eastAsiaTheme="majorEastAsia" w:hAnsiTheme="majorHAnsi" w:cstheme="majorBidi"/>
          <w:color w:val="17428C" w:themeColor="accent1"/>
          <w:sz w:val="18"/>
          <w:szCs w:val="18"/>
          <w:lang w:val="pl-PL"/>
        </w:rPr>
        <w:t>efektyw</w:t>
      </w:r>
      <w:r w:rsidRPr="00EB6636">
        <w:rPr>
          <w:rFonts w:asciiTheme="majorHAnsi" w:eastAsiaTheme="majorEastAsia" w:hAnsiTheme="majorHAnsi" w:cstheme="majorBidi"/>
          <w:color w:val="17428C" w:themeColor="accent1"/>
          <w:sz w:val="18"/>
          <w:szCs w:val="18"/>
          <w:lang w:val="pl-PL"/>
        </w:rPr>
        <w:t>ność i dobre samopoczucie. Grupa kieruje się swo</w:t>
      </w:r>
      <w:r w:rsidR="00E45C49">
        <w:rPr>
          <w:rFonts w:asciiTheme="majorHAnsi" w:eastAsiaTheme="majorEastAsia" w:hAnsiTheme="majorHAnsi" w:cstheme="majorBidi"/>
          <w:color w:val="17428C" w:themeColor="accent1"/>
          <w:sz w:val="18"/>
          <w:szCs w:val="18"/>
          <w:lang w:val="pl-PL"/>
        </w:rPr>
        <w:t xml:space="preserve">im celem </w:t>
      </w:r>
      <w:r w:rsidRPr="00EB6636">
        <w:rPr>
          <w:rFonts w:asciiTheme="majorHAnsi" w:eastAsiaTheme="majorEastAsia" w:hAnsiTheme="majorHAnsi" w:cstheme="majorBidi"/>
          <w:color w:val="17428C" w:themeColor="accent1"/>
          <w:sz w:val="18"/>
          <w:szCs w:val="18"/>
          <w:lang w:val="pl-PL"/>
        </w:rPr>
        <w:t>: „MAKING THE WORLD A BETTER HOME”.</w:t>
      </w:r>
    </w:p>
    <w:p w14:paraId="28C3E5A6" w14:textId="30FF3C56" w:rsidR="005A7B3B" w:rsidRPr="00EB6636" w:rsidRDefault="00110EA0" w:rsidP="008A1F47">
      <w:pPr>
        <w:pStyle w:val="Nagwek2"/>
        <w:rPr>
          <w:b/>
          <w:bCs/>
          <w:sz w:val="18"/>
          <w:szCs w:val="18"/>
          <w:lang w:val="pl-PL"/>
        </w:rPr>
      </w:pPr>
      <w:r w:rsidRPr="00EB6636">
        <w:rPr>
          <w:b/>
          <w:bCs/>
          <w:sz w:val="18"/>
          <w:szCs w:val="18"/>
          <w:lang w:val="pl-PL"/>
        </w:rPr>
        <w:t xml:space="preserve">Wartość sprzedaży w 2025 roku: </w:t>
      </w:r>
      <w:r w:rsidR="00B761B1" w:rsidRPr="00EB6636">
        <w:rPr>
          <w:b/>
          <w:bCs/>
          <w:sz w:val="18"/>
          <w:szCs w:val="18"/>
          <w:lang w:val="pl-PL"/>
        </w:rPr>
        <w:t>46</w:t>
      </w:r>
      <w:r w:rsidR="005A7B3B" w:rsidRPr="00EB6636">
        <w:rPr>
          <w:b/>
          <w:bCs/>
          <w:sz w:val="18"/>
          <w:szCs w:val="18"/>
          <w:lang w:val="pl-PL"/>
        </w:rPr>
        <w:t>,</w:t>
      </w:r>
      <w:r w:rsidR="00701D36" w:rsidRPr="00EB6636">
        <w:rPr>
          <w:b/>
          <w:bCs/>
          <w:sz w:val="18"/>
          <w:szCs w:val="18"/>
          <w:lang w:val="pl-PL"/>
        </w:rPr>
        <w:t xml:space="preserve">5 </w:t>
      </w:r>
      <w:r w:rsidR="005A7B3B" w:rsidRPr="00EB6636">
        <w:rPr>
          <w:b/>
          <w:bCs/>
          <w:sz w:val="18"/>
          <w:szCs w:val="18"/>
          <w:lang w:val="pl-PL"/>
        </w:rPr>
        <w:t xml:space="preserve">mld </w:t>
      </w:r>
      <w:r w:rsidRPr="00EB6636">
        <w:rPr>
          <w:b/>
          <w:bCs/>
          <w:sz w:val="18"/>
          <w:szCs w:val="18"/>
          <w:lang w:val="pl-PL"/>
        </w:rPr>
        <w:t>EUR</w:t>
      </w:r>
    </w:p>
    <w:p w14:paraId="7E4DD363" w14:textId="32F9A457" w:rsidR="005A7B3B" w:rsidRPr="00EB6636" w:rsidRDefault="00701D36" w:rsidP="008A1F47">
      <w:pPr>
        <w:pStyle w:val="Nagwek2"/>
        <w:rPr>
          <w:b/>
          <w:bCs/>
          <w:sz w:val="18"/>
          <w:szCs w:val="18"/>
          <w:lang w:val="pl-PL"/>
        </w:rPr>
      </w:pPr>
      <w:r w:rsidRPr="00EB6636">
        <w:rPr>
          <w:b/>
          <w:bCs/>
          <w:sz w:val="18"/>
          <w:szCs w:val="18"/>
          <w:lang w:val="pl-PL"/>
        </w:rPr>
        <w:t>162</w:t>
      </w:r>
      <w:r w:rsidR="005A7B3B" w:rsidRPr="00EB6636">
        <w:rPr>
          <w:b/>
          <w:bCs/>
          <w:sz w:val="18"/>
          <w:szCs w:val="18"/>
          <w:lang w:val="pl-PL"/>
        </w:rPr>
        <w:t xml:space="preserve"> 000 pracowników w</w:t>
      </w:r>
      <w:r w:rsidR="00B761B1" w:rsidRPr="00EB6636">
        <w:rPr>
          <w:b/>
          <w:bCs/>
          <w:sz w:val="18"/>
          <w:szCs w:val="18"/>
          <w:lang w:val="pl-PL"/>
        </w:rPr>
        <w:t xml:space="preserve"> 80 </w:t>
      </w:r>
      <w:r w:rsidR="005A7B3B" w:rsidRPr="00EB6636">
        <w:rPr>
          <w:b/>
          <w:bCs/>
          <w:sz w:val="18"/>
          <w:szCs w:val="18"/>
          <w:lang w:val="pl-PL"/>
        </w:rPr>
        <w:t>krajach</w:t>
      </w:r>
    </w:p>
    <w:p w14:paraId="3D78C7A5" w14:textId="4F0F66DB" w:rsidR="00024F5B" w:rsidRPr="00EB6636" w:rsidRDefault="00EA2669" w:rsidP="008A1F47">
      <w:pPr>
        <w:jc w:val="both"/>
        <w:rPr>
          <w:rFonts w:eastAsia="Times New Roman"/>
          <w:sz w:val="18"/>
          <w:szCs w:val="18"/>
          <w:lang w:val="pl-PL"/>
        </w:rPr>
      </w:pPr>
      <w:r w:rsidRPr="00EB6636">
        <w:rPr>
          <w:rFonts w:asciiTheme="majorHAnsi" w:eastAsiaTheme="majorEastAsia" w:hAnsiTheme="majorHAnsi" w:cstheme="majorBidi"/>
          <w:b/>
          <w:bCs/>
          <w:color w:val="17428C" w:themeColor="accent1"/>
          <w:sz w:val="18"/>
          <w:szCs w:val="18"/>
          <w:lang w:val="pl-PL"/>
        </w:rPr>
        <w:t>Firma podjęła zobowiązanie do osiągnięcia neutralności węglowej do 2050 roku.</w:t>
      </w:r>
      <w:r w:rsidR="00DB32D3" w:rsidRPr="00EB6636">
        <w:rPr>
          <w:rFonts w:asciiTheme="majorHAnsi" w:eastAsiaTheme="majorEastAsia" w:hAnsiTheme="majorHAnsi" w:cstheme="majorBidi"/>
          <w:b/>
          <w:bCs/>
          <w:color w:val="17428C" w:themeColor="accent1"/>
          <w:sz w:val="18"/>
          <w:szCs w:val="18"/>
          <w:lang w:val="pl-PL"/>
        </w:rPr>
        <w:t xml:space="preserve"> </w:t>
      </w:r>
    </w:p>
    <w:p w14:paraId="17F07E0C" w14:textId="2A1E1D31" w:rsidR="00890187" w:rsidRDefault="00EA2669" w:rsidP="008A1F47">
      <w:pPr>
        <w:jc w:val="both"/>
        <w:rPr>
          <w:color w:val="00448A"/>
          <w:sz w:val="18"/>
          <w:szCs w:val="18"/>
          <w:lang w:val="pl-PL"/>
        </w:rPr>
      </w:pPr>
      <w:r w:rsidRPr="00EB6636">
        <w:rPr>
          <w:color w:val="00448A"/>
          <w:sz w:val="18"/>
          <w:szCs w:val="18"/>
          <w:lang w:val="pl-PL"/>
        </w:rPr>
        <w:t>W</w:t>
      </w:r>
      <w:r w:rsidR="00890187" w:rsidRPr="00EB6636">
        <w:rPr>
          <w:color w:val="00448A"/>
          <w:sz w:val="18"/>
          <w:szCs w:val="18"/>
          <w:lang w:val="pl-PL"/>
        </w:rPr>
        <w:t>ięcej informacji na temat Saint-Gobain</w:t>
      </w:r>
      <w:r w:rsidRPr="00EB6636">
        <w:rPr>
          <w:color w:val="00448A"/>
          <w:sz w:val="18"/>
          <w:szCs w:val="18"/>
          <w:lang w:val="pl-PL"/>
        </w:rPr>
        <w:t xml:space="preserve"> można znaleźć na stronie</w:t>
      </w:r>
      <w:hyperlink r:id="rId14" w:history="1">
        <w:r w:rsidR="00890187" w:rsidRPr="00EB6636">
          <w:rPr>
            <w:rStyle w:val="Hipercze"/>
            <w:rFonts w:ascii="Arial" w:eastAsia="MS Gothic" w:hAnsi="Arial" w:cs="Arial"/>
            <w:color w:val="67B9B0" w:themeColor="accent4"/>
            <w:sz w:val="18"/>
            <w:szCs w:val="18"/>
            <w:lang w:val="pl-PL"/>
          </w:rPr>
          <w:t xml:space="preserve"> www.saint-gobain.com</w:t>
        </w:r>
      </w:hyperlink>
      <w:r w:rsidR="008A1F47">
        <w:rPr>
          <w:color w:val="00448A"/>
          <w:sz w:val="18"/>
          <w:szCs w:val="18"/>
          <w:lang w:val="pl-PL"/>
        </w:rPr>
        <w:t>.</w:t>
      </w:r>
    </w:p>
    <w:p w14:paraId="32163D53" w14:textId="77777777" w:rsidR="008A1F47" w:rsidRPr="008A1F47" w:rsidRDefault="008A1F47" w:rsidP="008A1F47">
      <w:pPr>
        <w:spacing w:after="240" w:line="240" w:lineRule="auto"/>
        <w:jc w:val="both"/>
        <w:rPr>
          <w:b/>
          <w:bCs/>
          <w:noProof/>
          <w:color w:val="67B9B0" w:themeColor="accent4"/>
          <w:sz w:val="18"/>
          <w:szCs w:val="18"/>
          <w:lang w:val="pl-PL"/>
        </w:rPr>
      </w:pPr>
      <w:r w:rsidRPr="008A1F47">
        <w:rPr>
          <w:b/>
          <w:bCs/>
          <w:noProof/>
          <w:color w:val="67B9B0" w:themeColor="accent4"/>
          <w:sz w:val="18"/>
          <w:szCs w:val="18"/>
          <w:lang w:val="pl-PL"/>
        </w:rPr>
        <w:t>Dodatkowe informacje:</w:t>
      </w:r>
    </w:p>
    <w:p w14:paraId="1A3B79BD" w14:textId="77777777" w:rsidR="008A1F47" w:rsidRPr="008A1F47" w:rsidRDefault="008A1F47" w:rsidP="008A1F47">
      <w:pPr>
        <w:pStyle w:val="Nagwek2"/>
        <w:spacing w:line="240" w:lineRule="auto"/>
        <w:rPr>
          <w:noProof/>
          <w:sz w:val="18"/>
          <w:szCs w:val="18"/>
          <w:lang w:val="pl-PL"/>
        </w:rPr>
      </w:pPr>
      <w:r w:rsidRPr="008A1F47">
        <w:rPr>
          <w:noProof/>
          <w:sz w:val="18"/>
          <w:szCs w:val="18"/>
          <w:lang w:val="pl-PL"/>
        </w:rPr>
        <w:t xml:space="preserve">Michał Ciesielski, dyrektor marki, komunikacji i marketingu strategicznego </w:t>
      </w:r>
    </w:p>
    <w:p w14:paraId="76BA004E" w14:textId="77777777" w:rsidR="008A1F47" w:rsidRPr="008A1F47" w:rsidRDefault="008A1F47" w:rsidP="008A1F47">
      <w:pPr>
        <w:pStyle w:val="Nagwek2"/>
        <w:spacing w:line="240" w:lineRule="auto"/>
        <w:rPr>
          <w:noProof/>
          <w:sz w:val="18"/>
          <w:szCs w:val="18"/>
          <w:lang w:val="pl-PL"/>
        </w:rPr>
      </w:pPr>
      <w:hyperlink r:id="rId15" w:history="1">
        <w:r w:rsidRPr="008A1F47">
          <w:rPr>
            <w:rStyle w:val="Hipercze"/>
            <w:noProof/>
            <w:sz w:val="18"/>
            <w:szCs w:val="18"/>
            <w:lang w:val="pl-PL"/>
          </w:rPr>
          <w:t>michal.ciesielski@saint-gobain.com</w:t>
        </w:r>
      </w:hyperlink>
    </w:p>
    <w:p w14:paraId="58AA9676" w14:textId="77777777" w:rsidR="008A1F47" w:rsidRPr="008A1F47" w:rsidRDefault="008A1F47" w:rsidP="008A1F47">
      <w:pPr>
        <w:pStyle w:val="Nagwek2"/>
        <w:spacing w:line="240" w:lineRule="auto"/>
        <w:rPr>
          <w:noProof/>
          <w:sz w:val="18"/>
          <w:szCs w:val="18"/>
          <w:lang w:val="pl-PL"/>
        </w:rPr>
      </w:pPr>
    </w:p>
    <w:p w14:paraId="235B1CE3" w14:textId="77777777" w:rsidR="008A1F47" w:rsidRPr="008A1F47" w:rsidRDefault="008A1F47" w:rsidP="008A1F47">
      <w:pPr>
        <w:pStyle w:val="Nagwek2"/>
        <w:spacing w:line="240" w:lineRule="auto"/>
        <w:rPr>
          <w:noProof/>
          <w:sz w:val="18"/>
          <w:szCs w:val="18"/>
          <w:lang w:val="pl-PL"/>
        </w:rPr>
      </w:pPr>
      <w:r w:rsidRPr="008A1F47">
        <w:rPr>
          <w:noProof/>
          <w:sz w:val="18"/>
          <w:szCs w:val="18"/>
          <w:lang w:val="pl-PL"/>
        </w:rPr>
        <w:t>Monika Mazurek-Skrzekowska, kierownik marki i komunikacji</w:t>
      </w:r>
    </w:p>
    <w:p w14:paraId="796FF924" w14:textId="77777777" w:rsidR="008A1F47" w:rsidRPr="008A1F47" w:rsidRDefault="008A1F47" w:rsidP="008A1F47">
      <w:pPr>
        <w:pStyle w:val="Nagwek2"/>
        <w:spacing w:line="240" w:lineRule="auto"/>
        <w:rPr>
          <w:noProof/>
          <w:sz w:val="18"/>
          <w:szCs w:val="18"/>
          <w:lang w:val="en-GB"/>
        </w:rPr>
      </w:pPr>
      <w:hyperlink r:id="rId16" w:history="1">
        <w:r w:rsidRPr="008A1F47">
          <w:rPr>
            <w:rStyle w:val="Hipercze"/>
            <w:noProof/>
            <w:sz w:val="18"/>
            <w:szCs w:val="18"/>
            <w:lang w:val="en-GB"/>
          </w:rPr>
          <w:t>monika.mazurek@saint-gobain.com</w:t>
        </w:r>
      </w:hyperlink>
      <w:r w:rsidRPr="008A1F47">
        <w:rPr>
          <w:noProof/>
          <w:sz w:val="18"/>
          <w:szCs w:val="18"/>
          <w:lang w:val="en-GB"/>
        </w:rPr>
        <w:t xml:space="preserve"> </w:t>
      </w:r>
    </w:p>
    <w:p w14:paraId="5F78E6A3" w14:textId="77777777" w:rsidR="008A1F47" w:rsidRPr="00EB6636" w:rsidRDefault="008A1F47" w:rsidP="008A1F47">
      <w:pPr>
        <w:jc w:val="both"/>
        <w:rPr>
          <w:sz w:val="20"/>
          <w:szCs w:val="20"/>
          <w:lang w:val="pl-PL"/>
        </w:rPr>
      </w:pPr>
    </w:p>
    <w:p w14:paraId="30203162" w14:textId="21221EF1" w:rsidR="00692EE4" w:rsidRPr="00EB6636" w:rsidRDefault="00692EE4" w:rsidP="008A1F47">
      <w:pPr>
        <w:jc w:val="both"/>
        <w:rPr>
          <w:lang w:val="pl-PL"/>
        </w:rPr>
      </w:pPr>
    </w:p>
    <w:sectPr w:rsidR="00692EE4" w:rsidRPr="00EB6636" w:rsidSect="00AE5CD9">
      <w:headerReference w:type="default" r:id="rId17"/>
      <w:footerReference w:type="default" r:id="rId18"/>
      <w:headerReference w:type="first" r:id="rId19"/>
      <w:pgSz w:w="11906" w:h="16838" w:code="9"/>
      <w:pgMar w:top="2268" w:right="1276" w:bottom="1134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8690" w14:textId="77777777" w:rsidR="00FB096B" w:rsidRDefault="00FB096B" w:rsidP="000D2398">
      <w:pPr>
        <w:spacing w:after="0" w:line="240" w:lineRule="auto"/>
      </w:pPr>
      <w:r>
        <w:separator/>
      </w:r>
    </w:p>
  </w:endnote>
  <w:endnote w:type="continuationSeparator" w:id="0">
    <w:p w14:paraId="2A687A92" w14:textId="77777777" w:rsidR="00FB096B" w:rsidRDefault="00FB096B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(Heading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A28F" w14:textId="77777777" w:rsidR="008A1F47" w:rsidRPr="008A1F47" w:rsidRDefault="008A1F47" w:rsidP="008A1F47">
    <w:pPr>
      <w:pStyle w:val="Nagwek2"/>
      <w:spacing w:line="240" w:lineRule="auto"/>
      <w:jc w:val="center"/>
      <w:rPr>
        <w:b/>
        <w:bCs/>
        <w:noProof/>
        <w:sz w:val="16"/>
        <w:szCs w:val="20"/>
        <w:lang w:val="pl-PL"/>
      </w:rPr>
    </w:pPr>
    <w:r w:rsidRPr="008A1F47">
      <w:rPr>
        <w:b/>
        <w:bCs/>
        <w:noProof/>
        <w:sz w:val="16"/>
        <w:szCs w:val="20"/>
        <w:lang w:val="pl-PL"/>
      </w:rPr>
      <w:t xml:space="preserve">Saint-Gobain w Polsce </w:t>
    </w:r>
    <w:r w:rsidRPr="00ED2DBB">
      <w:rPr>
        <w:b/>
        <w:bCs/>
        <w:noProof/>
        <w:sz w:val="16"/>
        <w:szCs w:val="20"/>
        <w:lang w:val="pl-PL"/>
      </w:rPr>
      <w:t>• www.saint-gobain.pl</w:t>
    </w:r>
  </w:p>
  <w:p w14:paraId="59C740F5" w14:textId="77777777" w:rsidR="008A1F47" w:rsidRPr="00FD3F98" w:rsidRDefault="008A1F47" w:rsidP="008A1F47">
    <w:pPr>
      <w:pStyle w:val="Stopka"/>
      <w:rPr>
        <w:lang w:val="fr-FR"/>
      </w:rPr>
    </w:pPr>
  </w:p>
  <w:p w14:paraId="3EC05287" w14:textId="0ABF0A31" w:rsidR="005A3D76" w:rsidRPr="008A1F47" w:rsidRDefault="005A3D76" w:rsidP="008A1F47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1B0C" w14:textId="77777777" w:rsidR="00FB096B" w:rsidRDefault="00FB096B" w:rsidP="000D2398">
      <w:pPr>
        <w:spacing w:after="0" w:line="240" w:lineRule="auto"/>
      </w:pPr>
      <w:r>
        <w:separator/>
      </w:r>
    </w:p>
  </w:footnote>
  <w:footnote w:type="continuationSeparator" w:id="0">
    <w:p w14:paraId="025356D2" w14:textId="77777777" w:rsidR="00FB096B" w:rsidRDefault="00FB096B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20D2" w14:textId="5F2C7E86" w:rsidR="006B5242" w:rsidRPr="00645F0D" w:rsidRDefault="005A3D76" w:rsidP="00D957D1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 w:rsidRPr="00645F0D">
      <w:rPr>
        <w:b/>
        <w:bCs/>
        <w:noProof/>
        <w:color w:val="17428C" w:themeColor="accent1"/>
        <w:sz w:val="40"/>
        <w:szCs w:val="40"/>
        <w:lang w:val="en-GB"/>
      </w:rPr>
      <w:drawing>
        <wp:anchor distT="0" distB="0" distL="114300" distR="114300" simplePos="0" relativeHeight="251666432" behindDoc="0" locked="0" layoutInCell="1" allowOverlap="1" wp14:anchorId="362F3C16" wp14:editId="6E8299DA">
          <wp:simplePos x="0" y="0"/>
          <wp:positionH relativeFrom="column">
            <wp:posOffset>4319743</wp:posOffset>
          </wp:positionH>
          <wp:positionV relativeFrom="paragraph">
            <wp:posOffset>150318</wp:posOffset>
          </wp:positionV>
          <wp:extent cx="1687830" cy="704215"/>
          <wp:effectExtent l="0" t="0" r="7620" b="635"/>
          <wp:wrapNone/>
          <wp:docPr id="755820176" name="Picture 75582017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20163" name="Picture 755820163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5D84" w:rsidRPr="00645F0D"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82D494" wp14:editId="3F068950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755820165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C79D7B" id="Freeform: Shape 1" o:spid="_x0000_s1026" style="position:absolute;margin-left:0;margin-top:-28.5pt;width:595.25pt;height:802.7pt;z-index:25167052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5ZLAQAAJcPAAAOAAAAZHJzL2Uyb0RvYy54bWysV0uP2zYQvhfofyB0DNCVZFu2Zaw3KBIk&#10;l6AN8kDaI5eiLAEUqZJc2/vvO3zJtHezlhbxQdZjvhnOx3nx9u2xY2hPpWoF3yb5TZYgyomoWr7b&#10;Jt+/ffhjnSClMa8wE5xuk0eqkrd3v/92e+g3dCYawSoqESjhanPot0mjdb9JU0Ua2mF1I3rK4WMt&#10;ZIc1PMpdWkl8AO0dS2dZtkwPQla9FIQqBW/fu4/JndVf15Tov+taUY3YNoG1aXuV9npvrundLd7s&#10;JO6blvhl4FesosMtB6ODqvdYY/Qg2yequpZIoUStb4joUlHXLaHWB/Amzy68+drgnlpfgBzVDzSp&#10;X6eW/LX/2n+WQMOhVxsFt8aLYy078w/rQ0dL1uNAFj1qRODlqijK5apIEIFveZaXi6JYGD7TE548&#10;KP2RCqsL7z8p7eiu4M6SVSGOO4gKIjhXrab/wBbVHYMdeJOiWV6s5yt0QMGSB19g/o0x+WK9zhc5&#10;alC8ItiWJ5byV1iKMaC/mC0W6xGmZpGp7Lo/sXjwYoSV+TQrsXi+zObZfAxri2lGzsWvbwpE07D9&#10;ftev8xWDshFELV9jJAatV3m5KosRplaxqfliPiqeY9B6tczLbMzOQJ09UTfWVAyCdCuz5QinysjS&#10;bJkVZT4iqM9AYy3lcWrPs2y9nBXX4+EMlRfjqkGc2iPcyWP5Z2xADdyFKoebUPjIkfvKB3cImxaZ&#10;2a7RC2XqbFwGoaiGR6hwrqwCypTNK2BYWgzOJ4Gh+MTg2SQw1JQYPJ8EhloRg0MrGecz1IAYXEyy&#10;DLkdg5eTwJCtMXg1CQz5F4PXk8CQUjG4nAQ2SRKj4XlSjF0G2VmUQfTDtvlQlzCDmemL2elLJwim&#10;L5kgmL7ujUm86bE2GRJu0SGaLZpotDACndjTb8KKapMxbkawrvjW7904CTL+M4Dv4B4R5MJ/bw04&#10;mkIbHiPqeumFJGFCUevtaWGxgcD+6ev5MsIIZPYsyAaJ8O/0xZK+UV2s5ULe9QpLoe82o+Vdy3hR&#10;3DcIq36EuC/ybkOhdL+o2+/NU7HANsShCS47kg5RZoIzGkth9q8+tIyhmrVw/uBwSoEQFfpHqxs7&#10;f0MEusle+SDdKQT1OpRue1Kh75hEewxRjgmhXIfitVMmVAOgyOBndT0LCkXrHJQb0AuoQJFBma4T&#10;VsnaocMgRTCjlXHEhqBuGf0CWQkPBuEJMCtltr9wYQhxX82b9HQ0sHf6kVEn/YXWqK1MHv7cLcee&#10;anBFHUWOBqd+IMIuhXFQaDTXYH/Q7RWYE+Elz8F5L2+g1B76BvAI5gaEtSy4HsBdy4V8zjOmB8tO&#10;PpDkqDEs3Yvq8bNEBzhabhP13wOWJq40eyfcSRRz0ggohUQ7C1z8+aBF3dpdOSnwiuH0ZxnyJ1Vz&#10;vIyfrdTpPH33PwAAAP//AwBQSwMEFAAGAAgAAAAhABzstPrhAAAACgEAAA8AAABkcnMvZG93bnJl&#10;di54bWxMj09Lw0AQxe+C32EZwVu7qSSxxmyKiIIUqViLeNxmJ38wOxuz2zT66Z2e9PaG93jze/lq&#10;sp0YcfCtIwWLeQQCqXSmpVrB7u1xtgThgyajO0eo4Bs9rIrzs1xnxh3pFcdtqAWXkM+0giaEPpPS&#10;lw1a7eeuR2KvcoPVgc+hlmbQRy63nbyKolRa3RJ/aHSP9w2Wn9uDVYBxPb5/yZ8qfVpvnpPdR1o9&#10;vKyVuryY7m5BBJzCXxhO+IwOBTPt3YGMF50CHhIUzJJrFid7cRMlIPaskngZgyxy+X9C8QsAAP//&#10;AwBQSwECLQAUAAYACAAAACEAtoM4kv4AAADhAQAAEwAAAAAAAAAAAAAAAAAAAAAAW0NvbnRlbnRf&#10;VHlwZXNdLnhtbFBLAQItABQABgAIAAAAIQA4/SH/1gAAAJQBAAALAAAAAAAAAAAAAAAAAC8BAABf&#10;cmVscy8ucmVsc1BLAQItABQABgAIAAAAIQA+GW5ZLAQAAJcPAAAOAAAAAAAAAAAAAAAAAC4CAABk&#10;cnMvZTJvRG9jLnhtbFBLAQItABQABgAIAAAAIQAc7LT64QAAAAoBAAAPAAAAAAAAAAAAAAAAAIYG&#10;AABkcnMvZG93bnJldi54bWxQSwUGAAAAAAQABADzAAAAlAcAAAAA&#10;" path="m215837,1488141r,8664307l,10194554,,1603031,215837,1488141xm,l7559675,r,8719795l7343837,8761901r,-8545995l2605910,215906,3008625,1541,,1541,,xe" fillcolor="#67b9b0 [3207]" stroked="f" strokeweight="1pt">
              <v:fill color2="#17428c [3204]" rotate="t" angle="90" colors="0 #67b9b0;.5 #219cdc;1 #17428c" focus="100%" type="gradient"/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545BC8"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 xml:space="preserve">NOTA </w:t>
    </w:r>
    <w:r w:rsidR="00D957D1" w:rsidRPr="00645F0D"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PRAS</w:t>
    </w:r>
    <w:r w:rsidR="00545BC8"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OWA</w:t>
    </w:r>
  </w:p>
  <w:p w14:paraId="7475479D" w14:textId="0363F01A" w:rsidR="006B5242" w:rsidRPr="00645F0D" w:rsidRDefault="00A06546" w:rsidP="006B5242">
    <w:pPr>
      <w:pStyle w:val="Nagwek"/>
      <w:ind w:left="-567"/>
      <w:rPr>
        <w:lang w:val="en-GB"/>
      </w:rPr>
    </w:pPr>
    <w:r>
      <w:rPr>
        <w:color w:val="17428C" w:themeColor="accent1"/>
        <w:sz w:val="24"/>
        <w:szCs w:val="24"/>
        <w:lang w:val="en-GB"/>
      </w:rPr>
      <w:t>9</w:t>
    </w:r>
    <w:r w:rsidR="008A1F47">
      <w:rPr>
        <w:color w:val="17428C" w:themeColor="accent1"/>
        <w:sz w:val="24"/>
        <w:szCs w:val="24"/>
        <w:lang w:val="en-GB"/>
      </w:rPr>
      <w:t xml:space="preserve"> czerwca</w:t>
    </w:r>
    <w:r w:rsidR="00656156">
      <w:rPr>
        <w:color w:val="17428C" w:themeColor="accent1"/>
        <w:sz w:val="24"/>
        <w:szCs w:val="24"/>
        <w:lang w:val="en-GB"/>
      </w:rPr>
      <w:t xml:space="preserve"> 2026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1491" w14:textId="601D399D" w:rsidR="00D135D6" w:rsidRPr="00904F34" w:rsidRDefault="003E687E" w:rsidP="00E319CA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31D5FF31" wp14:editId="40ED085E">
          <wp:simplePos x="0" y="0"/>
          <wp:positionH relativeFrom="column">
            <wp:posOffset>4303172</wp:posOffset>
          </wp:positionH>
          <wp:positionV relativeFrom="paragraph">
            <wp:posOffset>150594</wp:posOffset>
          </wp:positionV>
          <wp:extent cx="1687830" cy="704215"/>
          <wp:effectExtent l="0" t="0" r="7620" b="635"/>
          <wp:wrapNone/>
          <wp:docPr id="755820177" name="Picture 755820177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20081" name="Picture 755820081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2B82" w:rsidRPr="006F2B82">
      <w:rPr>
        <w:b/>
        <w:bCs/>
        <w:noProof/>
        <w:sz w:val="28"/>
        <w:szCs w:val="28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556025" wp14:editId="5C3816B2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2" name="Freeform: Shape 1">
                <a:extLst xmlns:a="http://schemas.openxmlformats.org/drawingml/2006/main">
                  <a:ext uri="{FF2B5EF4-FFF2-40B4-BE49-F238E27FC236}">
                    <a16:creationId xmlns:a16="http://schemas.microsoft.com/office/drawing/2014/main" id="{2DE0B375-9CF8-FEE5-7466-F54F61ED7C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EEED6" id="Freeform: Shape 1" o:spid="_x0000_s1026" style="position:absolute;margin-left:0;margin-top:-28.5pt;width:595.25pt;height:802.7pt;z-index:25166848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5ZLAQAAJcPAAAOAAAAZHJzL2Uyb0RvYy54bWysV0uP2zYQvhfofyB0DNCVZFu2Zaw3KBIk&#10;l6AN8kDaI5eiLAEUqZJc2/vvO3zJtHezlhbxQdZjvhnOx3nx9u2xY2hPpWoF3yb5TZYgyomoWr7b&#10;Jt+/ffhjnSClMa8wE5xuk0eqkrd3v/92e+g3dCYawSoqESjhanPot0mjdb9JU0Ua2mF1I3rK4WMt&#10;ZIc1PMpdWkl8AO0dS2dZtkwPQla9FIQqBW/fu4/JndVf15Tov+taUY3YNoG1aXuV9npvrundLd7s&#10;JO6blvhl4FesosMtB6ODqvdYY/Qg2yequpZIoUStb4joUlHXLaHWB/Amzy68+drgnlpfgBzVDzSp&#10;X6eW/LX/2n+WQMOhVxsFt8aLYy078w/rQ0dL1uNAFj1qRODlqijK5apIEIFveZaXi6JYGD7TE548&#10;KP2RCqsL7z8p7eiu4M6SVSGOO4gKIjhXrab/wBbVHYMdeJOiWV6s5yt0QMGSB19g/o0x+WK9zhc5&#10;alC8ItiWJ5byV1iKMaC/mC0W6xGmZpGp7Lo/sXjwYoSV+TQrsXi+zObZfAxri2lGzsWvbwpE07D9&#10;ftev8xWDshFELV9jJAatV3m5KosRplaxqfliPiqeY9B6tczLbMzOQJ09UTfWVAyCdCuz5QinysjS&#10;bJkVZT4iqM9AYy3lcWrPs2y9nBXX4+EMlRfjqkGc2iPcyWP5Z2xADdyFKoebUPjIkfvKB3cImxaZ&#10;2a7RC2XqbFwGoaiGR6hwrqwCypTNK2BYWgzOJ4Gh+MTg2SQw1JQYPJ8EhloRg0MrGecz1IAYXEyy&#10;DLkdg5eTwJCtMXg1CQz5F4PXk8CQUjG4nAQ2SRKj4XlSjF0G2VmUQfTDtvlQlzCDmemL2elLJwim&#10;L5kgmL7ujUm86bE2GRJu0SGaLZpotDACndjTb8KKapMxbkawrvjW7904CTL+M4Dv4B4R5MJ/bw04&#10;mkIbHiPqeumFJGFCUevtaWGxgcD+6ev5MsIIZPYsyAaJ8O/0xZK+UV2s5ULe9QpLoe82o+Vdy3hR&#10;3DcIq36EuC/ybkOhdL+o2+/NU7HANsShCS47kg5RZoIzGkth9q8+tIyhmrVw/uBwSoEQFfpHqxs7&#10;f0MEusle+SDdKQT1OpRue1Kh75hEewxRjgmhXIfitVMmVAOgyOBndT0LCkXrHJQb0AuoQJFBma4T&#10;VsnaocMgRTCjlXHEhqBuGf0CWQkPBuEJMCtltr9wYQhxX82b9HQ0sHf6kVEn/YXWqK1MHv7cLcee&#10;anBFHUWOBqd+IMIuhXFQaDTXYH/Q7RWYE+Elz8F5L2+g1B76BvAI5gaEtSy4HsBdy4V8zjOmB8tO&#10;PpDkqDEs3Yvq8bNEBzhabhP13wOWJq40eyfcSRRz0ggohUQ7C1z8+aBF3dpdOSnwiuH0ZxnyJ1Vz&#10;vIyfrdTpPH33PwAAAP//AwBQSwMEFAAGAAgAAAAhABzstPrhAAAACgEAAA8AAABkcnMvZG93bnJl&#10;di54bWxMj09Lw0AQxe+C32EZwVu7qSSxxmyKiIIUqViLeNxmJ38wOxuz2zT66Z2e9PaG93jze/lq&#10;sp0YcfCtIwWLeQQCqXSmpVrB7u1xtgThgyajO0eo4Bs9rIrzs1xnxh3pFcdtqAWXkM+0giaEPpPS&#10;lw1a7eeuR2KvcoPVgc+hlmbQRy63nbyKolRa3RJ/aHSP9w2Wn9uDVYBxPb5/yZ8qfVpvnpPdR1o9&#10;vKyVuryY7m5BBJzCXxhO+IwOBTPt3YGMF50CHhIUzJJrFid7cRMlIPaskngZgyxy+X9C8QsAAP//&#10;AwBQSwECLQAUAAYACAAAACEAtoM4kv4AAADhAQAAEwAAAAAAAAAAAAAAAAAAAAAAW0NvbnRlbnRf&#10;VHlwZXNdLnhtbFBLAQItABQABgAIAAAAIQA4/SH/1gAAAJQBAAALAAAAAAAAAAAAAAAAAC8BAABf&#10;cmVscy8ucmVsc1BLAQItABQABgAIAAAAIQA+GW5ZLAQAAJcPAAAOAAAAAAAAAAAAAAAAAC4CAABk&#10;cnMvZTJvRG9jLnhtbFBLAQItABQABgAIAAAAIQAc7LT64QAAAAoBAAAPAAAAAAAAAAAAAAAAAIYG&#10;AABkcnMvZG93bnJldi54bWxQSwUGAAAAAAQABADzAAAAlAcAAAAA&#10;" path="m215837,1488141r,8664307l,10194554,,1603031,215837,1488141xm,l7559675,r,8719795l7343837,8761901r,-8545995l2605910,215906,3008625,1541,,1541,,xe" fillcolor="#67b9b0 [3207]" stroked="f" strokeweight="1pt">
              <v:fill color2="#17428c [3204]" rotate="t" angle="90" colors="0 #67b9b0;.5 #219cdc;1 #17428c" focus="100%" type="gradient"/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D135D6" w:rsidRPr="00904F34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KOMUNIKAT</w:t>
    </w:r>
    <w:r w:rsidR="00E319CA" w:rsidRPr="00904F34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ab/>
    </w:r>
  </w:p>
  <w:p w14:paraId="45258CF2" w14:textId="4151E4D1" w:rsidR="00D135D6" w:rsidRPr="00904F34" w:rsidRDefault="00D135D6" w:rsidP="00D135D6">
    <w:pPr>
      <w:pStyle w:val="Nagwek"/>
      <w:tabs>
        <w:tab w:val="clear" w:pos="4680"/>
        <w:tab w:val="clear" w:pos="9360"/>
        <w:tab w:val="left" w:pos="2025"/>
        <w:tab w:val="left" w:pos="4545"/>
      </w:tabs>
      <w:spacing w:after="120"/>
      <w:ind w:left="-567"/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 w:rsidRPr="00904F34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PRASOWY</w:t>
    </w:r>
  </w:p>
  <w:p w14:paraId="0BCBB615" w14:textId="33567E77" w:rsidR="005D111C" w:rsidRPr="00904F34" w:rsidRDefault="00D135D6" w:rsidP="00D135D6">
    <w:pPr>
      <w:pStyle w:val="Nagwek"/>
      <w:tabs>
        <w:tab w:val="clear" w:pos="4680"/>
        <w:tab w:val="clear" w:pos="9360"/>
        <w:tab w:val="left" w:pos="2025"/>
        <w:tab w:val="left" w:pos="4545"/>
      </w:tabs>
      <w:ind w:left="-567"/>
      <w:rPr>
        <w:lang w:val="fr-FR"/>
      </w:rPr>
    </w:pPr>
    <w:r w:rsidRPr="00904F34">
      <w:rPr>
        <w:color w:val="17428C" w:themeColor="accent1"/>
        <w:sz w:val="24"/>
        <w:szCs w:val="24"/>
        <w:lang w:val="fr-FR"/>
      </w:rPr>
      <w:t>XX stycznia XXXX r. o godz. XX:XX</w:t>
    </w:r>
    <w:r w:rsidR="007B3273" w:rsidRPr="00904F34">
      <w:rPr>
        <w:lang w:val="fr-FR"/>
      </w:rPr>
      <w:tab/>
    </w:r>
    <w:r w:rsidR="007B3273" w:rsidRPr="00904F34"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2F0C"/>
    <w:multiLevelType w:val="multilevel"/>
    <w:tmpl w:val="2BCE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C7B90"/>
    <w:multiLevelType w:val="multilevel"/>
    <w:tmpl w:val="3A5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57D61"/>
    <w:multiLevelType w:val="hybridMultilevel"/>
    <w:tmpl w:val="7930A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00919">
    <w:abstractNumId w:val="1"/>
  </w:num>
  <w:num w:numId="2" w16cid:durableId="795759334">
    <w:abstractNumId w:val="0"/>
  </w:num>
  <w:num w:numId="3" w16cid:durableId="1040059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065A9"/>
    <w:rsid w:val="0001531F"/>
    <w:rsid w:val="00016247"/>
    <w:rsid w:val="00016EBC"/>
    <w:rsid w:val="00024F5B"/>
    <w:rsid w:val="00025A98"/>
    <w:rsid w:val="000419F7"/>
    <w:rsid w:val="000423B2"/>
    <w:rsid w:val="000464FA"/>
    <w:rsid w:val="00067728"/>
    <w:rsid w:val="0007308B"/>
    <w:rsid w:val="000878F5"/>
    <w:rsid w:val="00096183"/>
    <w:rsid w:val="00096BD2"/>
    <w:rsid w:val="000972BD"/>
    <w:rsid w:val="000B6694"/>
    <w:rsid w:val="000B6790"/>
    <w:rsid w:val="000D2286"/>
    <w:rsid w:val="000D2398"/>
    <w:rsid w:val="000D275F"/>
    <w:rsid w:val="000E4C8E"/>
    <w:rsid w:val="00110EA0"/>
    <w:rsid w:val="001116D5"/>
    <w:rsid w:val="00111786"/>
    <w:rsid w:val="0012709B"/>
    <w:rsid w:val="00134056"/>
    <w:rsid w:val="001707B0"/>
    <w:rsid w:val="001B283C"/>
    <w:rsid w:val="001C07EC"/>
    <w:rsid w:val="001D6614"/>
    <w:rsid w:val="00214C61"/>
    <w:rsid w:val="00222D2D"/>
    <w:rsid w:val="00245769"/>
    <w:rsid w:val="0028111C"/>
    <w:rsid w:val="002B36C2"/>
    <w:rsid w:val="002C0B79"/>
    <w:rsid w:val="002C7117"/>
    <w:rsid w:val="002D29B8"/>
    <w:rsid w:val="002D76DD"/>
    <w:rsid w:val="00304B3F"/>
    <w:rsid w:val="0031507D"/>
    <w:rsid w:val="00321942"/>
    <w:rsid w:val="003269AE"/>
    <w:rsid w:val="00330979"/>
    <w:rsid w:val="0033753E"/>
    <w:rsid w:val="003610BA"/>
    <w:rsid w:val="0037666A"/>
    <w:rsid w:val="0039014C"/>
    <w:rsid w:val="003C27B5"/>
    <w:rsid w:val="003D0806"/>
    <w:rsid w:val="003E687E"/>
    <w:rsid w:val="00402456"/>
    <w:rsid w:val="00405D55"/>
    <w:rsid w:val="00407830"/>
    <w:rsid w:val="004165C4"/>
    <w:rsid w:val="00424C64"/>
    <w:rsid w:val="004376A9"/>
    <w:rsid w:val="00460CCC"/>
    <w:rsid w:val="0046216B"/>
    <w:rsid w:val="00462B52"/>
    <w:rsid w:val="004700E0"/>
    <w:rsid w:val="00475D84"/>
    <w:rsid w:val="004A1FB8"/>
    <w:rsid w:val="004A43D8"/>
    <w:rsid w:val="0051516F"/>
    <w:rsid w:val="00532D0C"/>
    <w:rsid w:val="00545BC8"/>
    <w:rsid w:val="0054661F"/>
    <w:rsid w:val="005531F1"/>
    <w:rsid w:val="00562CFC"/>
    <w:rsid w:val="0056733E"/>
    <w:rsid w:val="0058607A"/>
    <w:rsid w:val="005A3D76"/>
    <w:rsid w:val="005A7B3B"/>
    <w:rsid w:val="005B3361"/>
    <w:rsid w:val="005D111C"/>
    <w:rsid w:val="0062395F"/>
    <w:rsid w:val="00623D1A"/>
    <w:rsid w:val="006247D1"/>
    <w:rsid w:val="0062613B"/>
    <w:rsid w:val="00636640"/>
    <w:rsid w:val="00636EC1"/>
    <w:rsid w:val="00645F0D"/>
    <w:rsid w:val="00647C15"/>
    <w:rsid w:val="00656156"/>
    <w:rsid w:val="00692EE4"/>
    <w:rsid w:val="006A57F9"/>
    <w:rsid w:val="006A6DCC"/>
    <w:rsid w:val="006B5242"/>
    <w:rsid w:val="006C0616"/>
    <w:rsid w:val="006C1100"/>
    <w:rsid w:val="006C1E54"/>
    <w:rsid w:val="006C3D32"/>
    <w:rsid w:val="006C402E"/>
    <w:rsid w:val="006E5134"/>
    <w:rsid w:val="006F2B82"/>
    <w:rsid w:val="006F2F3C"/>
    <w:rsid w:val="00701D36"/>
    <w:rsid w:val="0070271A"/>
    <w:rsid w:val="007275D6"/>
    <w:rsid w:val="00743CFA"/>
    <w:rsid w:val="0079086A"/>
    <w:rsid w:val="007979CC"/>
    <w:rsid w:val="007B3273"/>
    <w:rsid w:val="007E2FC3"/>
    <w:rsid w:val="00812B4C"/>
    <w:rsid w:val="0083254E"/>
    <w:rsid w:val="008700A7"/>
    <w:rsid w:val="00890187"/>
    <w:rsid w:val="00891410"/>
    <w:rsid w:val="008A1F47"/>
    <w:rsid w:val="008C000A"/>
    <w:rsid w:val="008C3E14"/>
    <w:rsid w:val="00902258"/>
    <w:rsid w:val="00904F34"/>
    <w:rsid w:val="0090630E"/>
    <w:rsid w:val="00920E31"/>
    <w:rsid w:val="00926751"/>
    <w:rsid w:val="009306C1"/>
    <w:rsid w:val="00933334"/>
    <w:rsid w:val="009407B6"/>
    <w:rsid w:val="00941884"/>
    <w:rsid w:val="00945A45"/>
    <w:rsid w:val="009529A7"/>
    <w:rsid w:val="00957220"/>
    <w:rsid w:val="009602C3"/>
    <w:rsid w:val="00970C61"/>
    <w:rsid w:val="009722D3"/>
    <w:rsid w:val="00976574"/>
    <w:rsid w:val="00995988"/>
    <w:rsid w:val="009A4875"/>
    <w:rsid w:val="009B793C"/>
    <w:rsid w:val="009C3459"/>
    <w:rsid w:val="009F254A"/>
    <w:rsid w:val="00A06546"/>
    <w:rsid w:val="00A15FB7"/>
    <w:rsid w:val="00A370D5"/>
    <w:rsid w:val="00A61800"/>
    <w:rsid w:val="00AA105A"/>
    <w:rsid w:val="00AA15F8"/>
    <w:rsid w:val="00AB073D"/>
    <w:rsid w:val="00AB347D"/>
    <w:rsid w:val="00AC18DB"/>
    <w:rsid w:val="00AD349B"/>
    <w:rsid w:val="00AD6214"/>
    <w:rsid w:val="00AE49B2"/>
    <w:rsid w:val="00AE5CD9"/>
    <w:rsid w:val="00AF7D28"/>
    <w:rsid w:val="00AF7EFD"/>
    <w:rsid w:val="00B045FD"/>
    <w:rsid w:val="00B159B4"/>
    <w:rsid w:val="00B44DE4"/>
    <w:rsid w:val="00B518AF"/>
    <w:rsid w:val="00B54AAB"/>
    <w:rsid w:val="00B761B1"/>
    <w:rsid w:val="00B85586"/>
    <w:rsid w:val="00BB2856"/>
    <w:rsid w:val="00BB40E8"/>
    <w:rsid w:val="00BD4AA8"/>
    <w:rsid w:val="00BF35AB"/>
    <w:rsid w:val="00C06187"/>
    <w:rsid w:val="00C17DC1"/>
    <w:rsid w:val="00C3163E"/>
    <w:rsid w:val="00C423E1"/>
    <w:rsid w:val="00C4794F"/>
    <w:rsid w:val="00C5604B"/>
    <w:rsid w:val="00C65C55"/>
    <w:rsid w:val="00C75B08"/>
    <w:rsid w:val="00C75D82"/>
    <w:rsid w:val="00C838A1"/>
    <w:rsid w:val="00C85AD7"/>
    <w:rsid w:val="00C97030"/>
    <w:rsid w:val="00CA0A8F"/>
    <w:rsid w:val="00CF439A"/>
    <w:rsid w:val="00D052C8"/>
    <w:rsid w:val="00D135D6"/>
    <w:rsid w:val="00D1378C"/>
    <w:rsid w:val="00D17505"/>
    <w:rsid w:val="00D26B6E"/>
    <w:rsid w:val="00D350A4"/>
    <w:rsid w:val="00D4410F"/>
    <w:rsid w:val="00D450E9"/>
    <w:rsid w:val="00D84F76"/>
    <w:rsid w:val="00D900D0"/>
    <w:rsid w:val="00D957D1"/>
    <w:rsid w:val="00DB046A"/>
    <w:rsid w:val="00DB2497"/>
    <w:rsid w:val="00DB32D3"/>
    <w:rsid w:val="00DE576A"/>
    <w:rsid w:val="00DE5FD1"/>
    <w:rsid w:val="00DE6409"/>
    <w:rsid w:val="00DF03D7"/>
    <w:rsid w:val="00E029EA"/>
    <w:rsid w:val="00E15DCA"/>
    <w:rsid w:val="00E319CA"/>
    <w:rsid w:val="00E342BF"/>
    <w:rsid w:val="00E45C49"/>
    <w:rsid w:val="00E546AC"/>
    <w:rsid w:val="00E848DB"/>
    <w:rsid w:val="00EA2669"/>
    <w:rsid w:val="00EB28A9"/>
    <w:rsid w:val="00EB2E19"/>
    <w:rsid w:val="00EB60B3"/>
    <w:rsid w:val="00EB6636"/>
    <w:rsid w:val="00EC6FD9"/>
    <w:rsid w:val="00EE3573"/>
    <w:rsid w:val="00EE46CD"/>
    <w:rsid w:val="00F17DBF"/>
    <w:rsid w:val="00F32176"/>
    <w:rsid w:val="00F42995"/>
    <w:rsid w:val="00F42DF8"/>
    <w:rsid w:val="00F955E6"/>
    <w:rsid w:val="00FA436A"/>
    <w:rsid w:val="00FA65BF"/>
    <w:rsid w:val="00FA68FD"/>
    <w:rsid w:val="00FB096B"/>
    <w:rsid w:val="00FB3A81"/>
    <w:rsid w:val="00FC4895"/>
    <w:rsid w:val="00FD1458"/>
    <w:rsid w:val="00FD415C"/>
    <w:rsid w:val="00FE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7E5B4E5E-1333-42D9-A26E-2189AE8B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28C" w:themeColor="accent1"/>
      <w:sz w:val="32"/>
      <w:szCs w:val="32"/>
    </w:rPr>
  </w:style>
  <w:style w:type="paragraph" w:styleId="Nagwek2">
    <w:name w:val="heading 2"/>
    <w:aliases w:val="Body text"/>
    <w:basedOn w:val="Normalny"/>
    <w:next w:val="Normalny"/>
    <w:link w:val="Nagwek2Znak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17428C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204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3E1"/>
    <w:rPr>
      <w:rFonts w:asciiTheme="majorHAnsi" w:eastAsiaTheme="majorEastAsia" w:hAnsiTheme="majorHAnsi" w:cstheme="majorBidi"/>
      <w:b/>
      <w:color w:val="17428C" w:themeColor="accent1"/>
      <w:sz w:val="32"/>
      <w:szCs w:val="32"/>
    </w:rPr>
  </w:style>
  <w:style w:type="character" w:customStyle="1" w:styleId="Nagwek2Znak">
    <w:name w:val="Nagłówek 2 Znak"/>
    <w:aliases w:val="Body text Znak"/>
    <w:basedOn w:val="Domylnaczcionkaakapitu"/>
    <w:link w:val="Nagwek2"/>
    <w:uiPriority w:val="9"/>
    <w:rsid w:val="005A3D76"/>
    <w:rPr>
      <w:rFonts w:asciiTheme="majorHAnsi" w:eastAsiaTheme="majorEastAsia" w:hAnsiTheme="majorHAnsi" w:cstheme="majorBidi"/>
      <w:color w:val="17428C" w:themeColor="accent1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398"/>
  </w:style>
  <w:style w:type="paragraph" w:styleId="Stopka">
    <w:name w:val="footer"/>
    <w:basedOn w:val="Normalny"/>
    <w:link w:val="StopkaZnak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398"/>
  </w:style>
  <w:style w:type="character" w:customStyle="1" w:styleId="Nagwek3Znak">
    <w:name w:val="Nagłówek 3 Znak"/>
    <w:basedOn w:val="Domylnaczcionkaakapitu"/>
    <w:link w:val="Nagwek3"/>
    <w:uiPriority w:val="9"/>
    <w:rsid w:val="000D2398"/>
    <w:rPr>
      <w:rFonts w:asciiTheme="majorHAnsi" w:eastAsiaTheme="majorEastAsia" w:hAnsiTheme="majorHAnsi" w:cstheme="majorBidi"/>
      <w:color w:val="0B2045" w:themeColor="accent1" w:themeShade="7F"/>
      <w:sz w:val="24"/>
      <w:szCs w:val="24"/>
    </w:rPr>
  </w:style>
  <w:style w:type="paragraph" w:customStyle="1" w:styleId="BasicParagraph">
    <w:name w:val="[Basic Paragraph]"/>
    <w:basedOn w:val="Normalny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Numerwiersza">
    <w:name w:val="line number"/>
    <w:basedOn w:val="Domylnaczcionkaakapitu"/>
    <w:uiPriority w:val="99"/>
    <w:semiHidden/>
    <w:unhideWhenUsed/>
    <w:rsid w:val="00E319CA"/>
  </w:style>
  <w:style w:type="character" w:styleId="Hipercze">
    <w:name w:val="Hyperlink"/>
    <w:basedOn w:val="Domylnaczcionkaakapitu"/>
    <w:uiPriority w:val="99"/>
    <w:unhideWhenUsed/>
    <w:rsid w:val="00941884"/>
    <w:rPr>
      <w:color w:val="CE142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B6790"/>
    <w:rPr>
      <w:color w:val="E5531A" w:themeColor="followedHyperlink"/>
      <w:u w:val="single"/>
    </w:rPr>
  </w:style>
  <w:style w:type="paragraph" w:styleId="Akapitzlist">
    <w:name w:val="List Paragraph"/>
    <w:basedOn w:val="Normalny"/>
    <w:uiPriority w:val="34"/>
    <w:rsid w:val="009022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4F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4F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4F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F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F7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A1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structing-sustainable-future.com/en/flipbook-2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aint-gobain.pl/raport-saint-gobain-barometr-zrownowazonego-budownictwa-2026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onika.mazurek@saint-gobain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michal.ciesielski@saint-gobain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int-gobai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GB to Word">
      <a:dk1>
        <a:sysClr val="windowText" lastClr="000000"/>
      </a:dk1>
      <a:lt1>
        <a:sysClr val="window" lastClr="FFFFFF"/>
      </a:lt1>
      <a:dk2>
        <a:srgbClr val="3F3F3F"/>
      </a:dk2>
      <a:lt2>
        <a:srgbClr val="FFFFFF"/>
      </a:lt2>
      <a:accent1>
        <a:srgbClr val="17428C"/>
      </a:accent1>
      <a:accent2>
        <a:srgbClr val="CE142E"/>
      </a:accent2>
      <a:accent3>
        <a:srgbClr val="E5531A"/>
      </a:accent3>
      <a:accent4>
        <a:srgbClr val="67B9B0"/>
      </a:accent4>
      <a:accent5>
        <a:srgbClr val="219CDC"/>
      </a:accent5>
      <a:accent6>
        <a:srgbClr val="17428C"/>
      </a:accent6>
      <a:hlink>
        <a:srgbClr val="CE142E"/>
      </a:hlink>
      <a:folHlink>
        <a:srgbClr val="E5531A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0F0863DC164281C49AF52E7A5748" ma:contentTypeVersion="19" ma:contentTypeDescription="Crée un document." ma:contentTypeScope="" ma:versionID="74ecaf634e617549ea38bcc438b630a7">
  <xsd:schema xmlns:xsd="http://www.w3.org/2001/XMLSchema" xmlns:xs="http://www.w3.org/2001/XMLSchema" xmlns:p="http://schemas.microsoft.com/office/2006/metadata/properties" xmlns:ns2="fb32ad5d-83d1-4935-bb68-e56d237a18ed" xmlns:ns3="71b90bfc-a461-40d6-87ec-2f216bcbb23b" targetNamespace="http://schemas.microsoft.com/office/2006/metadata/properties" ma:root="true" ma:fieldsID="07713f7c0337d5e892ede18306dd0279" ns2:_="" ns3:_="">
    <xsd:import namespace="fb32ad5d-83d1-4935-bb68-e56d237a18ed"/>
    <xsd:import namespace="71b90bfc-a461-40d6-87ec-2f216bcbb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2ad5d-83d1-4935-bb68-e56d237a1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90bfc-a461-40d6-87ec-2f216bcbb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a79779-8297-4650-be73-5658b54b2ee9}" ma:internalName="TaxCatchAll" ma:showField="CatchAllData" ma:web="71b90bfc-a461-40d6-87ec-2f216bcbb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2ad5d-83d1-4935-bb68-e56d237a18ed">
      <Terms xmlns="http://schemas.microsoft.com/office/infopath/2007/PartnerControls"/>
    </lcf76f155ced4ddcb4097134ff3c332f>
    <TaxCatchAll xmlns="71b90bfc-a461-40d6-87ec-2f216bcbb2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5B09-39B2-4679-B6CA-235D8C009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A722B-CF10-495A-BBD2-78613C69E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2ad5d-83d1-4935-bb68-e56d237a18ed"/>
    <ds:schemaRef ds:uri="71b90bfc-a461-40d6-87ec-2f216bcbb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89D60-B7B2-4150-983B-0CA2BF0C1CB7}">
  <ds:schemaRefs>
    <ds:schemaRef ds:uri="http://schemas.microsoft.com/office/2006/metadata/properties"/>
    <ds:schemaRef ds:uri="http://schemas.microsoft.com/office/infopath/2007/PartnerControls"/>
    <ds:schemaRef ds:uri="fb32ad5d-83d1-4935-bb68-e56d237a18ed"/>
    <ds:schemaRef ds:uri="71b90bfc-a461-40d6-87ec-2f216bcbb23b"/>
  </ds:schemaRefs>
</ds:datastoreItem>
</file>

<file path=customXml/itemProps4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1213</Words>
  <Characters>7281</Characters>
  <Application>Microsoft Office Word</Application>
  <DocSecurity>0</DocSecurity>
  <Lines>60</Lines>
  <Paragraphs>16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>, docId:DBEEB9BBA75238EE3222C7645C33F195</cp:keywords>
  <dc:description/>
  <cp:lastModifiedBy>Tower Group 2</cp:lastModifiedBy>
  <cp:revision>3</cp:revision>
  <cp:lastPrinted>2026-06-09T11:39:00Z</cp:lastPrinted>
  <dcterms:created xsi:type="dcterms:W3CDTF">2026-06-09T09:59:00Z</dcterms:created>
  <dcterms:modified xsi:type="dcterms:W3CDTF">2026-06-09T11:40:00Z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0x010100C9330F0863DC164281C49AF52E7A5748</vt:lpwstr>
  </property>
  <property fmtid="{D5CDD505-2E9C-101B-9397-08002B2CF9AE}" pid="10" name="MediaServiceImageTags">
    <vt:lpwstr/>
  </property>
</Properties>
</file>