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F444" w14:textId="32FBBFCA" w:rsidR="00304E9D" w:rsidRDefault="00304E9D" w:rsidP="00712B5B">
      <w:pPr>
        <w:pStyle w:val="Nagwek1"/>
        <w:spacing w:before="0" w:after="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72116B56" w14:textId="77777777" w:rsidR="00304E9D" w:rsidRDefault="00304E9D" w:rsidP="00712B5B">
      <w:pPr>
        <w:pStyle w:val="Nagwek1"/>
        <w:spacing w:before="0" w:after="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1696F023" w14:textId="77777777" w:rsidR="00304E9D" w:rsidRDefault="00304E9D" w:rsidP="00304E9D">
      <w:pPr>
        <w:spacing w:line="259" w:lineRule="auto"/>
        <w:ind w:right="37"/>
        <w:jc w:val="right"/>
      </w:pPr>
      <w:r>
        <w:rPr>
          <w:sz w:val="16"/>
        </w:rPr>
        <w:t xml:space="preserve">Informacja prasowa </w:t>
      </w:r>
    </w:p>
    <w:p w14:paraId="37871EBF" w14:textId="39B3ACD7" w:rsidR="00304E9D" w:rsidRDefault="00304E9D" w:rsidP="00304E9D">
      <w:pPr>
        <w:spacing w:after="59" w:line="259" w:lineRule="auto"/>
        <w:ind w:right="37"/>
        <w:jc w:val="right"/>
      </w:pPr>
      <w:r>
        <w:rPr>
          <w:sz w:val="16"/>
        </w:rPr>
        <w:t xml:space="preserve">Warszawa, </w:t>
      </w:r>
      <w:r>
        <w:rPr>
          <w:sz w:val="16"/>
        </w:rPr>
        <w:t>maj</w:t>
      </w:r>
      <w:r>
        <w:rPr>
          <w:sz w:val="16"/>
        </w:rPr>
        <w:t xml:space="preserve"> 2026 </w:t>
      </w:r>
    </w:p>
    <w:p w14:paraId="6B25ED57" w14:textId="4CC8C214" w:rsidR="00712B5B" w:rsidRPr="00304E9D" w:rsidRDefault="00712B5B" w:rsidP="00304E9D">
      <w:pPr>
        <w:spacing w:line="259" w:lineRule="auto"/>
        <w:ind w:right="52"/>
        <w:jc w:val="center"/>
        <w:rPr>
          <w:rFonts w:ascii="Calibri" w:eastAsia="Calibri" w:hAnsi="Calibri" w:cs="Calibri"/>
          <w:b/>
          <w:color w:val="385623"/>
          <w:kern w:val="2"/>
          <w:sz w:val="36"/>
          <w:szCs w:val="24"/>
          <w14:ligatures w14:val="standardContextual"/>
        </w:rPr>
      </w:pPr>
      <w:r w:rsidRPr="00304E9D">
        <w:rPr>
          <w:rFonts w:ascii="Calibri" w:eastAsia="Calibri" w:hAnsi="Calibri" w:cs="Calibri"/>
          <w:b/>
          <w:color w:val="385623"/>
          <w:kern w:val="2"/>
          <w:sz w:val="36"/>
          <w:szCs w:val="24"/>
          <w14:ligatures w14:val="standardContextual"/>
        </w:rPr>
        <w:t>Jeden kleszcz, dwie różne choroby. Co warto wiedzieć o</w:t>
      </w:r>
      <w:r w:rsidR="00304E9D">
        <w:rPr>
          <w:rFonts w:ascii="Calibri" w:eastAsia="Calibri" w:hAnsi="Calibri" w:cs="Calibri"/>
          <w:b/>
          <w:color w:val="385623"/>
          <w:kern w:val="2"/>
          <w:sz w:val="36"/>
          <w:szCs w:val="24"/>
          <w14:ligatures w14:val="standardContextual"/>
        </w:rPr>
        <w:t> </w:t>
      </w:r>
      <w:r w:rsidRPr="00304E9D">
        <w:rPr>
          <w:rFonts w:ascii="Calibri" w:eastAsia="Calibri" w:hAnsi="Calibri" w:cs="Calibri"/>
          <w:b/>
          <w:color w:val="385623"/>
          <w:kern w:val="2"/>
          <w:sz w:val="36"/>
          <w:szCs w:val="24"/>
          <w14:ligatures w14:val="standardContextual"/>
        </w:rPr>
        <w:t>kleszczowym zapaleniu mózgu i boreliozie</w:t>
      </w:r>
      <w:r w:rsidR="000E428C" w:rsidRPr="00304E9D">
        <w:rPr>
          <w:rFonts w:ascii="Calibri" w:eastAsia="Calibri" w:hAnsi="Calibri" w:cs="Calibri"/>
          <w:b/>
          <w:color w:val="385623"/>
          <w:kern w:val="2"/>
          <w:sz w:val="36"/>
          <w:szCs w:val="24"/>
          <w14:ligatures w14:val="standardContextual"/>
        </w:rPr>
        <w:t xml:space="preserve"> przed wakacjami</w:t>
      </w:r>
    </w:p>
    <w:p w14:paraId="290F194B" w14:textId="77777777" w:rsidR="00712B5B" w:rsidRPr="00282F5B" w:rsidRDefault="00712B5B" w:rsidP="00712B5B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34A214C" w14:textId="6F955C94" w:rsidR="00712B5B" w:rsidRPr="00282F5B" w:rsidRDefault="00712B5B" w:rsidP="00712B5B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282F5B">
        <w:rPr>
          <w:rFonts w:ascii="Calibri" w:hAnsi="Calibri" w:cs="Calibri"/>
          <w:b/>
          <w:bCs/>
          <w:sz w:val="20"/>
          <w:szCs w:val="20"/>
        </w:rPr>
        <w:t xml:space="preserve">Obie zaczynają się tak samo: od ukłucia kleszcza. Potem wiele je dzieli – przyczyna, czas zakażenia, objawy, sposób leczenia, możliwości profilaktyki. </w:t>
      </w:r>
      <w:r w:rsidR="000E428C" w:rsidRPr="00282F5B">
        <w:rPr>
          <w:rFonts w:ascii="Calibri" w:hAnsi="Calibri" w:cs="Calibri"/>
          <w:b/>
          <w:bCs/>
          <w:sz w:val="20"/>
          <w:szCs w:val="20"/>
        </w:rPr>
        <w:t>Przed zbliżającym się sezonem wakacyjnym w</w:t>
      </w:r>
      <w:r w:rsidRPr="00282F5B">
        <w:rPr>
          <w:rFonts w:ascii="Calibri" w:hAnsi="Calibri" w:cs="Calibri"/>
          <w:b/>
          <w:bCs/>
          <w:sz w:val="20"/>
          <w:szCs w:val="20"/>
        </w:rPr>
        <w:t>arto wiedzieć, czym właściwie różnią się te dwie choroby i które „prawdy” o kleszczach są w istocie mitami.</w:t>
      </w:r>
      <w:r w:rsidR="000E428C" w:rsidRPr="00282F5B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0DEC2C4A" w14:textId="77777777" w:rsidR="00712B5B" w:rsidRPr="00282F5B" w:rsidRDefault="00712B5B" w:rsidP="00712B5B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86BD7E4" w14:textId="25CB9174" w:rsidR="00712B5B" w:rsidRPr="00282F5B" w:rsidRDefault="000E428C" w:rsidP="00712B5B">
      <w:pPr>
        <w:jc w:val="both"/>
        <w:rPr>
          <w:rFonts w:ascii="Calibri" w:hAnsi="Calibri" w:cs="Calibri"/>
          <w:sz w:val="20"/>
          <w:szCs w:val="20"/>
        </w:rPr>
      </w:pPr>
      <w:r w:rsidRPr="00282F5B">
        <w:rPr>
          <w:rFonts w:ascii="Calibri" w:hAnsi="Calibri" w:cs="Calibri"/>
          <w:sz w:val="20"/>
          <w:szCs w:val="20"/>
        </w:rPr>
        <w:t>Planując wakacyjne podróże w malownicze zakątki polskiej lub europejskiej przyrody, nie zapominajmy o ochronie przed kleszczami – a wraz z nimi o ryzyku kleszczowego zapalenia mózgu (KZM) i boreliozy. Choć obie choroby zaczynają się tak samo, od ukłucia kleszcza, wiele je dzieli: przyczyna, objawy, leczenie i możliwości profilaktyki. Warto wiedzieć, czym się różnią – i które „prawdy" o kleszczach są w istocie mitami.</w:t>
      </w:r>
    </w:p>
    <w:p w14:paraId="1C462AD5" w14:textId="77777777" w:rsidR="00712B5B" w:rsidRPr="00282F5B" w:rsidRDefault="00712B5B" w:rsidP="00712B5B">
      <w:pPr>
        <w:jc w:val="both"/>
        <w:rPr>
          <w:rFonts w:ascii="Calibri" w:hAnsi="Calibri" w:cs="Calibri"/>
          <w:sz w:val="20"/>
          <w:szCs w:val="20"/>
        </w:rPr>
      </w:pPr>
    </w:p>
    <w:p w14:paraId="4AE60186" w14:textId="77777777" w:rsidR="00712B5B" w:rsidRPr="00282F5B" w:rsidRDefault="00712B5B" w:rsidP="00712B5B">
      <w:pPr>
        <w:jc w:val="both"/>
        <w:rPr>
          <w:rFonts w:ascii="Calibri" w:hAnsi="Calibri" w:cs="Calibri"/>
          <w:sz w:val="20"/>
          <w:szCs w:val="20"/>
        </w:rPr>
      </w:pPr>
      <w:r w:rsidRPr="00282F5B">
        <w:rPr>
          <w:rFonts w:ascii="Calibri" w:hAnsi="Calibri" w:cs="Calibri"/>
          <w:sz w:val="20"/>
          <w:szCs w:val="20"/>
        </w:rPr>
        <w:t xml:space="preserve">Kleszcze mogą przenosić różne choroby. W Polsce, w kontekście człowieka, najczęściej mówi się o dwóch: kleszczowym zapaleniu mózgu (KZM) i boreliozie. Łączy je ten sam wektor — najczęściej kleszcz pospolity </w:t>
      </w:r>
      <w:proofErr w:type="spellStart"/>
      <w:r w:rsidRPr="00282F5B">
        <w:rPr>
          <w:rFonts w:ascii="Calibri" w:hAnsi="Calibri" w:cs="Calibri"/>
          <w:sz w:val="20"/>
          <w:szCs w:val="20"/>
        </w:rPr>
        <w:t>Ixodes</w:t>
      </w:r>
      <w:proofErr w:type="spellEnd"/>
      <w:r w:rsidRPr="00282F5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2F5B">
        <w:rPr>
          <w:rFonts w:ascii="Calibri" w:hAnsi="Calibri" w:cs="Calibri"/>
          <w:sz w:val="20"/>
          <w:szCs w:val="20"/>
        </w:rPr>
        <w:t>ricinus</w:t>
      </w:r>
      <w:proofErr w:type="spellEnd"/>
      <w:r w:rsidRPr="00282F5B">
        <w:rPr>
          <w:rFonts w:ascii="Calibri" w:hAnsi="Calibri" w:cs="Calibri"/>
          <w:sz w:val="20"/>
          <w:szCs w:val="20"/>
        </w:rPr>
        <w:t>. Dzieli niemal wszystko inne: czynnik chorobotwórczy, sposób przenoszenia infekcji, objawy, leczenie i dostępne metody profilaktyki</w:t>
      </w:r>
      <w:r w:rsidRPr="00282F5B">
        <w:rPr>
          <w:rStyle w:val="Odwoanieprzypisudolnego"/>
          <w:rFonts w:ascii="Calibri" w:hAnsi="Calibri" w:cs="Calibri"/>
          <w:sz w:val="20"/>
          <w:szCs w:val="20"/>
        </w:rPr>
        <w:footnoteReference w:id="1"/>
      </w:r>
      <w:r w:rsidRPr="00282F5B">
        <w:rPr>
          <w:rFonts w:ascii="Calibri" w:hAnsi="Calibri" w:cs="Calibri"/>
          <w:sz w:val="20"/>
          <w:szCs w:val="20"/>
        </w:rPr>
        <w:t>.</w:t>
      </w:r>
    </w:p>
    <w:p w14:paraId="74D54AD7" w14:textId="77777777" w:rsidR="00712B5B" w:rsidRPr="00282F5B" w:rsidRDefault="00712B5B" w:rsidP="00712B5B">
      <w:pPr>
        <w:jc w:val="both"/>
        <w:rPr>
          <w:rFonts w:ascii="Calibri" w:hAnsi="Calibri" w:cs="Calibri"/>
          <w:sz w:val="20"/>
          <w:szCs w:val="20"/>
        </w:rPr>
      </w:pPr>
    </w:p>
    <w:p w14:paraId="35A52027" w14:textId="77777777" w:rsidR="00712B5B" w:rsidRPr="00282F5B" w:rsidRDefault="00712B5B" w:rsidP="00712B5B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2B5B" w:rsidRPr="00282F5B" w14:paraId="5BF5270B" w14:textId="77777777" w:rsidTr="00DC462F">
        <w:tc>
          <w:tcPr>
            <w:tcW w:w="9016" w:type="dxa"/>
          </w:tcPr>
          <w:p w14:paraId="1ACF505C" w14:textId="77777777" w:rsidR="00712B5B" w:rsidRPr="00282F5B" w:rsidRDefault="00712B5B" w:rsidP="00DC462F">
            <w:pPr>
              <w:pStyle w:val="Nagwek2"/>
              <w:spacing w:before="0" w:after="0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82F5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KZM i borelioza w skrócie</w:t>
            </w:r>
          </w:p>
          <w:p w14:paraId="1E4AAB3F" w14:textId="77777777" w:rsidR="00712B5B" w:rsidRPr="00282F5B" w:rsidRDefault="00712B5B" w:rsidP="00DC462F">
            <w:pPr>
              <w:pStyle w:val="Akapitzlist"/>
              <w:numPr>
                <w:ilvl w:val="0"/>
                <w:numId w:val="1"/>
              </w:numPr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82F5B">
              <w:rPr>
                <w:rFonts w:ascii="Calibri" w:hAnsi="Calibri" w:cs="Calibri"/>
                <w:sz w:val="20"/>
                <w:szCs w:val="20"/>
              </w:rPr>
              <w:t xml:space="preserve">Czynnik chorobotwórczy: wirus z rodziny </w:t>
            </w:r>
            <w:proofErr w:type="spellStart"/>
            <w:r w:rsidRPr="00282F5B">
              <w:rPr>
                <w:rFonts w:ascii="Calibri" w:hAnsi="Calibri" w:cs="Calibri"/>
                <w:sz w:val="20"/>
                <w:szCs w:val="20"/>
              </w:rPr>
              <w:t>Flaviviridae</w:t>
            </w:r>
            <w:proofErr w:type="spellEnd"/>
            <w:r w:rsidRPr="00282F5B">
              <w:rPr>
                <w:rStyle w:val="Odwoanieprzypisudolnego"/>
                <w:rFonts w:ascii="Calibri" w:hAnsi="Calibri" w:cs="Calibri"/>
              </w:rPr>
              <w:footnoteReference w:id="2"/>
            </w:r>
            <w:r w:rsidRPr="00282F5B">
              <w:rPr>
                <w:rFonts w:ascii="Calibri" w:hAnsi="Calibri" w:cs="Calibri"/>
                <w:sz w:val="20"/>
                <w:szCs w:val="20"/>
              </w:rPr>
              <w:t xml:space="preserve">, (KZM) vs bakteria </w:t>
            </w:r>
            <w:proofErr w:type="spellStart"/>
            <w:r w:rsidRPr="00282F5B">
              <w:rPr>
                <w:rFonts w:ascii="Calibri" w:hAnsi="Calibri" w:cs="Calibri"/>
                <w:i/>
                <w:iCs/>
                <w:sz w:val="20"/>
                <w:szCs w:val="20"/>
              </w:rPr>
              <w:t>Borrelia</w:t>
            </w:r>
            <w:proofErr w:type="spellEnd"/>
            <w:r w:rsidRPr="00282F5B">
              <w:rPr>
                <w:rFonts w:ascii="Calibri" w:hAnsi="Calibri" w:cs="Calibri"/>
                <w:sz w:val="20"/>
                <w:szCs w:val="20"/>
              </w:rPr>
              <w:t xml:space="preserve"> (borelioza)</w:t>
            </w:r>
            <w:r w:rsidRPr="00282F5B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3"/>
            </w:r>
          </w:p>
          <w:p w14:paraId="319850DA" w14:textId="60B69FCD" w:rsidR="00712B5B" w:rsidRPr="00282F5B" w:rsidRDefault="00712B5B" w:rsidP="00DC462F">
            <w:pPr>
              <w:pStyle w:val="Akapitzlist"/>
              <w:numPr>
                <w:ilvl w:val="0"/>
                <w:numId w:val="1"/>
              </w:numPr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82F5B">
              <w:rPr>
                <w:rFonts w:ascii="Calibri" w:hAnsi="Calibri" w:cs="Calibri"/>
                <w:sz w:val="20"/>
                <w:szCs w:val="20"/>
              </w:rPr>
              <w:t xml:space="preserve">Czas zakażenia po ukłuciu: </w:t>
            </w:r>
            <w:r w:rsidR="000E428C" w:rsidRPr="00282F5B">
              <w:rPr>
                <w:rFonts w:ascii="Calibri" w:hAnsi="Calibri" w:cs="Calibri"/>
                <w:sz w:val="20"/>
                <w:szCs w:val="20"/>
              </w:rPr>
              <w:t>k</w:t>
            </w:r>
            <w:r w:rsidR="000E428C" w:rsidRPr="00282F5B">
              <w:rPr>
                <w:rFonts w:ascii="Calibri" w:hAnsi="Calibri"/>
              </w:rPr>
              <w:t>ilka minut</w:t>
            </w:r>
            <w:r w:rsidRPr="00282F5B">
              <w:rPr>
                <w:rFonts w:ascii="Calibri" w:hAnsi="Calibri" w:cs="Calibri"/>
                <w:sz w:val="20"/>
                <w:szCs w:val="20"/>
              </w:rPr>
              <w:t xml:space="preserve"> przy KZM</w:t>
            </w:r>
            <w:r w:rsidR="00282F5B" w:rsidRPr="00282F5B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4"/>
            </w:r>
            <w:r w:rsidRPr="00282F5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4145BC" w:rsidRPr="00282F5B">
              <w:rPr>
                <w:rFonts w:ascii="Calibri" w:hAnsi="Calibri" w:cs="Calibri"/>
                <w:sz w:val="20"/>
                <w:szCs w:val="20"/>
              </w:rPr>
              <w:t>24</w:t>
            </w:r>
            <w:r w:rsidRPr="00282F5B">
              <w:rPr>
                <w:rFonts w:ascii="Calibri" w:hAnsi="Calibri" w:cs="Calibri"/>
                <w:sz w:val="20"/>
                <w:szCs w:val="20"/>
              </w:rPr>
              <w:t xml:space="preserve"> godzin</w:t>
            </w:r>
            <w:r w:rsidR="004145BC" w:rsidRPr="00282F5B">
              <w:rPr>
                <w:rFonts w:ascii="Calibri" w:hAnsi="Calibri" w:cs="Calibri"/>
                <w:sz w:val="20"/>
                <w:szCs w:val="20"/>
              </w:rPr>
              <w:t>y</w:t>
            </w:r>
            <w:r w:rsidRPr="00282F5B">
              <w:rPr>
                <w:rFonts w:ascii="Calibri" w:hAnsi="Calibri" w:cs="Calibri"/>
                <w:sz w:val="20"/>
                <w:szCs w:val="20"/>
              </w:rPr>
              <w:t xml:space="preserve"> przy boreliozie</w:t>
            </w:r>
            <w:r w:rsidRPr="00282F5B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5"/>
            </w:r>
          </w:p>
          <w:p w14:paraId="3B62812E" w14:textId="77777777" w:rsidR="00712B5B" w:rsidRPr="00282F5B" w:rsidRDefault="00712B5B" w:rsidP="00DC462F">
            <w:pPr>
              <w:pStyle w:val="Akapitzlist"/>
              <w:numPr>
                <w:ilvl w:val="0"/>
                <w:numId w:val="1"/>
              </w:numPr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82F5B">
              <w:rPr>
                <w:rFonts w:ascii="Calibri" w:hAnsi="Calibri" w:cs="Calibri"/>
                <w:sz w:val="20"/>
                <w:szCs w:val="20"/>
              </w:rPr>
              <w:t>Rumień wędrujący: typowy dla boreliozy (60–80 proc. chorych), nie występuje przy KZM</w:t>
            </w:r>
            <w:r w:rsidRPr="00282F5B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6"/>
            </w:r>
            <w:r w:rsidRPr="00282F5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D028E36" w14:textId="77777777" w:rsidR="00712B5B" w:rsidRPr="00282F5B" w:rsidRDefault="00712B5B" w:rsidP="00DC462F">
            <w:pPr>
              <w:pStyle w:val="Akapitzlist"/>
              <w:numPr>
                <w:ilvl w:val="0"/>
                <w:numId w:val="1"/>
              </w:numPr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82F5B">
              <w:rPr>
                <w:rFonts w:ascii="Calibri" w:hAnsi="Calibri" w:cs="Calibri"/>
                <w:sz w:val="20"/>
                <w:szCs w:val="20"/>
              </w:rPr>
              <w:t>Leczenie specyficzne: antybiotyki w boreliozie, brak takiego leczenia w KZM</w:t>
            </w:r>
            <w:r w:rsidRPr="00282F5B">
              <w:rPr>
                <w:rStyle w:val="Odwoanieprzypisudolnego"/>
                <w:rFonts w:ascii="Calibri" w:hAnsi="Calibri" w:cs="Calibri"/>
              </w:rPr>
              <w:footnoteReference w:id="7"/>
            </w:r>
            <w:r w:rsidRPr="00282F5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61698E9" w14:textId="2B73CCA2" w:rsidR="00712B5B" w:rsidRPr="00282F5B" w:rsidRDefault="00712B5B" w:rsidP="00DC462F">
            <w:pPr>
              <w:pStyle w:val="Akapitzlist"/>
              <w:numPr>
                <w:ilvl w:val="0"/>
                <w:numId w:val="1"/>
              </w:numPr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82F5B">
              <w:rPr>
                <w:rFonts w:ascii="Calibri" w:hAnsi="Calibri" w:cs="Calibri"/>
                <w:sz w:val="20"/>
                <w:szCs w:val="20"/>
              </w:rPr>
              <w:t>Szczepi</w:t>
            </w:r>
            <w:r w:rsidR="000E428C" w:rsidRPr="00282F5B">
              <w:rPr>
                <w:rFonts w:ascii="Calibri" w:hAnsi="Calibri" w:cs="Calibri"/>
                <w:sz w:val="20"/>
                <w:szCs w:val="20"/>
              </w:rPr>
              <w:t>enie</w:t>
            </w:r>
            <w:r w:rsidRPr="00282F5B">
              <w:rPr>
                <w:rFonts w:ascii="Calibri" w:hAnsi="Calibri" w:cs="Calibri"/>
                <w:sz w:val="20"/>
                <w:szCs w:val="20"/>
              </w:rPr>
              <w:t>: dostępn</w:t>
            </w:r>
            <w:r w:rsidR="000E428C" w:rsidRPr="00282F5B">
              <w:rPr>
                <w:rFonts w:ascii="Calibri" w:hAnsi="Calibri" w:cs="Calibri"/>
                <w:sz w:val="20"/>
                <w:szCs w:val="20"/>
              </w:rPr>
              <w:t xml:space="preserve">e </w:t>
            </w:r>
            <w:r w:rsidRPr="00282F5B">
              <w:rPr>
                <w:rFonts w:ascii="Calibri" w:hAnsi="Calibri" w:cs="Calibri"/>
                <w:sz w:val="20"/>
                <w:szCs w:val="20"/>
              </w:rPr>
              <w:t>i skuteczn</w:t>
            </w:r>
            <w:r w:rsidR="000E428C" w:rsidRPr="00282F5B">
              <w:rPr>
                <w:rFonts w:ascii="Calibri" w:hAnsi="Calibri" w:cs="Calibri"/>
                <w:sz w:val="20"/>
                <w:szCs w:val="20"/>
              </w:rPr>
              <w:t>e</w:t>
            </w:r>
            <w:r w:rsidRPr="00282F5B">
              <w:rPr>
                <w:rFonts w:ascii="Calibri" w:hAnsi="Calibri" w:cs="Calibri"/>
                <w:sz w:val="20"/>
                <w:szCs w:val="20"/>
              </w:rPr>
              <w:t xml:space="preserve"> przeciw KZM</w:t>
            </w:r>
            <w:r w:rsidRPr="00282F5B">
              <w:rPr>
                <w:rStyle w:val="Odwoanieprzypisudolnego"/>
                <w:rFonts w:ascii="Calibri" w:hAnsi="Calibri" w:cs="Calibri"/>
              </w:rPr>
              <w:footnoteReference w:id="8"/>
            </w:r>
            <w:r w:rsidRPr="00282F5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66E7A956" w14:textId="77777777" w:rsidR="00712B5B" w:rsidRPr="00282F5B" w:rsidRDefault="00712B5B" w:rsidP="00712B5B">
      <w:pPr>
        <w:pStyle w:val="Nagwek1"/>
        <w:spacing w:before="0" w:after="0"/>
        <w:jc w:val="both"/>
        <w:rPr>
          <w:rFonts w:ascii="Calibri" w:hAnsi="Calibri" w:cs="Calibri"/>
          <w:b/>
          <w:bCs/>
          <w:color w:val="000000" w:themeColor="text1"/>
          <w:sz w:val="15"/>
          <w:szCs w:val="15"/>
        </w:rPr>
      </w:pPr>
    </w:p>
    <w:p w14:paraId="60582800" w14:textId="77777777" w:rsidR="00712B5B" w:rsidRPr="00282F5B" w:rsidRDefault="00712B5B" w:rsidP="00712B5B">
      <w:pPr>
        <w:pStyle w:val="Nagwek1"/>
        <w:spacing w:before="0" w:after="0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282F5B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Bakteria czy wirus? Pierwszy podział </w:t>
      </w:r>
    </w:p>
    <w:p w14:paraId="31036716" w14:textId="77777777" w:rsidR="00712B5B" w:rsidRPr="00282F5B" w:rsidRDefault="00712B5B" w:rsidP="00712B5B">
      <w:pPr>
        <w:pStyle w:val="Nagwek1"/>
        <w:spacing w:before="0" w:after="0"/>
        <w:jc w:val="both"/>
        <w:rPr>
          <w:rFonts w:ascii="Calibri" w:eastAsia="Georgia" w:hAnsi="Calibri" w:cs="Calibri"/>
          <w:color w:val="auto"/>
          <w:sz w:val="20"/>
          <w:szCs w:val="20"/>
        </w:rPr>
      </w:pPr>
      <w:r w:rsidRPr="00282F5B">
        <w:rPr>
          <w:rFonts w:ascii="Calibri" w:eastAsia="Georgia" w:hAnsi="Calibri" w:cs="Calibri"/>
          <w:color w:val="auto"/>
          <w:sz w:val="20"/>
          <w:szCs w:val="20"/>
        </w:rPr>
        <w:t xml:space="preserve">Boreliozę wywołują bakterie z rodzaju </w:t>
      </w:r>
      <w:proofErr w:type="spellStart"/>
      <w:r w:rsidRPr="00282F5B">
        <w:rPr>
          <w:rFonts w:ascii="Calibri" w:eastAsia="Georgia" w:hAnsi="Calibri" w:cs="Calibri"/>
          <w:color w:val="auto"/>
          <w:sz w:val="20"/>
          <w:szCs w:val="20"/>
        </w:rPr>
        <w:t>Borrelia</w:t>
      </w:r>
      <w:proofErr w:type="spellEnd"/>
      <w:r w:rsidRPr="00282F5B">
        <w:rPr>
          <w:rFonts w:ascii="Calibri" w:eastAsia="Georgia" w:hAnsi="Calibri" w:cs="Calibri"/>
          <w:color w:val="auto"/>
          <w:sz w:val="20"/>
          <w:szCs w:val="20"/>
        </w:rPr>
        <w:t xml:space="preserve"> — w Europie najczęściej </w:t>
      </w:r>
      <w:proofErr w:type="spellStart"/>
      <w:r w:rsidRPr="00282F5B">
        <w:rPr>
          <w:rFonts w:ascii="Calibri" w:eastAsia="Georgia" w:hAnsi="Calibri" w:cs="Calibri"/>
          <w:i/>
          <w:color w:val="auto"/>
          <w:sz w:val="20"/>
          <w:szCs w:val="20"/>
        </w:rPr>
        <w:t>Borrelia</w:t>
      </w:r>
      <w:proofErr w:type="spellEnd"/>
      <w:r w:rsidRPr="00282F5B">
        <w:rPr>
          <w:rFonts w:ascii="Calibri" w:eastAsia="Georgia" w:hAnsi="Calibri" w:cs="Calibri"/>
          <w:i/>
          <w:color w:val="auto"/>
          <w:sz w:val="20"/>
          <w:szCs w:val="20"/>
        </w:rPr>
        <w:t xml:space="preserve"> </w:t>
      </w:r>
      <w:proofErr w:type="spellStart"/>
      <w:r w:rsidRPr="00282F5B">
        <w:rPr>
          <w:rFonts w:ascii="Calibri" w:eastAsia="Georgia" w:hAnsi="Calibri" w:cs="Calibri"/>
          <w:i/>
          <w:color w:val="auto"/>
          <w:sz w:val="20"/>
          <w:szCs w:val="20"/>
        </w:rPr>
        <w:t>afzelii</w:t>
      </w:r>
      <w:proofErr w:type="spellEnd"/>
      <w:r w:rsidRPr="00282F5B">
        <w:rPr>
          <w:rFonts w:ascii="Calibri" w:eastAsia="Georgia" w:hAnsi="Calibri" w:cs="Calibri"/>
          <w:i/>
          <w:color w:val="auto"/>
          <w:sz w:val="20"/>
          <w:szCs w:val="20"/>
        </w:rPr>
        <w:t xml:space="preserve"> i </w:t>
      </w:r>
      <w:proofErr w:type="spellStart"/>
      <w:r w:rsidRPr="00282F5B">
        <w:rPr>
          <w:rFonts w:ascii="Calibri" w:eastAsia="Georgia" w:hAnsi="Calibri" w:cs="Calibri"/>
          <w:i/>
          <w:color w:val="auto"/>
          <w:sz w:val="20"/>
          <w:szCs w:val="20"/>
        </w:rPr>
        <w:t>Borrelia</w:t>
      </w:r>
      <w:proofErr w:type="spellEnd"/>
      <w:r w:rsidRPr="00282F5B">
        <w:rPr>
          <w:rFonts w:ascii="Calibri" w:eastAsia="Georgia" w:hAnsi="Calibri" w:cs="Calibri"/>
          <w:i/>
          <w:color w:val="auto"/>
          <w:sz w:val="20"/>
          <w:szCs w:val="20"/>
        </w:rPr>
        <w:t xml:space="preserve"> </w:t>
      </w:r>
      <w:proofErr w:type="spellStart"/>
      <w:r w:rsidRPr="00282F5B">
        <w:rPr>
          <w:rFonts w:ascii="Calibri" w:eastAsia="Georgia" w:hAnsi="Calibri" w:cs="Calibri"/>
          <w:i/>
          <w:color w:val="auto"/>
          <w:sz w:val="20"/>
          <w:szCs w:val="20"/>
        </w:rPr>
        <w:t>garinii</w:t>
      </w:r>
      <w:proofErr w:type="spellEnd"/>
      <w:r w:rsidRPr="00282F5B">
        <w:rPr>
          <w:rStyle w:val="Odwoanieprzypisudolnego"/>
          <w:rFonts w:ascii="Calibri" w:eastAsia="Georgia" w:hAnsi="Calibri" w:cs="Calibri"/>
          <w:color w:val="auto"/>
          <w:sz w:val="20"/>
          <w:szCs w:val="20"/>
        </w:rPr>
        <w:footnoteReference w:id="9"/>
      </w:r>
      <w:r w:rsidRPr="00282F5B">
        <w:rPr>
          <w:rFonts w:ascii="Calibri" w:eastAsia="Georgia" w:hAnsi="Calibri" w:cs="Calibri"/>
          <w:color w:val="auto"/>
          <w:sz w:val="20"/>
          <w:szCs w:val="20"/>
        </w:rPr>
        <w:t>. Bakterie żyją w jelicie kleszcza i potrzebują czasu, żeby przedostać się do gospodarza.</w:t>
      </w:r>
    </w:p>
    <w:p w14:paraId="6A967DB9" w14:textId="77777777" w:rsidR="00712B5B" w:rsidRPr="00282F5B" w:rsidRDefault="00712B5B" w:rsidP="00712B5B">
      <w:pPr>
        <w:jc w:val="both"/>
        <w:rPr>
          <w:rFonts w:ascii="Calibri" w:hAnsi="Calibri" w:cs="Calibri"/>
          <w:sz w:val="20"/>
          <w:szCs w:val="20"/>
        </w:rPr>
      </w:pPr>
      <w:r w:rsidRPr="00282F5B">
        <w:rPr>
          <w:rFonts w:ascii="Calibri" w:hAnsi="Calibri" w:cs="Calibri"/>
          <w:sz w:val="20"/>
          <w:szCs w:val="20"/>
        </w:rPr>
        <w:t xml:space="preserve">KZM to choroba wirusowa. Wywołuje ją wirus z rodziny </w:t>
      </w:r>
      <w:proofErr w:type="spellStart"/>
      <w:r w:rsidRPr="00282F5B">
        <w:rPr>
          <w:rFonts w:ascii="Calibri" w:hAnsi="Calibri" w:cs="Calibri"/>
          <w:sz w:val="20"/>
          <w:szCs w:val="20"/>
        </w:rPr>
        <w:t>Flaviviridae</w:t>
      </w:r>
      <w:proofErr w:type="spellEnd"/>
      <w:r w:rsidRPr="00282F5B">
        <w:rPr>
          <w:rFonts w:ascii="Calibri" w:hAnsi="Calibri" w:cs="Calibri"/>
          <w:sz w:val="20"/>
          <w:szCs w:val="20"/>
        </w:rPr>
        <w:t>, blisko spokrewniony z patogenami japońskiego zapalenia mózgu czy żółtej febry</w:t>
      </w:r>
      <w:r w:rsidRPr="00282F5B">
        <w:rPr>
          <w:rStyle w:val="Odwoanieprzypisudolnego"/>
          <w:rFonts w:ascii="Calibri" w:hAnsi="Calibri" w:cs="Calibri"/>
        </w:rPr>
        <w:footnoteReference w:id="10"/>
      </w:r>
      <w:r w:rsidRPr="00282F5B">
        <w:rPr>
          <w:rFonts w:ascii="Calibri" w:hAnsi="Calibri" w:cs="Calibri"/>
          <w:sz w:val="20"/>
          <w:szCs w:val="20"/>
        </w:rPr>
        <w:t>. Wirus znajduje się w gruczołach ślinowych pajęczaka i trafia do organizmu człowieka praktycznie w momencie ukłucia</w:t>
      </w:r>
      <w:r w:rsidRPr="00282F5B">
        <w:rPr>
          <w:rStyle w:val="Odwoanieprzypisudolnego"/>
          <w:rFonts w:ascii="Calibri" w:hAnsi="Calibri" w:cs="Calibri"/>
        </w:rPr>
        <w:footnoteReference w:id="11"/>
      </w:r>
      <w:r w:rsidRPr="00282F5B">
        <w:rPr>
          <w:rFonts w:ascii="Calibri" w:hAnsi="Calibri" w:cs="Calibri"/>
          <w:sz w:val="20"/>
          <w:szCs w:val="20"/>
        </w:rPr>
        <w:t>. Z tej różnicy wynika cała reszta — od czasu, jaki ma się na usunięcie kleszcza, po dostępne leczenie.</w:t>
      </w:r>
    </w:p>
    <w:p w14:paraId="2A620E08" w14:textId="77777777" w:rsidR="00712B5B" w:rsidRPr="00282F5B" w:rsidRDefault="00712B5B" w:rsidP="00712B5B">
      <w:pPr>
        <w:pStyle w:val="Nagwek1"/>
        <w:spacing w:before="0" w:after="0"/>
        <w:jc w:val="both"/>
        <w:rPr>
          <w:rFonts w:ascii="Calibri" w:hAnsi="Calibri" w:cs="Calibri"/>
          <w:b/>
          <w:bCs/>
          <w:color w:val="000000" w:themeColor="text1"/>
          <w:sz w:val="11"/>
          <w:szCs w:val="11"/>
        </w:rPr>
      </w:pPr>
    </w:p>
    <w:p w14:paraId="0EC10AFF" w14:textId="25333E37" w:rsidR="00712B5B" w:rsidRPr="00282F5B" w:rsidRDefault="00712B5B" w:rsidP="00712B5B">
      <w:pPr>
        <w:pStyle w:val="Nagwek1"/>
        <w:spacing w:before="0" w:after="0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282F5B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Kilka godzin kontra kilka </w:t>
      </w:r>
      <w:r w:rsidR="000E428C" w:rsidRPr="00282F5B">
        <w:rPr>
          <w:rFonts w:ascii="Calibri" w:hAnsi="Calibri" w:cs="Calibri"/>
          <w:b/>
          <w:bCs/>
          <w:color w:val="000000" w:themeColor="text1"/>
          <w:sz w:val="20"/>
          <w:szCs w:val="20"/>
        </w:rPr>
        <w:t>minut</w:t>
      </w:r>
    </w:p>
    <w:p w14:paraId="1ECF940F" w14:textId="652F115C" w:rsidR="00712B5B" w:rsidRPr="00282F5B" w:rsidRDefault="00712B5B" w:rsidP="00712B5B">
      <w:pPr>
        <w:spacing w:after="160"/>
        <w:jc w:val="both"/>
        <w:rPr>
          <w:rFonts w:ascii="Calibri" w:hAnsi="Calibri" w:cs="Calibri"/>
          <w:sz w:val="20"/>
          <w:szCs w:val="20"/>
        </w:rPr>
      </w:pPr>
      <w:r w:rsidRPr="00282F5B">
        <w:rPr>
          <w:rFonts w:ascii="Calibri" w:hAnsi="Calibri" w:cs="Calibri"/>
          <w:sz w:val="20"/>
          <w:szCs w:val="20"/>
        </w:rPr>
        <w:t>W przypadku boreliozy liczy się czas. Bakterie z reguły potrzebują</w:t>
      </w:r>
      <w:r w:rsidR="004145BC" w:rsidRPr="00282F5B">
        <w:rPr>
          <w:rFonts w:ascii="Calibri" w:hAnsi="Calibri" w:cs="Calibri"/>
          <w:sz w:val="20"/>
          <w:szCs w:val="20"/>
        </w:rPr>
        <w:t xml:space="preserve"> ponad</w:t>
      </w:r>
      <w:r w:rsidRPr="00282F5B">
        <w:rPr>
          <w:rFonts w:ascii="Calibri" w:hAnsi="Calibri" w:cs="Calibri"/>
          <w:sz w:val="20"/>
          <w:szCs w:val="20"/>
        </w:rPr>
        <w:t xml:space="preserve"> </w:t>
      </w:r>
      <w:r w:rsidR="004145BC" w:rsidRPr="00282F5B">
        <w:rPr>
          <w:rFonts w:ascii="Calibri" w:hAnsi="Calibri" w:cs="Calibri"/>
          <w:sz w:val="20"/>
          <w:szCs w:val="20"/>
        </w:rPr>
        <w:t>24</w:t>
      </w:r>
      <w:r w:rsidRPr="00282F5B">
        <w:rPr>
          <w:rFonts w:ascii="Calibri" w:hAnsi="Calibri" w:cs="Calibri"/>
          <w:sz w:val="20"/>
          <w:szCs w:val="20"/>
        </w:rPr>
        <w:t xml:space="preserve"> godzin żerowania kleszcza, żeby przedostać się do krwiobiegu człowieka</w:t>
      </w:r>
      <w:r w:rsidRPr="00282F5B">
        <w:rPr>
          <w:rStyle w:val="Odwoanieprzypisudolnego"/>
          <w:rFonts w:ascii="Calibri" w:hAnsi="Calibri" w:cs="Calibri"/>
          <w:sz w:val="20"/>
          <w:szCs w:val="20"/>
        </w:rPr>
        <w:footnoteReference w:id="12"/>
      </w:r>
      <w:r w:rsidRPr="00282F5B">
        <w:t xml:space="preserve">. </w:t>
      </w:r>
      <w:r w:rsidRPr="00282F5B">
        <w:rPr>
          <w:rFonts w:ascii="Calibri" w:hAnsi="Calibri" w:cs="Calibri"/>
          <w:sz w:val="20"/>
          <w:szCs w:val="20"/>
        </w:rPr>
        <w:t>Im szybciej zauważymy i prawidłowo usuniemy pajęczaka, tym mniejsze ryzyko zakażenia. W przypadku KZM wirus przedostaje się do krwi w momencie ukłucia przez kleszcza.</w:t>
      </w:r>
    </w:p>
    <w:p w14:paraId="1C6FB880" w14:textId="78E44432" w:rsidR="00712B5B" w:rsidRPr="00282F5B" w:rsidRDefault="00712B5B" w:rsidP="00712B5B">
      <w:pPr>
        <w:jc w:val="both"/>
        <w:rPr>
          <w:rFonts w:ascii="Calibri" w:hAnsi="Calibri" w:cs="Calibri"/>
          <w:sz w:val="20"/>
          <w:szCs w:val="20"/>
        </w:rPr>
      </w:pPr>
      <w:r w:rsidRPr="00282F5B">
        <w:rPr>
          <w:rFonts w:ascii="Calibri" w:hAnsi="Calibri" w:cs="Calibri"/>
          <w:sz w:val="20"/>
          <w:szCs w:val="20"/>
        </w:rPr>
        <w:lastRenderedPageBreak/>
        <w:t xml:space="preserve">Mechanizm jest następujący: bakterie </w:t>
      </w:r>
      <w:proofErr w:type="spellStart"/>
      <w:r w:rsidRPr="00282F5B">
        <w:rPr>
          <w:rFonts w:ascii="Calibri" w:hAnsi="Calibri" w:cs="Calibri"/>
          <w:sz w:val="20"/>
          <w:szCs w:val="20"/>
        </w:rPr>
        <w:t>Borrelia</w:t>
      </w:r>
      <w:proofErr w:type="spellEnd"/>
      <w:r w:rsidRPr="00282F5B">
        <w:rPr>
          <w:rFonts w:ascii="Calibri" w:hAnsi="Calibri" w:cs="Calibri"/>
          <w:sz w:val="20"/>
          <w:szCs w:val="20"/>
        </w:rPr>
        <w:t xml:space="preserve"> zasiedlają jelito kleszcza. Aby trafić do człowieka, muszą najpierw — pod wpływem rozpoczynającego się żerowania — migrować z jelita do ślinianek pajęczaka, a stamtąd, wraz ze śliną, do skóry gospodarza. Cały ten proces wymaga zwykle nieprzerwanego żerowania przez </w:t>
      </w:r>
      <w:r w:rsidR="004145BC" w:rsidRPr="00282F5B">
        <w:rPr>
          <w:rFonts w:ascii="Calibri" w:hAnsi="Calibri" w:cs="Calibri"/>
          <w:sz w:val="20"/>
          <w:szCs w:val="20"/>
        </w:rPr>
        <w:t>ponad 24</w:t>
      </w:r>
      <w:r w:rsidRPr="00282F5B">
        <w:rPr>
          <w:rFonts w:ascii="Calibri" w:hAnsi="Calibri" w:cs="Calibri"/>
          <w:sz w:val="20"/>
          <w:szCs w:val="20"/>
        </w:rPr>
        <w:t xml:space="preserve"> godzin</w:t>
      </w:r>
      <w:r w:rsidR="004145BC" w:rsidRPr="00282F5B">
        <w:rPr>
          <w:rFonts w:ascii="Calibri" w:hAnsi="Calibri" w:cs="Calibri"/>
          <w:sz w:val="20"/>
          <w:szCs w:val="20"/>
        </w:rPr>
        <w:t>y</w:t>
      </w:r>
      <w:r w:rsidRPr="00282F5B">
        <w:rPr>
          <w:rFonts w:ascii="Calibri" w:hAnsi="Calibri" w:cs="Calibri"/>
          <w:sz w:val="20"/>
          <w:szCs w:val="20"/>
        </w:rPr>
        <w:t xml:space="preserve"> Im wcześniej kleszcz zostanie usunięty, tym większa szansa, że bakteria nie zdąży dotrzeć do naszego organizmu.</w:t>
      </w:r>
    </w:p>
    <w:p w14:paraId="0505D10F" w14:textId="77777777" w:rsidR="00712B5B" w:rsidRPr="00282F5B" w:rsidRDefault="00712B5B" w:rsidP="00712B5B"/>
    <w:p w14:paraId="4B31D5A9" w14:textId="380D7B25" w:rsidR="00712B5B" w:rsidRPr="00282F5B" w:rsidRDefault="00712B5B" w:rsidP="00712B5B">
      <w:pPr>
        <w:jc w:val="both"/>
        <w:rPr>
          <w:rFonts w:ascii="Calibri" w:hAnsi="Calibri" w:cs="Calibri"/>
          <w:sz w:val="20"/>
          <w:szCs w:val="20"/>
        </w:rPr>
      </w:pPr>
      <w:r w:rsidRPr="00282F5B">
        <w:rPr>
          <w:rFonts w:ascii="Calibri" w:hAnsi="Calibri" w:cs="Calibri"/>
          <w:sz w:val="20"/>
          <w:szCs w:val="20"/>
        </w:rPr>
        <w:t>Z KZM jest inaczej. Wirus jest gotów do działania od pierwszego momentu wkłucia</w:t>
      </w:r>
      <w:r w:rsidRPr="00282F5B">
        <w:rPr>
          <w:rStyle w:val="Odwoanieprzypisudolnego"/>
          <w:rFonts w:ascii="Calibri" w:hAnsi="Calibri" w:cs="Calibri"/>
          <w:sz w:val="20"/>
          <w:szCs w:val="20"/>
        </w:rPr>
        <w:footnoteReference w:id="13"/>
      </w:r>
      <w:r w:rsidRPr="00282F5B">
        <w:rPr>
          <w:rFonts w:ascii="Calibri" w:hAnsi="Calibri" w:cs="Calibri"/>
          <w:sz w:val="20"/>
          <w:szCs w:val="20"/>
        </w:rPr>
        <w:t xml:space="preserve">. Nawet sprawne usunięcie kleszcza nie chroni przed zakażeniem, bo do transmisji dochodzi w </w:t>
      </w:r>
      <w:r w:rsidR="000E428C" w:rsidRPr="00282F5B">
        <w:rPr>
          <w:rFonts w:ascii="Calibri" w:hAnsi="Calibri" w:cs="Calibri"/>
          <w:sz w:val="20"/>
          <w:szCs w:val="20"/>
        </w:rPr>
        <w:t>pierwszych minutach</w:t>
      </w:r>
      <w:r w:rsidRPr="00282F5B">
        <w:rPr>
          <w:rFonts w:ascii="Calibri" w:hAnsi="Calibri" w:cs="Calibri"/>
          <w:sz w:val="20"/>
          <w:szCs w:val="20"/>
        </w:rPr>
        <w:t>. To jeden z głównych powodów, dla których w przypadku KZM nie działa zasada „szybko usuń kleszcza”.</w:t>
      </w:r>
    </w:p>
    <w:p w14:paraId="51DE8A7D" w14:textId="77777777" w:rsidR="00712B5B" w:rsidRPr="00282F5B" w:rsidRDefault="00712B5B" w:rsidP="00712B5B">
      <w:pPr>
        <w:pStyle w:val="Nagwek2"/>
        <w:spacing w:before="0" w:after="0"/>
        <w:jc w:val="both"/>
        <w:rPr>
          <w:rFonts w:ascii="Calibri" w:hAnsi="Calibri" w:cs="Calibri"/>
          <w:b/>
          <w:bCs/>
          <w:color w:val="000000" w:themeColor="text1"/>
          <w:sz w:val="13"/>
          <w:szCs w:val="13"/>
        </w:rPr>
      </w:pPr>
    </w:p>
    <w:p w14:paraId="6173ABEF" w14:textId="77777777" w:rsidR="00712B5B" w:rsidRPr="00282F5B" w:rsidRDefault="00712B5B" w:rsidP="00712B5B">
      <w:pPr>
        <w:pStyle w:val="Nagwek2"/>
        <w:spacing w:before="0" w:after="0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282F5B">
        <w:rPr>
          <w:rFonts w:ascii="Calibri" w:hAnsi="Calibri" w:cs="Calibri"/>
          <w:b/>
          <w:bCs/>
          <w:color w:val="000000" w:themeColor="text1"/>
          <w:sz w:val="20"/>
          <w:szCs w:val="20"/>
        </w:rPr>
        <w:t>Rumień, gorączka, mózg — różne objawy, różne pułapki</w:t>
      </w:r>
    </w:p>
    <w:p w14:paraId="2D97D774" w14:textId="783A1241" w:rsidR="00712B5B" w:rsidRPr="00282F5B" w:rsidRDefault="00712B5B" w:rsidP="00712B5B">
      <w:pPr>
        <w:jc w:val="both"/>
        <w:rPr>
          <w:rFonts w:ascii="Calibri" w:hAnsi="Calibri" w:cs="Calibri"/>
          <w:sz w:val="20"/>
          <w:szCs w:val="20"/>
        </w:rPr>
      </w:pPr>
      <w:r w:rsidRPr="00282F5B">
        <w:rPr>
          <w:rFonts w:ascii="Calibri" w:hAnsi="Calibri" w:cs="Calibri"/>
          <w:sz w:val="20"/>
          <w:szCs w:val="20"/>
        </w:rPr>
        <w:t>KZM nie zostawia żadnego widocznego śladu na skórze. Choroba przebiega zwykle dwufazowo</w:t>
      </w:r>
      <w:r w:rsidR="000E428C" w:rsidRPr="00282F5B">
        <w:rPr>
          <w:rStyle w:val="Odwoanieprzypisudolnego"/>
          <w:rFonts w:ascii="Calibri" w:hAnsi="Calibri" w:cs="Calibri"/>
          <w:sz w:val="20"/>
          <w:szCs w:val="20"/>
        </w:rPr>
        <w:footnoteReference w:id="14"/>
      </w:r>
      <w:r w:rsidRPr="00282F5B">
        <w:rPr>
          <w:rFonts w:ascii="Calibri" w:hAnsi="Calibri" w:cs="Calibri"/>
          <w:sz w:val="20"/>
          <w:szCs w:val="20"/>
        </w:rPr>
        <w:t>. Najpierw, po 7–14 dniach od ukłucia, pojawia się stan grypopodobny: gorączka około 37,7°C, ból głowy, bóle mięśni, osłabienie. Po kilku dniach objawy ustępują samoistnie</w:t>
      </w:r>
      <w:r w:rsidRPr="00282F5B">
        <w:rPr>
          <w:rStyle w:val="Odwoanieprzypisudolnego"/>
          <w:rFonts w:ascii="Calibri" w:hAnsi="Calibri" w:cs="Calibri"/>
        </w:rPr>
        <w:footnoteReference w:id="15"/>
      </w:r>
      <w:r w:rsidRPr="00282F5B">
        <w:rPr>
          <w:rFonts w:ascii="Calibri" w:hAnsi="Calibri" w:cs="Calibri"/>
          <w:sz w:val="20"/>
          <w:szCs w:val="20"/>
        </w:rPr>
        <w:t>. U części osób wirus uderza wtedy w ośrodkowy układ nerwowy: dochodzi do zapalenia opon mózgowo-rdzeniowych, mózgu lub rdzenia kręgowego, z wysoką gorączką, wymiotami, sztywnością karku, zaburzeniami świadomości</w:t>
      </w:r>
      <w:r w:rsidRPr="00282F5B">
        <w:rPr>
          <w:rStyle w:val="Odwoanieprzypisudolnego"/>
          <w:rFonts w:ascii="Calibri" w:hAnsi="Calibri" w:cs="Calibri"/>
        </w:rPr>
        <w:footnoteReference w:id="16"/>
      </w:r>
      <w:r w:rsidRPr="00282F5B">
        <w:rPr>
          <w:rFonts w:ascii="Calibri" w:hAnsi="Calibri" w:cs="Calibri"/>
          <w:sz w:val="20"/>
          <w:szCs w:val="20"/>
        </w:rPr>
        <w:t>. Według danych klinicznych objawy zapalenia mózgu rozwija około jedna na cztery zakażone osoby, a u jednej na trzy mogą się utrzymywać długotrwałe powikłania, w tym zaburzenia poznawcze</w:t>
      </w:r>
      <w:r w:rsidRPr="00282F5B">
        <w:rPr>
          <w:rStyle w:val="Odwoanieprzypisudolnego"/>
          <w:rFonts w:ascii="Calibri" w:hAnsi="Calibri" w:cs="Calibri"/>
        </w:rPr>
        <w:footnoteReference w:id="17"/>
      </w:r>
      <w:r w:rsidRPr="00282F5B">
        <w:rPr>
          <w:rFonts w:ascii="Calibri" w:hAnsi="Calibri" w:cs="Calibri"/>
        </w:rPr>
        <w:t>.</w:t>
      </w:r>
    </w:p>
    <w:p w14:paraId="353138A2" w14:textId="77777777" w:rsidR="00712B5B" w:rsidRPr="00282F5B" w:rsidRDefault="00712B5B" w:rsidP="00712B5B">
      <w:pPr>
        <w:jc w:val="both"/>
        <w:rPr>
          <w:rFonts w:ascii="Calibri" w:hAnsi="Calibri" w:cs="Calibri"/>
          <w:sz w:val="20"/>
          <w:szCs w:val="20"/>
        </w:rPr>
      </w:pPr>
    </w:p>
    <w:p w14:paraId="3C56813C" w14:textId="67B2341D" w:rsidR="00712B5B" w:rsidRPr="00282F5B" w:rsidRDefault="000E428C" w:rsidP="00712B5B">
      <w:pPr>
        <w:jc w:val="both"/>
        <w:rPr>
          <w:rFonts w:ascii="Calibri" w:hAnsi="Calibri" w:cs="Calibri"/>
          <w:sz w:val="20"/>
          <w:szCs w:val="20"/>
        </w:rPr>
      </w:pPr>
      <w:r w:rsidRPr="00282F5B">
        <w:rPr>
          <w:rFonts w:ascii="Calibri" w:hAnsi="Calibri" w:cs="Calibri"/>
          <w:sz w:val="20"/>
          <w:szCs w:val="20"/>
        </w:rPr>
        <w:t xml:space="preserve">Typowym objawem boreliozy jest </w:t>
      </w:r>
      <w:r w:rsidR="00712B5B" w:rsidRPr="00282F5B">
        <w:rPr>
          <w:rFonts w:ascii="Calibri" w:hAnsi="Calibri" w:cs="Calibri"/>
          <w:sz w:val="20"/>
          <w:szCs w:val="20"/>
        </w:rPr>
        <w:t>rumień wędrujący — czerwony, rozszerzający się ślad, czasem z jaśniejszym środkiem (tzw. „bycze oko”), pojawiający się od 3 do 30 dni po ukłuciu. Występuje u około 60–80 proc. zakażonych</w:t>
      </w:r>
      <w:r w:rsidR="00712B5B" w:rsidRPr="00282F5B">
        <w:rPr>
          <w:rStyle w:val="Odwoanieprzypisudolnego"/>
          <w:rFonts w:ascii="Calibri" w:hAnsi="Calibri" w:cs="Calibri"/>
          <w:sz w:val="20"/>
          <w:szCs w:val="20"/>
        </w:rPr>
        <w:footnoteReference w:id="18"/>
      </w:r>
      <w:r w:rsidR="00712B5B" w:rsidRPr="00282F5B">
        <w:rPr>
          <w:rFonts w:ascii="Calibri" w:hAnsi="Calibri" w:cs="Calibri"/>
          <w:sz w:val="20"/>
          <w:szCs w:val="20"/>
        </w:rPr>
        <w:t>. Pozostałe objawy — gorączka, bóle głowy, zmęczenie, bóle mięśni i stawów — są niespecyficzne. W późniejszych fazach nieleczona borelioza może prowadzić do zapalenia stawów, powikłań neurologicznych i kardiologicznych</w:t>
      </w:r>
      <w:r w:rsidR="00712B5B" w:rsidRPr="00282F5B">
        <w:rPr>
          <w:rStyle w:val="Odwoanieprzypisudolnego"/>
          <w:rFonts w:ascii="Calibri" w:hAnsi="Calibri" w:cs="Calibri"/>
          <w:sz w:val="20"/>
          <w:szCs w:val="20"/>
        </w:rPr>
        <w:footnoteReference w:id="19"/>
      </w:r>
      <w:r w:rsidR="00712B5B" w:rsidRPr="00282F5B">
        <w:rPr>
          <w:rFonts w:ascii="Calibri" w:hAnsi="Calibri" w:cs="Calibri"/>
          <w:sz w:val="20"/>
          <w:szCs w:val="20"/>
        </w:rPr>
        <w:t>.</w:t>
      </w:r>
    </w:p>
    <w:p w14:paraId="5DA8A13A" w14:textId="77777777" w:rsidR="00712B5B" w:rsidRPr="00282F5B" w:rsidRDefault="00712B5B" w:rsidP="00712B5B">
      <w:pPr>
        <w:pStyle w:val="Nagwek2"/>
        <w:spacing w:before="0" w:after="0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293E2462" w14:textId="77777777" w:rsidR="00712B5B" w:rsidRPr="00282F5B" w:rsidRDefault="00712B5B" w:rsidP="00712B5B">
      <w:pPr>
        <w:pStyle w:val="Nagwek2"/>
        <w:spacing w:before="0" w:after="0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282F5B">
        <w:rPr>
          <w:rFonts w:ascii="Calibri" w:hAnsi="Calibri" w:cs="Calibri"/>
          <w:b/>
          <w:bCs/>
          <w:color w:val="000000" w:themeColor="text1"/>
          <w:sz w:val="20"/>
          <w:szCs w:val="20"/>
        </w:rPr>
        <w:t>Brak leku kontra antybiotyk</w:t>
      </w:r>
    </w:p>
    <w:p w14:paraId="5006962C" w14:textId="77777777" w:rsidR="00712B5B" w:rsidRPr="00282F5B" w:rsidRDefault="00712B5B" w:rsidP="00712B5B">
      <w:pPr>
        <w:jc w:val="both"/>
        <w:rPr>
          <w:rFonts w:ascii="Calibri" w:hAnsi="Calibri" w:cs="Calibri"/>
          <w:sz w:val="20"/>
          <w:szCs w:val="20"/>
        </w:rPr>
      </w:pPr>
      <w:r w:rsidRPr="00282F5B">
        <w:rPr>
          <w:rFonts w:ascii="Calibri" w:hAnsi="Calibri" w:cs="Calibri"/>
          <w:sz w:val="20"/>
          <w:szCs w:val="20"/>
        </w:rPr>
        <w:t>W przypadku KZM nie ma leczenia przyczynowego. Nie istnieje lek, który zatrzymałby wirusa lub usunął go z organizmu — można jedynie łagodzić objawy i wspierać organizm w walce z infekcją</w:t>
      </w:r>
      <w:r w:rsidRPr="00282F5B">
        <w:rPr>
          <w:rStyle w:val="Odwoanieprzypisudolnego"/>
          <w:rFonts w:ascii="Calibri" w:hAnsi="Calibri" w:cs="Calibri"/>
        </w:rPr>
        <w:footnoteReference w:id="20"/>
      </w:r>
      <w:r w:rsidRPr="00282F5B">
        <w:rPr>
          <w:rFonts w:ascii="Calibri" w:hAnsi="Calibri" w:cs="Calibri"/>
          <w:sz w:val="20"/>
          <w:szCs w:val="20"/>
        </w:rPr>
        <w:t>. Stąd kluczowe znaczenie profilaktyki w postaci szczepień ochronnych.</w:t>
      </w:r>
    </w:p>
    <w:p w14:paraId="27BBF645" w14:textId="77777777" w:rsidR="00712B5B" w:rsidRPr="00282F5B" w:rsidRDefault="00712B5B" w:rsidP="00712B5B">
      <w:pPr>
        <w:jc w:val="both"/>
        <w:rPr>
          <w:rFonts w:ascii="Calibri" w:hAnsi="Calibri" w:cs="Calibri"/>
          <w:sz w:val="20"/>
          <w:szCs w:val="20"/>
        </w:rPr>
      </w:pPr>
      <w:r w:rsidRPr="00282F5B">
        <w:rPr>
          <w:rFonts w:ascii="Calibri" w:hAnsi="Calibri" w:cs="Calibri"/>
          <w:sz w:val="20"/>
          <w:szCs w:val="20"/>
        </w:rPr>
        <w:t>Borelioza, zdiagnozowana odpowiednio wcześnie, jest chorobą uleczalną. Standardem jest antybiotykoterapia, najczęściej doustna; w cięższych przypadkach stosuje się antybiotyki dożylnie</w:t>
      </w:r>
      <w:r w:rsidRPr="00282F5B">
        <w:rPr>
          <w:rStyle w:val="Odwoanieprzypisudolnego"/>
          <w:rFonts w:ascii="Calibri" w:hAnsi="Calibri" w:cs="Calibri"/>
          <w:sz w:val="20"/>
          <w:szCs w:val="20"/>
        </w:rPr>
        <w:footnoteReference w:id="21"/>
      </w:r>
      <w:r w:rsidRPr="00282F5B">
        <w:rPr>
          <w:rFonts w:ascii="Calibri" w:hAnsi="Calibri" w:cs="Calibri"/>
          <w:sz w:val="20"/>
          <w:szCs w:val="20"/>
        </w:rPr>
        <w:t>. Im wcześniej rozpoznana, tym większe szanse na pełne wyzdrowienie bez powikłań.</w:t>
      </w:r>
    </w:p>
    <w:p w14:paraId="70E37833" w14:textId="77777777" w:rsidR="00712B5B" w:rsidRPr="00282F5B" w:rsidRDefault="00712B5B" w:rsidP="00712B5B">
      <w:pPr>
        <w:pStyle w:val="Nagwek2"/>
        <w:spacing w:before="0" w:after="0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61873323" w14:textId="77777777" w:rsidR="00712B5B" w:rsidRPr="00282F5B" w:rsidRDefault="00712B5B" w:rsidP="00712B5B">
      <w:pPr>
        <w:pStyle w:val="Nagwek2"/>
        <w:spacing w:before="0" w:after="0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282F5B">
        <w:rPr>
          <w:rFonts w:ascii="Calibri" w:hAnsi="Calibri" w:cs="Calibri"/>
          <w:b/>
          <w:bCs/>
          <w:color w:val="000000" w:themeColor="text1"/>
          <w:sz w:val="20"/>
          <w:szCs w:val="20"/>
        </w:rPr>
        <w:t>Profilaktyka: jedna ważna różnica</w:t>
      </w:r>
    </w:p>
    <w:p w14:paraId="1AC1B43D" w14:textId="77777777" w:rsidR="00712B5B" w:rsidRPr="00282F5B" w:rsidRDefault="00712B5B" w:rsidP="00712B5B">
      <w:pPr>
        <w:jc w:val="both"/>
        <w:rPr>
          <w:rFonts w:ascii="Calibri" w:hAnsi="Calibri" w:cs="Calibri"/>
          <w:sz w:val="20"/>
          <w:szCs w:val="20"/>
        </w:rPr>
      </w:pPr>
      <w:r w:rsidRPr="00282F5B">
        <w:rPr>
          <w:rFonts w:ascii="Calibri" w:hAnsi="Calibri" w:cs="Calibri"/>
          <w:sz w:val="20"/>
          <w:szCs w:val="20"/>
        </w:rPr>
        <w:t>Ogólne zasady ochrony są w obu przypadkach takie same: jasne, długie ubrania ze ściągniętymi mankietami, nogawki w skarpetach, repelenty, dokładne sprawdzanie skóry po powrocie ze spaceru, szybkie usuwanie kleszczy</w:t>
      </w:r>
      <w:r w:rsidRPr="00282F5B">
        <w:rPr>
          <w:rStyle w:val="Odwoanieprzypisudolnego"/>
          <w:rFonts w:ascii="Calibri" w:hAnsi="Calibri" w:cs="Calibri"/>
          <w:sz w:val="20"/>
          <w:szCs w:val="20"/>
        </w:rPr>
        <w:footnoteReference w:id="22"/>
      </w:r>
      <w:r w:rsidRPr="00282F5B">
        <w:rPr>
          <w:rFonts w:ascii="Calibri" w:hAnsi="Calibri" w:cs="Calibri"/>
          <w:sz w:val="20"/>
          <w:szCs w:val="20"/>
        </w:rPr>
        <w:t>.Jest jednak jedno narzędzie, którym dysponujemy w stosunku do KZM, a jak na razie nie dysponujemy wobec boreliozy: szczepienie</w:t>
      </w:r>
      <w:r w:rsidRPr="00282F5B">
        <w:rPr>
          <w:rStyle w:val="Odwoanieprzypisudolnego"/>
          <w:rFonts w:ascii="Calibri" w:hAnsi="Calibri" w:cs="Calibri"/>
          <w:sz w:val="20"/>
          <w:szCs w:val="20"/>
        </w:rPr>
        <w:footnoteReference w:id="23"/>
      </w:r>
      <w:r w:rsidRPr="00282F5B">
        <w:rPr>
          <w:rFonts w:ascii="Calibri" w:hAnsi="Calibri" w:cs="Calibri"/>
          <w:sz w:val="20"/>
          <w:szCs w:val="20"/>
        </w:rPr>
        <w:t>. Przeciw KZM — mamy możliwość skorzystania ze skutecznego szczepienia</w:t>
      </w:r>
      <w:r w:rsidRPr="00282F5B">
        <w:rPr>
          <w:rStyle w:val="Odwoanieprzypisudolnego"/>
          <w:rFonts w:ascii="Calibri" w:hAnsi="Calibri" w:cs="Calibri"/>
          <w:sz w:val="20"/>
          <w:szCs w:val="20"/>
        </w:rPr>
        <w:footnoteReference w:id="24"/>
      </w:r>
      <w:r w:rsidRPr="00282F5B">
        <w:rPr>
          <w:rFonts w:ascii="Calibri" w:hAnsi="Calibri" w:cs="Calibri"/>
          <w:sz w:val="20"/>
          <w:szCs w:val="20"/>
        </w:rPr>
        <w:t>. Pełen schemat to trzy dawki podstawowe i dawki przypominające. Od sierpnia 2025 roku w Polsce szczepienie przeciw KZM można wykonać bezpośrednio w aptece, z kwalifikacją i receptą farmaceutyczną na miejscu</w:t>
      </w:r>
      <w:r w:rsidRPr="00282F5B">
        <w:rPr>
          <w:rStyle w:val="Odwoanieprzypisudolnego"/>
          <w:rFonts w:ascii="Calibri" w:hAnsi="Calibri" w:cs="Calibri"/>
          <w:sz w:val="20"/>
          <w:szCs w:val="20"/>
        </w:rPr>
        <w:footnoteReference w:id="25"/>
      </w:r>
      <w:r w:rsidRPr="00282F5B">
        <w:rPr>
          <w:rFonts w:ascii="Calibri" w:hAnsi="Calibri" w:cs="Calibri"/>
          <w:sz w:val="20"/>
          <w:szCs w:val="20"/>
        </w:rPr>
        <w:t>.</w:t>
      </w:r>
    </w:p>
    <w:p w14:paraId="142C3891" w14:textId="77777777" w:rsidR="00712B5B" w:rsidRPr="00282F5B" w:rsidRDefault="00712B5B" w:rsidP="00712B5B">
      <w:pPr>
        <w:pStyle w:val="Nagwek2"/>
        <w:spacing w:before="0" w:after="0"/>
        <w:jc w:val="both"/>
        <w:rPr>
          <w:rFonts w:ascii="Calibri" w:hAnsi="Calibri" w:cs="Calibri"/>
          <w:sz w:val="20"/>
          <w:szCs w:val="20"/>
        </w:rPr>
      </w:pPr>
    </w:p>
    <w:p w14:paraId="4317A25A" w14:textId="77777777" w:rsidR="000E428C" w:rsidRPr="00282F5B" w:rsidRDefault="000E428C" w:rsidP="000E428C">
      <w:pPr>
        <w:jc w:val="both"/>
        <w:rPr>
          <w:rFonts w:ascii="Calibri" w:hAnsi="Calibri" w:cs="Calibri"/>
          <w:sz w:val="20"/>
          <w:szCs w:val="20"/>
        </w:rPr>
      </w:pPr>
      <w:r w:rsidRPr="00282F5B">
        <w:rPr>
          <w:rFonts w:ascii="Calibri" w:hAnsi="Calibri" w:cs="Calibri"/>
          <w:b/>
          <w:bCs/>
          <w:sz w:val="20"/>
          <w:szCs w:val="20"/>
        </w:rPr>
        <w:t>Szczepienie przed wyjazdem? To możliwe nawet w ostatniej chwili</w:t>
      </w:r>
    </w:p>
    <w:p w14:paraId="7CBC3F4B" w14:textId="6198227C" w:rsidR="000E428C" w:rsidRPr="00282F5B" w:rsidRDefault="000E428C" w:rsidP="000E428C">
      <w:pPr>
        <w:jc w:val="both"/>
        <w:rPr>
          <w:rFonts w:ascii="Calibri" w:hAnsi="Calibri" w:cs="Calibri"/>
          <w:sz w:val="20"/>
          <w:szCs w:val="20"/>
        </w:rPr>
      </w:pPr>
      <w:r w:rsidRPr="00282F5B">
        <w:rPr>
          <w:rFonts w:ascii="Calibri" w:hAnsi="Calibri" w:cs="Calibri"/>
          <w:sz w:val="20"/>
          <w:szCs w:val="20"/>
        </w:rPr>
        <w:t>Planując wakacyjny wyjazd, warto wiedzieć, że istnieje również przyspieszony schemat szczepień – pozwala uzyskać szybciej ochronę, co oznacza, że ze szczepieniem nie trzeba czekać do następnego sezonu</w:t>
      </w:r>
      <w:r w:rsidRPr="00282F5B">
        <w:rPr>
          <w:rStyle w:val="Odwoanieprzypisudolnego"/>
          <w:sz w:val="20"/>
          <w:szCs w:val="20"/>
        </w:rPr>
        <w:footnoteReference w:id="26"/>
      </w:r>
      <w:r w:rsidRPr="00282F5B">
        <w:rPr>
          <w:rStyle w:val="Odwoanieprzypisudolnego"/>
        </w:rPr>
        <w:t>.</w:t>
      </w:r>
      <w:r w:rsidRPr="00282F5B">
        <w:rPr>
          <w:rFonts w:ascii="Calibri" w:hAnsi="Calibri" w:cs="Calibri"/>
          <w:sz w:val="20"/>
          <w:szCs w:val="20"/>
        </w:rPr>
        <w:t xml:space="preserve"> W przeciwieństwie do KZM, na boreliozę szczepi</w:t>
      </w:r>
      <w:r w:rsidR="00282F5B">
        <w:rPr>
          <w:rFonts w:ascii="Calibri" w:hAnsi="Calibri" w:cs="Calibri"/>
          <w:sz w:val="20"/>
          <w:szCs w:val="20"/>
        </w:rPr>
        <w:t>enie</w:t>
      </w:r>
      <w:r w:rsidRPr="00282F5B">
        <w:rPr>
          <w:rFonts w:ascii="Calibri" w:hAnsi="Calibri" w:cs="Calibri"/>
          <w:sz w:val="20"/>
          <w:szCs w:val="20"/>
        </w:rPr>
        <w:t xml:space="preserve"> jak dotąd nie jest dostępn</w:t>
      </w:r>
      <w:r w:rsidR="00282F5B">
        <w:rPr>
          <w:rFonts w:ascii="Calibri" w:hAnsi="Calibri" w:cs="Calibri"/>
          <w:sz w:val="20"/>
          <w:szCs w:val="20"/>
        </w:rPr>
        <w:t>e</w:t>
      </w:r>
      <w:r w:rsidRPr="00282F5B">
        <w:rPr>
          <w:rFonts w:ascii="Calibri" w:hAnsi="Calibri" w:cs="Calibri"/>
          <w:sz w:val="20"/>
          <w:szCs w:val="20"/>
        </w:rPr>
        <w:t xml:space="preserve"> – profilaktyka opiera się tu wyłącznie na unikaniu kontaktu z kleszczami i szybkim ich usuwaniu.</w:t>
      </w:r>
    </w:p>
    <w:p w14:paraId="426CCE17" w14:textId="77777777" w:rsidR="000E428C" w:rsidRPr="00282F5B" w:rsidRDefault="000E428C" w:rsidP="00712B5B">
      <w:pPr>
        <w:pStyle w:val="Nagwek2"/>
        <w:spacing w:before="0" w:after="0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7F82D32F" w14:textId="74D249F9" w:rsidR="00712B5B" w:rsidRPr="00282F5B" w:rsidRDefault="00712B5B" w:rsidP="00712B5B">
      <w:pPr>
        <w:pStyle w:val="Nagwek2"/>
        <w:spacing w:before="0" w:after="0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282F5B">
        <w:rPr>
          <w:rFonts w:ascii="Calibri" w:hAnsi="Calibri" w:cs="Calibri"/>
          <w:b/>
          <w:bCs/>
          <w:color w:val="000000" w:themeColor="text1"/>
          <w:sz w:val="20"/>
          <w:szCs w:val="20"/>
        </w:rPr>
        <w:t>O czym warto pamiętać</w:t>
      </w:r>
    </w:p>
    <w:p w14:paraId="6F46E29A" w14:textId="77777777" w:rsidR="000E428C" w:rsidRPr="00282F5B" w:rsidRDefault="00712B5B" w:rsidP="00712B5B">
      <w:pPr>
        <w:jc w:val="both"/>
        <w:rPr>
          <w:rFonts w:ascii="Calibri" w:hAnsi="Calibri" w:cs="Calibri"/>
          <w:sz w:val="20"/>
          <w:szCs w:val="20"/>
        </w:rPr>
      </w:pPr>
      <w:r w:rsidRPr="00282F5B">
        <w:rPr>
          <w:rFonts w:ascii="Calibri" w:hAnsi="Calibri" w:cs="Calibri"/>
          <w:sz w:val="20"/>
          <w:szCs w:val="20"/>
        </w:rPr>
        <w:t>KZM i borelioza to dwie różne choroby, które łączy tylko jedno: kleszcz. W obu przypadkach najlepszą strategią jest szczepienie — odpowiednie ubranie, repelenty, regularne kontrolowanie skóry i szybkie usuwanie pajęczaków. W przypadku KZM dochodzi narzędzie, którego przeciw boreliozie jeszcze nie ma: skuteczne szczepienie, dostępne dziś także w aptece</w:t>
      </w:r>
      <w:r w:rsidRPr="00282F5B">
        <w:rPr>
          <w:rStyle w:val="Odwoanieprzypisudolnego"/>
          <w:rFonts w:ascii="Calibri" w:hAnsi="Calibri" w:cs="Calibri"/>
          <w:sz w:val="20"/>
          <w:szCs w:val="20"/>
        </w:rPr>
        <w:footnoteReference w:id="27"/>
      </w:r>
      <w:r w:rsidRPr="00282F5B">
        <w:rPr>
          <w:rFonts w:ascii="Calibri" w:hAnsi="Calibri" w:cs="Calibri"/>
          <w:sz w:val="20"/>
          <w:szCs w:val="20"/>
        </w:rPr>
        <w:t xml:space="preserve">. </w:t>
      </w:r>
    </w:p>
    <w:p w14:paraId="210C578F" w14:textId="77777777" w:rsidR="000E428C" w:rsidRPr="00282F5B" w:rsidRDefault="000E428C" w:rsidP="00712B5B">
      <w:pPr>
        <w:jc w:val="both"/>
        <w:rPr>
          <w:rFonts w:ascii="Calibri" w:hAnsi="Calibri" w:cs="Calibri"/>
          <w:sz w:val="20"/>
          <w:szCs w:val="20"/>
        </w:rPr>
      </w:pPr>
    </w:p>
    <w:p w14:paraId="58ECC156" w14:textId="112D7FFD" w:rsidR="00712B5B" w:rsidRPr="00282F5B" w:rsidRDefault="00712B5B" w:rsidP="000E428C">
      <w:pPr>
        <w:jc w:val="both"/>
        <w:rPr>
          <w:rFonts w:ascii="Calibri" w:hAnsi="Calibri" w:cs="Calibri"/>
          <w:sz w:val="20"/>
          <w:szCs w:val="20"/>
        </w:rPr>
      </w:pPr>
      <w:r w:rsidRPr="00282F5B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2B5B" w14:paraId="6983DAE3" w14:textId="77777777" w:rsidTr="00DC462F">
        <w:tc>
          <w:tcPr>
            <w:tcW w:w="9016" w:type="dxa"/>
          </w:tcPr>
          <w:p w14:paraId="0DC1E579" w14:textId="77777777" w:rsidR="00712B5B" w:rsidRPr="00282F5B" w:rsidRDefault="00712B5B" w:rsidP="00DC462F">
            <w:pPr>
              <w:pStyle w:val="Nagwek2"/>
              <w:spacing w:before="0" w:after="0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82F5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Pięć mitów o chorobach </w:t>
            </w:r>
            <w:proofErr w:type="spellStart"/>
            <w:r w:rsidRPr="00282F5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odkleszczowych</w:t>
            </w:r>
            <w:proofErr w:type="spellEnd"/>
            <w:r w:rsidRPr="00282F5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, w które warto przestać wierzyć</w:t>
            </w:r>
          </w:p>
          <w:p w14:paraId="628D15A4" w14:textId="77777777" w:rsidR="00712B5B" w:rsidRPr="00282F5B" w:rsidRDefault="00712B5B" w:rsidP="00DC462F">
            <w:pPr>
              <w:rPr>
                <w:rFonts w:ascii="Calibri" w:hAnsi="Calibri" w:cs="Calibri"/>
              </w:rPr>
            </w:pPr>
          </w:p>
          <w:p w14:paraId="598427BE" w14:textId="77777777" w:rsidR="00712B5B" w:rsidRPr="00282F5B" w:rsidRDefault="00712B5B" w:rsidP="00DC462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82F5B">
              <w:rPr>
                <w:rFonts w:ascii="Calibri" w:hAnsi="Calibri" w:cs="Calibri"/>
                <w:b/>
                <w:bCs/>
                <w:sz w:val="20"/>
                <w:szCs w:val="20"/>
              </w:rPr>
              <w:t>Mit 1. „Jeśli szybko wyciągnę kleszcza, nic mi nie grozi”.</w:t>
            </w:r>
          </w:p>
          <w:p w14:paraId="3DF584D5" w14:textId="0A0E9A96" w:rsidR="00712B5B" w:rsidRPr="00282F5B" w:rsidRDefault="00712B5B" w:rsidP="00DC462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82F5B">
              <w:rPr>
                <w:rFonts w:ascii="Calibri" w:hAnsi="Calibri" w:cs="Calibri"/>
                <w:sz w:val="20"/>
                <w:szCs w:val="20"/>
              </w:rPr>
              <w:t xml:space="preserve">Działa wobec boreliozy, nie działa wobec KZM. Bakterie potrzebują kilkudziesięciu godzin, żeby przeniknąć z jelita kleszcza do gospodarza. Wirus KZM jest w jego ślinie i przenosi się w </w:t>
            </w:r>
            <w:r w:rsidR="000E428C" w:rsidRPr="00282F5B">
              <w:rPr>
                <w:rFonts w:ascii="Calibri" w:hAnsi="Calibri" w:cs="Calibri"/>
                <w:sz w:val="20"/>
                <w:szCs w:val="20"/>
              </w:rPr>
              <w:t>ciągu pierwszych minut</w:t>
            </w:r>
            <w:r w:rsidRPr="00282F5B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28"/>
            </w:r>
            <w:r w:rsidRPr="00282F5B">
              <w:rPr>
                <w:rFonts w:ascii="Calibri" w:hAnsi="Calibri" w:cs="Calibri"/>
                <w:sz w:val="20"/>
                <w:szCs w:val="20"/>
              </w:rPr>
              <w:t>. Szybkie usunięcie kleszcza zmniejsza ryzyko boreliozy, ale nie chroni przed kleszczowym zapaleniem mózgu.</w:t>
            </w:r>
          </w:p>
          <w:p w14:paraId="0EF5ACEF" w14:textId="77777777" w:rsidR="00712B5B" w:rsidRPr="00282F5B" w:rsidRDefault="00712B5B" w:rsidP="00DC462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1F8003B" w14:textId="77777777" w:rsidR="00712B5B" w:rsidRPr="00282F5B" w:rsidRDefault="00712B5B" w:rsidP="00DC462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82F5B">
              <w:rPr>
                <w:rFonts w:ascii="Calibri" w:hAnsi="Calibri" w:cs="Calibri"/>
                <w:b/>
                <w:bCs/>
                <w:sz w:val="20"/>
                <w:szCs w:val="20"/>
              </w:rPr>
              <w:t>Mit 2. „Borelioza i KZM to praktycznie to samo”.</w:t>
            </w:r>
          </w:p>
          <w:p w14:paraId="222D7BC7" w14:textId="77777777" w:rsidR="00712B5B" w:rsidRPr="00282F5B" w:rsidRDefault="00712B5B" w:rsidP="00DC462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82F5B">
              <w:rPr>
                <w:rFonts w:ascii="Calibri" w:hAnsi="Calibri" w:cs="Calibri"/>
                <w:sz w:val="20"/>
                <w:szCs w:val="20"/>
              </w:rPr>
              <w:t>To dwie zupełnie różne choroby. Inny jest patogen (bakteria vs wirus), inne objawy, inne leczenie i inne możliwości profilaktyki. Łączy je tylko sposób przeniesienia — ukłucie kleszcza</w:t>
            </w:r>
            <w:r w:rsidRPr="00282F5B">
              <w:rPr>
                <w:rStyle w:val="Odwoanieprzypisudolnego"/>
                <w:rFonts w:ascii="Calibri" w:hAnsi="Calibri" w:cs="Calibri"/>
              </w:rPr>
              <w:footnoteReference w:id="29"/>
            </w:r>
            <w:r w:rsidRPr="00282F5B">
              <w:rPr>
                <w:rFonts w:ascii="Calibri" w:hAnsi="Calibri" w:cs="Calibri"/>
                <w:sz w:val="20"/>
                <w:szCs w:val="20"/>
              </w:rPr>
              <w:t>,</w:t>
            </w:r>
            <w:r w:rsidRPr="00282F5B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30"/>
            </w:r>
            <w:r w:rsidRPr="00282F5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5F23871" w14:textId="77777777" w:rsidR="00712B5B" w:rsidRPr="00282F5B" w:rsidRDefault="00712B5B" w:rsidP="00DC462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86C2BE7" w14:textId="77777777" w:rsidR="00712B5B" w:rsidRPr="00282F5B" w:rsidRDefault="00712B5B" w:rsidP="00DC462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82F5B">
              <w:rPr>
                <w:rFonts w:ascii="Calibri" w:hAnsi="Calibri" w:cs="Calibri"/>
                <w:b/>
                <w:bCs/>
                <w:sz w:val="20"/>
                <w:szCs w:val="20"/>
              </w:rPr>
              <w:t>Mit 3. „Skoro nie mam rumienia, to nie mam boreliozy”.</w:t>
            </w:r>
          </w:p>
          <w:p w14:paraId="68DD297D" w14:textId="77777777" w:rsidR="00712B5B" w:rsidRPr="00282F5B" w:rsidRDefault="00712B5B" w:rsidP="00DC462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82F5B">
              <w:rPr>
                <w:rFonts w:ascii="Calibri" w:hAnsi="Calibri" w:cs="Calibri"/>
                <w:sz w:val="20"/>
                <w:szCs w:val="20"/>
              </w:rPr>
              <w:t>Rumień wędrujący jest najbardziej charakterystycznym, ale nie zawsze obecnym objawem boreliozy. Występuje u około 60–80 proc. chorych — co oznacza, że co czwarta–co piąta osoba zakażona nie zauważy żadnej zmiany skórnej</w:t>
            </w:r>
            <w:r w:rsidRPr="00282F5B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31"/>
            </w:r>
            <w:r w:rsidRPr="00282F5B">
              <w:rPr>
                <w:rFonts w:ascii="Calibri" w:hAnsi="Calibri" w:cs="Calibri"/>
                <w:sz w:val="20"/>
                <w:szCs w:val="20"/>
              </w:rPr>
              <w:t>. Każde podejrzenie infekcji po ukłuciu kleszcza warto skonsultować z lekarzem.</w:t>
            </w:r>
          </w:p>
          <w:p w14:paraId="078D81E5" w14:textId="77777777" w:rsidR="00712B5B" w:rsidRPr="00282F5B" w:rsidRDefault="00712B5B" w:rsidP="00DC462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ABCEDBB" w14:textId="77777777" w:rsidR="00712B5B" w:rsidRPr="00282F5B" w:rsidRDefault="00712B5B" w:rsidP="00DC462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82F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Mit 4. „Antybiotyk pomoże na każdą chorobę </w:t>
            </w:r>
            <w:proofErr w:type="spellStart"/>
            <w:r w:rsidRPr="00282F5B">
              <w:rPr>
                <w:rFonts w:ascii="Calibri" w:hAnsi="Calibri" w:cs="Calibri"/>
                <w:b/>
                <w:bCs/>
                <w:sz w:val="20"/>
                <w:szCs w:val="20"/>
              </w:rPr>
              <w:t>odkleszczową</w:t>
            </w:r>
            <w:proofErr w:type="spellEnd"/>
            <w:r w:rsidRPr="00282F5B">
              <w:rPr>
                <w:rFonts w:ascii="Calibri" w:hAnsi="Calibri" w:cs="Calibri"/>
                <w:b/>
                <w:bCs/>
                <w:sz w:val="20"/>
                <w:szCs w:val="20"/>
              </w:rPr>
              <w:t>”.</w:t>
            </w:r>
          </w:p>
          <w:p w14:paraId="1CF8F9F9" w14:textId="77777777" w:rsidR="00712B5B" w:rsidRPr="00282F5B" w:rsidRDefault="00712B5B" w:rsidP="00DC462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82F5B">
              <w:rPr>
                <w:rFonts w:ascii="Calibri" w:hAnsi="Calibri" w:cs="Calibri"/>
                <w:sz w:val="20"/>
                <w:szCs w:val="20"/>
              </w:rPr>
              <w:t>Antybiotyki działają tylko na bakterie. KZM jest chorobą wirusową, więc antybiotykoterapia nie ma w nim zastosowania. Skuteczne leczenie przyczynowe KZM po prostu nie istnieje</w:t>
            </w:r>
            <w:r w:rsidRPr="00282F5B">
              <w:rPr>
                <w:rStyle w:val="Odwoanieprzypisudolnego"/>
                <w:rFonts w:ascii="Calibri" w:hAnsi="Calibri" w:cs="Calibri"/>
              </w:rPr>
              <w:footnoteReference w:id="32"/>
            </w:r>
            <w:r w:rsidRPr="00282F5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69A9389" w14:textId="77777777" w:rsidR="00712B5B" w:rsidRPr="00282F5B" w:rsidRDefault="00712B5B" w:rsidP="00DC462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31AAC96" w14:textId="77777777" w:rsidR="00712B5B" w:rsidRPr="00282F5B" w:rsidRDefault="00712B5B" w:rsidP="00DC462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82F5B">
              <w:rPr>
                <w:rFonts w:ascii="Calibri" w:hAnsi="Calibri" w:cs="Calibri"/>
                <w:b/>
                <w:bCs/>
                <w:sz w:val="20"/>
                <w:szCs w:val="20"/>
              </w:rPr>
              <w:t>Mit 5. „Kleszcze to problem lasu i wakacji”.</w:t>
            </w:r>
          </w:p>
          <w:p w14:paraId="715BCAB5" w14:textId="77777777" w:rsidR="00712B5B" w:rsidRPr="00A53067" w:rsidRDefault="00712B5B" w:rsidP="00DC462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82F5B">
              <w:rPr>
                <w:rFonts w:ascii="Calibri" w:hAnsi="Calibri" w:cs="Calibri"/>
                <w:sz w:val="20"/>
                <w:szCs w:val="20"/>
              </w:rPr>
              <w:t>Kleszcze żyją także w miejskich parkach, ogrodach, na trawnikach i ścieżkach biegowych</w:t>
            </w:r>
            <w:r w:rsidRPr="00282F5B">
              <w:rPr>
                <w:rStyle w:val="Odwoanieprzypisudolnego"/>
              </w:rPr>
              <w:footnoteReference w:id="33"/>
            </w:r>
            <w:r w:rsidRPr="00282F5B">
              <w:rPr>
                <w:rFonts w:ascii="Calibri" w:hAnsi="Calibri" w:cs="Calibri"/>
                <w:sz w:val="20"/>
                <w:szCs w:val="20"/>
              </w:rPr>
              <w:t xml:space="preserve"> Łagodne zimy wydłużyły ich aktywność niemal na cały rok. Zarówno na boreliozę, jak i na KZM można zachorować w kontekstach codziennych — nie tylko podczas wakacji w głębi lasu.</w:t>
            </w:r>
          </w:p>
          <w:p w14:paraId="697C883F" w14:textId="77777777" w:rsidR="00712B5B" w:rsidRDefault="00712B5B" w:rsidP="00DC462F">
            <w:pPr>
              <w:pStyle w:val="Nagwek2"/>
              <w:spacing w:before="0" w:after="0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27115ED" w14:textId="77777777" w:rsidR="00712B5B" w:rsidRDefault="00712B5B" w:rsidP="00712B5B">
      <w:pPr>
        <w:rPr>
          <w:rFonts w:ascii="Calibri" w:hAnsi="Calibri" w:cs="Calibri"/>
          <w:color w:val="2F5496" w:themeColor="accent1" w:themeShade="BF"/>
          <w:sz w:val="20"/>
          <w:szCs w:val="20"/>
        </w:rPr>
      </w:pPr>
    </w:p>
    <w:p w14:paraId="4762E84F" w14:textId="77777777" w:rsidR="00712B5B" w:rsidRPr="00D765A3" w:rsidRDefault="00712B5B" w:rsidP="00712B5B">
      <w:pPr>
        <w:rPr>
          <w:rFonts w:ascii="Calibri" w:eastAsiaTheme="majorEastAsia" w:hAnsi="Calibri" w:cs="Calibri"/>
          <w:color w:val="2F5496" w:themeColor="accent1" w:themeShade="BF"/>
          <w:sz w:val="20"/>
          <w:szCs w:val="20"/>
        </w:rPr>
      </w:pPr>
    </w:p>
    <w:p w14:paraId="1C62812C" w14:textId="77777777" w:rsidR="00D765A3" w:rsidRPr="00712B5B" w:rsidRDefault="00D765A3" w:rsidP="00712B5B"/>
    <w:sectPr w:rsidR="00D765A3" w:rsidRPr="00712B5B" w:rsidSect="00712B5B">
      <w:headerReference w:type="default" r:id="rId8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F5229" w14:textId="77777777" w:rsidR="00526A8E" w:rsidRDefault="00526A8E" w:rsidP="000638D8">
      <w:r>
        <w:separator/>
      </w:r>
    </w:p>
  </w:endnote>
  <w:endnote w:type="continuationSeparator" w:id="0">
    <w:p w14:paraId="7E662BA8" w14:textId="77777777" w:rsidR="00526A8E" w:rsidRDefault="00526A8E" w:rsidP="0006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ar(--fonts-poppins)">
    <w:altName w:val="Cambria"/>
    <w:panose1 w:val="020B06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6972" w14:textId="77777777" w:rsidR="00526A8E" w:rsidRDefault="00526A8E" w:rsidP="000638D8">
      <w:r>
        <w:separator/>
      </w:r>
    </w:p>
  </w:footnote>
  <w:footnote w:type="continuationSeparator" w:id="0">
    <w:p w14:paraId="3CCAE1C5" w14:textId="77777777" w:rsidR="00526A8E" w:rsidRDefault="00526A8E" w:rsidP="000638D8">
      <w:r>
        <w:continuationSeparator/>
      </w:r>
    </w:p>
  </w:footnote>
  <w:footnote w:id="1">
    <w:p w14:paraId="46C51355" w14:textId="11EC48FA" w:rsidR="00712B5B" w:rsidRPr="00282F5B" w:rsidRDefault="00712B5B" w:rsidP="00712B5B">
      <w:pPr>
        <w:pStyle w:val="Tekstprzypisudolnego"/>
        <w:rPr>
          <w:rFonts w:ascii="Calibri" w:hAnsi="Calibri" w:cs="Calibri"/>
          <w:sz w:val="12"/>
          <w:szCs w:val="12"/>
        </w:rPr>
      </w:pPr>
      <w:r w:rsidRPr="000E428C">
        <w:rPr>
          <w:rStyle w:val="Odwoanieprzypisudolnego"/>
          <w:rFonts w:ascii="Calibri" w:hAnsi="Calibri" w:cs="Calibri"/>
          <w:sz w:val="12"/>
          <w:szCs w:val="12"/>
        </w:rPr>
        <w:footnoteRef/>
      </w:r>
      <w:r w:rsidRPr="00282F5B">
        <w:rPr>
          <w:rFonts w:ascii="Calibri" w:hAnsi="Calibri" w:cs="Calibri"/>
          <w:sz w:val="12"/>
          <w:szCs w:val="12"/>
        </w:rPr>
        <w:t xml:space="preserve"> </w:t>
      </w:r>
      <w:r w:rsidR="004145BC" w:rsidRPr="000E428C">
        <w:rPr>
          <w:rFonts w:ascii="Calibri" w:hAnsi="Calibri" w:cs="Calibri"/>
          <w:sz w:val="12"/>
          <w:szCs w:val="12"/>
        </w:rPr>
        <w:t xml:space="preserve">Narodowy Instytut Zdrowia Publicznego PZH – Państwowy Instytut Badawczy, „Kleszczowe zapalenie mózgu – informacje o szczepieniach”, </w:t>
      </w:r>
      <w:hyperlink r:id="rId1" w:history="1">
        <w:r w:rsidR="004145BC" w:rsidRPr="000E428C">
          <w:rPr>
            <w:rStyle w:val="Hipercze"/>
            <w:rFonts w:ascii="Calibri" w:hAnsi="Calibri" w:cs="Calibri"/>
            <w:sz w:val="12"/>
            <w:szCs w:val="12"/>
          </w:rPr>
          <w:t>szczepienia.pzh.gov.pl</w:t>
        </w:r>
      </w:hyperlink>
      <w:r w:rsidR="004145BC" w:rsidRPr="000E428C">
        <w:rPr>
          <w:rFonts w:ascii="Calibri" w:hAnsi="Calibri" w:cs="Calibri"/>
          <w:sz w:val="12"/>
          <w:szCs w:val="12"/>
        </w:rPr>
        <w:t xml:space="preserve"> (dostęp: 04.2026).</w:t>
      </w:r>
    </w:p>
  </w:footnote>
  <w:footnote w:id="2">
    <w:p w14:paraId="1183915A" w14:textId="4F504213" w:rsidR="00712B5B" w:rsidRPr="00282F5B" w:rsidRDefault="00712B5B" w:rsidP="00712B5B">
      <w:pPr>
        <w:jc w:val="both"/>
        <w:rPr>
          <w:rFonts w:ascii="Calibri" w:hAnsi="Calibri" w:cs="Calibri"/>
          <w:sz w:val="12"/>
          <w:szCs w:val="12"/>
          <w:lang w:val="en-US"/>
        </w:rPr>
      </w:pPr>
      <w:r w:rsidRPr="000E428C">
        <w:rPr>
          <w:rStyle w:val="Odwoanieprzypisudolnego"/>
          <w:rFonts w:ascii="Calibri" w:hAnsi="Calibri" w:cs="Calibri"/>
          <w:sz w:val="12"/>
          <w:szCs w:val="12"/>
        </w:rPr>
        <w:footnoteRef/>
      </w:r>
      <w:r w:rsidRPr="00282F5B">
        <w:rPr>
          <w:rFonts w:ascii="Calibri" w:hAnsi="Calibri" w:cs="Calibri"/>
          <w:sz w:val="12"/>
          <w:szCs w:val="12"/>
          <w:lang w:val="en-US"/>
        </w:rPr>
        <w:t xml:space="preserve"> </w:t>
      </w:r>
      <w:r w:rsidR="007617F7" w:rsidRPr="000E428C">
        <w:rPr>
          <w:rFonts w:ascii="Calibri" w:hAnsi="Calibri" w:cs="Calibri"/>
          <w:sz w:val="12"/>
          <w:szCs w:val="12"/>
          <w:lang w:val="en-US"/>
        </w:rPr>
        <w:t xml:space="preserve">European </w:t>
      </w:r>
      <w:r w:rsidR="004145BC" w:rsidRPr="000E428C">
        <w:rPr>
          <w:rFonts w:ascii="Calibri" w:hAnsi="Calibri" w:cs="Calibri"/>
          <w:sz w:val="12"/>
          <w:szCs w:val="12"/>
          <w:lang w:val="en-US"/>
        </w:rPr>
        <w:t>Centre for Disease Prevention and Control. Factsheet about tick-borne encephalitis.</w:t>
      </w:r>
      <w:r w:rsidR="007617F7" w:rsidRPr="00282F5B">
        <w:rPr>
          <w:lang w:val="en-US"/>
        </w:rPr>
        <w:t xml:space="preserve"> </w:t>
      </w:r>
      <w:r w:rsidR="007617F7" w:rsidRPr="007617F7">
        <w:rPr>
          <w:rFonts w:ascii="Calibri" w:hAnsi="Calibri" w:cs="Calibri"/>
          <w:sz w:val="12"/>
          <w:szCs w:val="12"/>
          <w:lang w:val="en-US"/>
        </w:rPr>
        <w:t>https://www.ecdc.europa.eu/en/tick-borne-encephalitis</w:t>
      </w:r>
      <w:r w:rsidR="004145BC" w:rsidRPr="000E428C">
        <w:rPr>
          <w:rFonts w:ascii="Calibri" w:hAnsi="Calibri" w:cs="Calibri"/>
          <w:sz w:val="12"/>
          <w:szCs w:val="12"/>
          <w:lang w:val="en-US"/>
        </w:rPr>
        <w:t xml:space="preserve"> (</w:t>
      </w:r>
      <w:proofErr w:type="spellStart"/>
      <w:r w:rsidR="004145BC" w:rsidRPr="000E428C">
        <w:rPr>
          <w:rFonts w:ascii="Calibri" w:hAnsi="Calibri" w:cs="Calibri"/>
          <w:sz w:val="12"/>
          <w:szCs w:val="12"/>
          <w:lang w:val="en-US"/>
        </w:rPr>
        <w:t>dostęp</w:t>
      </w:r>
      <w:proofErr w:type="spellEnd"/>
      <w:r w:rsidR="004145BC" w:rsidRPr="000E428C">
        <w:rPr>
          <w:rFonts w:ascii="Calibri" w:hAnsi="Calibri" w:cs="Calibri"/>
          <w:sz w:val="12"/>
          <w:szCs w:val="12"/>
          <w:lang w:val="en-US"/>
        </w:rPr>
        <w:t>: 04.2026)</w:t>
      </w:r>
    </w:p>
  </w:footnote>
  <w:footnote w:id="3">
    <w:p w14:paraId="1F3353C0" w14:textId="4CEA1D44" w:rsidR="00282F5B" w:rsidRPr="000E428C" w:rsidRDefault="00712B5B" w:rsidP="00712B5B">
      <w:pPr>
        <w:pStyle w:val="Tekstprzypisudolnego"/>
        <w:rPr>
          <w:rFonts w:ascii="Calibri" w:hAnsi="Calibri" w:cs="Calibri"/>
          <w:sz w:val="12"/>
          <w:szCs w:val="12"/>
          <w:lang w:val="en-US"/>
        </w:rPr>
      </w:pPr>
      <w:r w:rsidRPr="000E428C">
        <w:rPr>
          <w:rStyle w:val="Odwoanieprzypisudolnego"/>
          <w:rFonts w:ascii="Calibri" w:hAnsi="Calibri" w:cs="Calibri"/>
          <w:sz w:val="12"/>
          <w:szCs w:val="12"/>
        </w:rPr>
        <w:footnoteRef/>
      </w:r>
      <w:r w:rsidRPr="000E428C">
        <w:rPr>
          <w:rFonts w:ascii="Calibri" w:hAnsi="Calibri" w:cs="Calibri"/>
          <w:sz w:val="12"/>
          <w:szCs w:val="12"/>
          <w:lang w:val="en-US"/>
        </w:rPr>
        <w:t xml:space="preserve"> European Centre for Disease Prevention and Control, Factsheet about Borreliosis, </w:t>
      </w:r>
      <w:proofErr w:type="gramStart"/>
      <w:r w:rsidR="007617F7" w:rsidRPr="007617F7">
        <w:rPr>
          <w:rFonts w:ascii="Calibri" w:hAnsi="Calibri" w:cs="Calibri"/>
          <w:sz w:val="12"/>
          <w:szCs w:val="12"/>
          <w:lang w:val="en-US"/>
        </w:rPr>
        <w:t>https://www.ecdc.europa.eu/en/borreliosis/facts/factsheet</w:t>
      </w:r>
      <w:r w:rsidRPr="000E428C">
        <w:rPr>
          <w:rFonts w:ascii="Calibri" w:hAnsi="Calibri" w:cs="Calibri"/>
          <w:sz w:val="12"/>
          <w:szCs w:val="12"/>
          <w:lang w:val="en-US"/>
        </w:rPr>
        <w:t xml:space="preserve">  (</w:t>
      </w:r>
      <w:proofErr w:type="spellStart"/>
      <w:proofErr w:type="gramEnd"/>
      <w:r w:rsidRPr="000E428C">
        <w:rPr>
          <w:rFonts w:ascii="Calibri" w:hAnsi="Calibri" w:cs="Calibri"/>
          <w:sz w:val="12"/>
          <w:szCs w:val="12"/>
          <w:lang w:val="en-US"/>
        </w:rPr>
        <w:t>dostęp</w:t>
      </w:r>
      <w:proofErr w:type="spellEnd"/>
      <w:r w:rsidRPr="000E428C">
        <w:rPr>
          <w:rFonts w:ascii="Calibri" w:hAnsi="Calibri" w:cs="Calibri"/>
          <w:sz w:val="12"/>
          <w:szCs w:val="12"/>
          <w:lang w:val="en-US"/>
        </w:rPr>
        <w:t>: 04.2026)</w:t>
      </w:r>
    </w:p>
  </w:footnote>
  <w:footnote w:id="4">
    <w:p w14:paraId="305C242A" w14:textId="4A5F8124" w:rsidR="00282F5B" w:rsidRPr="00282F5B" w:rsidRDefault="00282F5B">
      <w:pPr>
        <w:pStyle w:val="Tekstprzypisudolnego"/>
        <w:rPr>
          <w:rFonts w:ascii="Calibri" w:hAnsi="Calibri" w:cs="Calibri"/>
          <w:sz w:val="12"/>
          <w:szCs w:val="12"/>
          <w:lang w:val="en-US"/>
        </w:rPr>
      </w:pPr>
      <w:r w:rsidRPr="000B7DBD">
        <w:rPr>
          <w:rStyle w:val="Odwoanieprzypisudolnego"/>
          <w:rFonts w:ascii="Calibri" w:hAnsi="Calibri" w:cs="Calibri"/>
          <w:sz w:val="12"/>
          <w:szCs w:val="12"/>
        </w:rPr>
        <w:footnoteRef/>
      </w:r>
      <w:r w:rsidRPr="000B7DBD">
        <w:rPr>
          <w:rStyle w:val="Odwoanieprzypisudolnego"/>
          <w:rFonts w:ascii="Calibri" w:hAnsi="Calibri" w:cs="Calibri"/>
          <w:sz w:val="12"/>
          <w:szCs w:val="12"/>
          <w:lang w:val="en-US"/>
        </w:rPr>
        <w:t xml:space="preserve"> </w:t>
      </w:r>
      <w:r w:rsidRPr="000B7DBD">
        <w:rPr>
          <w:rFonts w:ascii="Calibri" w:hAnsi="Calibri" w:cs="Calibri"/>
          <w:sz w:val="12"/>
          <w:szCs w:val="12"/>
          <w:lang w:val="en-US"/>
        </w:rPr>
        <w:t>Anna K Överby, Saravanan Thangamani. Pathogenesis of TBEV-diseases</w:t>
      </w:r>
      <w:r w:rsidRPr="000B7DBD">
        <w:rPr>
          <w:lang w:val="en-US"/>
        </w:rPr>
        <w:t xml:space="preserve"> </w:t>
      </w:r>
      <w:hyperlink r:id="rId2" w:history="1">
        <w:r w:rsidRPr="000B7DBD">
          <w:rPr>
            <w:rStyle w:val="Hipercze"/>
            <w:rFonts w:ascii="Calibri" w:hAnsi="Calibri" w:cs="Calibri"/>
            <w:sz w:val="12"/>
            <w:szCs w:val="12"/>
            <w:lang w:val="en-US"/>
          </w:rPr>
          <w:t>https://tbenews.com/tbe/chapter-6-pathogenesis-of-tbev-diseases/</w:t>
        </w:r>
      </w:hyperlink>
      <w:r w:rsidRPr="000B7DBD">
        <w:rPr>
          <w:lang w:val="en-US"/>
        </w:rPr>
        <w:t xml:space="preserve"> </w:t>
      </w:r>
      <w:r w:rsidRPr="000B7DBD">
        <w:rPr>
          <w:rFonts w:ascii="Calibri" w:hAnsi="Calibri" w:cs="Calibri"/>
          <w:sz w:val="12"/>
          <w:szCs w:val="12"/>
          <w:lang w:val="en-US"/>
        </w:rPr>
        <w:t>(</w:t>
      </w:r>
      <w:proofErr w:type="spellStart"/>
      <w:r w:rsidRPr="000B7DBD">
        <w:rPr>
          <w:rFonts w:ascii="Calibri" w:hAnsi="Calibri" w:cs="Calibri"/>
          <w:sz w:val="12"/>
          <w:szCs w:val="12"/>
          <w:lang w:val="en-US"/>
        </w:rPr>
        <w:t>dostęp</w:t>
      </w:r>
      <w:proofErr w:type="spellEnd"/>
      <w:r w:rsidRPr="000B7DBD">
        <w:rPr>
          <w:rFonts w:ascii="Calibri" w:hAnsi="Calibri" w:cs="Calibri"/>
          <w:sz w:val="12"/>
          <w:szCs w:val="12"/>
          <w:lang w:val="en-US"/>
        </w:rPr>
        <w:t>: 06.2026)</w:t>
      </w:r>
    </w:p>
  </w:footnote>
  <w:footnote w:id="5">
    <w:p w14:paraId="6A3B79B2" w14:textId="02AC0628" w:rsidR="00712B5B" w:rsidRPr="00282F5B" w:rsidRDefault="00712B5B" w:rsidP="004145BC">
      <w:pPr>
        <w:pStyle w:val="Nagwek1"/>
        <w:spacing w:before="0" w:after="0"/>
        <w:rPr>
          <w:rFonts w:ascii="var(--fonts-poppins)" w:eastAsia="Times New Roman" w:hAnsi="var(--fonts-poppins)" w:cs="Times New Roman"/>
          <w:spacing w:val="-1"/>
          <w:sz w:val="48"/>
          <w:szCs w:val="48"/>
          <w:lang w:val="en-US"/>
        </w:rPr>
      </w:pPr>
      <w:r w:rsidRPr="00282F5B">
        <w:rPr>
          <w:rStyle w:val="Odwoanieprzypisudolnego"/>
          <w:rFonts w:ascii="Calibri" w:hAnsi="Calibri" w:cs="Calibri"/>
          <w:color w:val="auto"/>
          <w:sz w:val="12"/>
          <w:szCs w:val="12"/>
        </w:rPr>
        <w:footnoteRef/>
      </w:r>
      <w:r w:rsidRPr="000E428C">
        <w:rPr>
          <w:rFonts w:ascii="Calibri" w:hAnsi="Calibri" w:cs="Calibri"/>
          <w:sz w:val="12"/>
          <w:szCs w:val="12"/>
          <w:lang w:val="en-US"/>
        </w:rPr>
        <w:t xml:space="preserve"> </w:t>
      </w:r>
      <w:r w:rsidR="004145BC" w:rsidRPr="004145BC">
        <w:rPr>
          <w:rFonts w:ascii="Calibri" w:eastAsia="Georgia" w:hAnsi="Calibri" w:cs="Calibri"/>
          <w:color w:val="auto"/>
          <w:sz w:val="12"/>
          <w:szCs w:val="12"/>
          <w:lang w:val="en-US"/>
        </w:rPr>
        <w:t>CDC Lyme Disease Spreads</w:t>
      </w:r>
      <w:r w:rsidR="004145BC" w:rsidRPr="00282F5B">
        <w:rPr>
          <w:rFonts w:ascii="Calibri" w:hAnsi="Calibri" w:cs="Calibri"/>
          <w:sz w:val="12"/>
          <w:szCs w:val="12"/>
          <w:lang w:val="en-US"/>
        </w:rPr>
        <w:t>https://www.cdc.gov/lyme/causes/?CDC_AAref_Val=</w:t>
      </w:r>
      <w:r w:rsidR="000E428C" w:rsidRPr="00282F5B">
        <w:rPr>
          <w:rFonts w:ascii="Calibri" w:hAnsi="Calibri" w:cs="Calibri"/>
          <w:sz w:val="12"/>
          <w:szCs w:val="12"/>
          <w:lang w:val="en-US"/>
        </w:rPr>
        <w:t>.</w:t>
      </w:r>
      <w:r w:rsidR="004145BC" w:rsidRPr="00282F5B">
        <w:rPr>
          <w:rFonts w:ascii="Calibri" w:hAnsi="Calibri" w:cs="Calibri"/>
          <w:sz w:val="12"/>
          <w:szCs w:val="12"/>
          <w:lang w:val="en-US"/>
        </w:rPr>
        <w:t xml:space="preserve"> </w:t>
      </w:r>
      <w:r w:rsidR="004145BC" w:rsidRPr="000E428C">
        <w:rPr>
          <w:rFonts w:ascii="Calibri" w:hAnsi="Calibri" w:cs="Calibri"/>
          <w:sz w:val="12"/>
          <w:szCs w:val="12"/>
          <w:lang w:val="en-US"/>
        </w:rPr>
        <w:t>(</w:t>
      </w:r>
      <w:proofErr w:type="spellStart"/>
      <w:r w:rsidR="004145BC" w:rsidRPr="000E428C">
        <w:rPr>
          <w:rFonts w:ascii="Calibri" w:hAnsi="Calibri" w:cs="Calibri"/>
          <w:sz w:val="12"/>
          <w:szCs w:val="12"/>
          <w:lang w:val="en-US"/>
        </w:rPr>
        <w:t>dostęp</w:t>
      </w:r>
      <w:proofErr w:type="spellEnd"/>
      <w:r w:rsidR="004145BC" w:rsidRPr="000E428C">
        <w:rPr>
          <w:rFonts w:ascii="Calibri" w:hAnsi="Calibri" w:cs="Calibri"/>
          <w:sz w:val="12"/>
          <w:szCs w:val="12"/>
          <w:lang w:val="en-US"/>
        </w:rPr>
        <w:t>: 0</w:t>
      </w:r>
      <w:r w:rsidR="004145BC">
        <w:rPr>
          <w:rFonts w:ascii="Calibri" w:hAnsi="Calibri" w:cs="Calibri"/>
          <w:sz w:val="12"/>
          <w:szCs w:val="12"/>
          <w:lang w:val="en-US"/>
        </w:rPr>
        <w:t>5</w:t>
      </w:r>
      <w:r w:rsidR="004145BC" w:rsidRPr="000E428C">
        <w:rPr>
          <w:rFonts w:ascii="Calibri" w:hAnsi="Calibri" w:cs="Calibri"/>
          <w:sz w:val="12"/>
          <w:szCs w:val="12"/>
          <w:lang w:val="en-US"/>
        </w:rPr>
        <w:t>.2026)</w:t>
      </w:r>
    </w:p>
  </w:footnote>
  <w:footnote w:id="6">
    <w:p w14:paraId="06B88566" w14:textId="07DEC9AD" w:rsidR="00712B5B" w:rsidRPr="000E428C" w:rsidRDefault="00712B5B" w:rsidP="004145BC">
      <w:pPr>
        <w:pStyle w:val="Tekstprzypisudolnego"/>
        <w:rPr>
          <w:rFonts w:ascii="Calibri" w:hAnsi="Calibri" w:cs="Calibri"/>
          <w:sz w:val="12"/>
          <w:szCs w:val="12"/>
          <w:lang w:val="en-US"/>
        </w:rPr>
      </w:pPr>
      <w:r w:rsidRPr="000E428C">
        <w:rPr>
          <w:rStyle w:val="Odwoanieprzypisudolnego"/>
          <w:rFonts w:ascii="Calibri" w:hAnsi="Calibri" w:cs="Calibri"/>
          <w:sz w:val="12"/>
          <w:szCs w:val="12"/>
        </w:rPr>
        <w:footnoteRef/>
      </w:r>
      <w:r w:rsidRPr="000E428C">
        <w:rPr>
          <w:rFonts w:ascii="Calibri" w:hAnsi="Calibri" w:cs="Calibri"/>
          <w:sz w:val="12"/>
          <w:szCs w:val="12"/>
          <w:lang w:val="en-US"/>
        </w:rPr>
        <w:t xml:space="preserve"> </w:t>
      </w:r>
      <w:r w:rsidR="007617F7" w:rsidRPr="000E428C">
        <w:rPr>
          <w:rFonts w:ascii="Calibri" w:hAnsi="Calibri" w:cs="Calibri"/>
          <w:sz w:val="12"/>
          <w:szCs w:val="12"/>
          <w:lang w:val="en-US"/>
        </w:rPr>
        <w:t>European Centre for Disease Prevention and Control. Factsheet about tick-borne encephalitis.</w:t>
      </w:r>
      <w:r w:rsidR="007617F7" w:rsidRPr="00282F5B">
        <w:rPr>
          <w:lang w:val="en-US"/>
        </w:rPr>
        <w:t xml:space="preserve"> </w:t>
      </w:r>
      <w:r w:rsidR="007617F7" w:rsidRPr="007617F7">
        <w:rPr>
          <w:rFonts w:ascii="Calibri" w:hAnsi="Calibri" w:cs="Calibri"/>
          <w:sz w:val="12"/>
          <w:szCs w:val="12"/>
          <w:lang w:val="en-US"/>
        </w:rPr>
        <w:t>https://www.ecdc.europa.eu/en/tick-borne-encephalitis</w:t>
      </w:r>
      <w:r w:rsidR="007617F7" w:rsidRPr="000E428C">
        <w:rPr>
          <w:rFonts w:ascii="Calibri" w:hAnsi="Calibri" w:cs="Calibri"/>
          <w:sz w:val="12"/>
          <w:szCs w:val="12"/>
          <w:lang w:val="en-US"/>
        </w:rPr>
        <w:t xml:space="preserve"> (</w:t>
      </w:r>
      <w:proofErr w:type="spellStart"/>
      <w:r w:rsidR="007617F7" w:rsidRPr="000E428C">
        <w:rPr>
          <w:rFonts w:ascii="Calibri" w:hAnsi="Calibri" w:cs="Calibri"/>
          <w:sz w:val="12"/>
          <w:szCs w:val="12"/>
          <w:lang w:val="en-US"/>
        </w:rPr>
        <w:t>dostęp</w:t>
      </w:r>
      <w:proofErr w:type="spellEnd"/>
      <w:r w:rsidR="007617F7" w:rsidRPr="000E428C">
        <w:rPr>
          <w:rFonts w:ascii="Calibri" w:hAnsi="Calibri" w:cs="Calibri"/>
          <w:sz w:val="12"/>
          <w:szCs w:val="12"/>
          <w:lang w:val="en-US"/>
        </w:rPr>
        <w:t>: 04.2026)</w:t>
      </w:r>
    </w:p>
  </w:footnote>
  <w:footnote w:id="7">
    <w:p w14:paraId="56695BBA" w14:textId="397F1473" w:rsidR="00712B5B" w:rsidRPr="00282F5B" w:rsidRDefault="00712B5B" w:rsidP="000E428C">
      <w:pPr>
        <w:pStyle w:val="footnotedescription"/>
        <w:jc w:val="both"/>
        <w:rPr>
          <w:sz w:val="12"/>
          <w:szCs w:val="12"/>
        </w:rPr>
      </w:pPr>
      <w:r w:rsidRPr="000E428C">
        <w:rPr>
          <w:rStyle w:val="Odwoanieprzypisudolnego"/>
          <w:sz w:val="12"/>
          <w:szCs w:val="12"/>
        </w:rPr>
        <w:footnoteRef/>
      </w:r>
      <w:r w:rsidRPr="00282F5B">
        <w:rPr>
          <w:sz w:val="12"/>
          <w:szCs w:val="12"/>
        </w:rPr>
        <w:t xml:space="preserve"> </w:t>
      </w:r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Kuchar, E., Zajkowska, J.,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Flisiak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R., Mastalerz-Migas, A., Rosińska, M.,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Szenborn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L.,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Wdówik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P., &amp;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Walusiak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-Skorupa, J. (2021). Epidemiologia, diagnostyka i profilaktyka kleszczowego zapalenia mózgu w Polsce i wybranych krajach europejskich – stanowisko polskiej grupy ekspertów [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Epidemiology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diagnosis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and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prevention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of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tick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-borne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encephalitis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in Poland and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selected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European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countries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- a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position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statement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of the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Polish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group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of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experts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]. Medycyna pracy, 72(2), 193–210. </w:t>
      </w:r>
      <w:hyperlink r:id="rId3">
        <w:r w:rsidR="000E428C" w:rsidRPr="00282F5B">
          <w:rPr>
            <w:rFonts w:eastAsia="Georgia"/>
            <w:color w:val="auto"/>
            <w:kern w:val="0"/>
            <w:sz w:val="12"/>
            <w:szCs w:val="12"/>
            <w14:ligatures w14:val="none"/>
          </w:rPr>
          <w:t>https://doi.org/10.13075/mp.5893.01063</w:t>
        </w:r>
      </w:hyperlink>
      <w:hyperlink r:id="rId4">
        <w:r w:rsidRPr="00282F5B">
          <w:rPr>
            <w:sz w:val="12"/>
            <w:szCs w:val="12"/>
          </w:rPr>
          <w:t>[</w:t>
        </w:r>
      </w:hyperlink>
      <w:r w:rsidRPr="00282F5B">
        <w:rPr>
          <w:sz w:val="12"/>
          <w:szCs w:val="12"/>
        </w:rPr>
        <w:t>dostęp 15.03.2026</w:t>
      </w:r>
      <w:proofErr w:type="gramStart"/>
      <w:r w:rsidRPr="00282F5B">
        <w:rPr>
          <w:sz w:val="12"/>
          <w:szCs w:val="12"/>
        </w:rPr>
        <w:t>] .</w:t>
      </w:r>
      <w:proofErr w:type="gramEnd"/>
    </w:p>
  </w:footnote>
  <w:footnote w:id="8">
    <w:p w14:paraId="22F0C7F6" w14:textId="77777777" w:rsidR="00712B5B" w:rsidRPr="000E428C" w:rsidRDefault="00712B5B" w:rsidP="00712B5B">
      <w:pPr>
        <w:jc w:val="both"/>
        <w:rPr>
          <w:sz w:val="12"/>
          <w:szCs w:val="12"/>
        </w:rPr>
      </w:pPr>
      <w:r w:rsidRPr="000E428C">
        <w:rPr>
          <w:rStyle w:val="Odwoanieprzypisudolnego"/>
          <w:sz w:val="12"/>
          <w:szCs w:val="12"/>
        </w:rPr>
        <w:footnoteRef/>
      </w:r>
      <w:r w:rsidRPr="000E428C">
        <w:rPr>
          <w:sz w:val="12"/>
          <w:szCs w:val="12"/>
        </w:rPr>
        <w:t xml:space="preserve"> </w:t>
      </w:r>
      <w:r w:rsidRPr="007617F7">
        <w:rPr>
          <w:rFonts w:ascii="Calibri" w:hAnsi="Calibri" w:cs="Calibri"/>
          <w:sz w:val="12"/>
          <w:szCs w:val="12"/>
        </w:rPr>
        <w:t xml:space="preserve">Narodowy Instytut Zdrowia Publicznego PZH – Państwowy Instytut Badawczy, „Kleszczowe zapalenie mózgu – informacje o szczepieniach”, </w:t>
      </w:r>
      <w:hyperlink r:id="rId5" w:history="1">
        <w:r w:rsidRPr="007617F7">
          <w:rPr>
            <w:rStyle w:val="Hipercze"/>
            <w:rFonts w:ascii="Calibri" w:hAnsi="Calibri" w:cs="Calibri"/>
            <w:sz w:val="12"/>
            <w:szCs w:val="12"/>
          </w:rPr>
          <w:t>szczepienia.pzh.gov.pl</w:t>
        </w:r>
      </w:hyperlink>
      <w:r w:rsidRPr="007617F7">
        <w:rPr>
          <w:rFonts w:ascii="Calibri" w:hAnsi="Calibri" w:cs="Calibri"/>
          <w:sz w:val="12"/>
          <w:szCs w:val="12"/>
        </w:rPr>
        <w:t xml:space="preserve"> (dostęp: 04.2026).</w:t>
      </w:r>
    </w:p>
  </w:footnote>
  <w:footnote w:id="9">
    <w:p w14:paraId="0A33F699" w14:textId="0606CF2A" w:rsidR="00712B5B" w:rsidRPr="000E428C" w:rsidRDefault="00712B5B" w:rsidP="00712B5B">
      <w:pPr>
        <w:pStyle w:val="Tekstprzypisudolnego"/>
        <w:rPr>
          <w:rFonts w:ascii="Calibri" w:hAnsi="Calibri" w:cs="Calibri"/>
          <w:sz w:val="12"/>
          <w:szCs w:val="12"/>
          <w:lang w:val="en-US"/>
        </w:rPr>
      </w:pPr>
      <w:r w:rsidRPr="000E428C">
        <w:rPr>
          <w:rStyle w:val="Odwoanieprzypisudolnego"/>
          <w:rFonts w:ascii="Calibri" w:hAnsi="Calibri" w:cs="Calibri"/>
          <w:sz w:val="12"/>
          <w:szCs w:val="12"/>
        </w:rPr>
        <w:footnoteRef/>
      </w:r>
      <w:r w:rsidRPr="000E428C">
        <w:rPr>
          <w:rFonts w:ascii="Calibri" w:hAnsi="Calibri" w:cs="Calibri"/>
          <w:sz w:val="12"/>
          <w:szCs w:val="12"/>
          <w:lang w:val="en-US"/>
        </w:rPr>
        <w:t xml:space="preserve"> </w:t>
      </w:r>
      <w:r w:rsidR="007617F7" w:rsidRPr="000E428C">
        <w:rPr>
          <w:rFonts w:ascii="Calibri" w:hAnsi="Calibri" w:cs="Calibri"/>
          <w:sz w:val="12"/>
          <w:szCs w:val="12"/>
          <w:lang w:val="en-US"/>
        </w:rPr>
        <w:t xml:space="preserve">European Centre for Disease Prevention and Control, Factsheet about Borreliosis, </w:t>
      </w:r>
      <w:r w:rsidR="007617F7" w:rsidRPr="007617F7">
        <w:rPr>
          <w:rFonts w:ascii="Calibri" w:hAnsi="Calibri" w:cs="Calibri"/>
          <w:sz w:val="12"/>
          <w:szCs w:val="12"/>
          <w:lang w:val="en-US"/>
        </w:rPr>
        <w:t>https://www.ecdc.europa.eu/en/borreliosis/facts/factsheet</w:t>
      </w:r>
      <w:r w:rsidR="007617F7" w:rsidRPr="000E428C">
        <w:rPr>
          <w:rFonts w:ascii="Calibri" w:hAnsi="Calibri" w:cs="Calibri"/>
          <w:sz w:val="12"/>
          <w:szCs w:val="12"/>
          <w:lang w:val="en-US"/>
        </w:rPr>
        <w:t xml:space="preserve"> (</w:t>
      </w:r>
      <w:proofErr w:type="spellStart"/>
      <w:r w:rsidR="007617F7" w:rsidRPr="000E428C">
        <w:rPr>
          <w:rFonts w:ascii="Calibri" w:hAnsi="Calibri" w:cs="Calibri"/>
          <w:sz w:val="12"/>
          <w:szCs w:val="12"/>
          <w:lang w:val="en-US"/>
        </w:rPr>
        <w:t>dostęp</w:t>
      </w:r>
      <w:proofErr w:type="spellEnd"/>
      <w:r w:rsidR="007617F7" w:rsidRPr="000E428C">
        <w:rPr>
          <w:rFonts w:ascii="Calibri" w:hAnsi="Calibri" w:cs="Calibri"/>
          <w:sz w:val="12"/>
          <w:szCs w:val="12"/>
          <w:lang w:val="en-US"/>
        </w:rPr>
        <w:t>: 04.2026)</w:t>
      </w:r>
    </w:p>
  </w:footnote>
  <w:footnote w:id="10">
    <w:p w14:paraId="0687F0FA" w14:textId="77777777" w:rsidR="00712B5B" w:rsidRPr="000E428C" w:rsidRDefault="00712B5B" w:rsidP="00712B5B">
      <w:pPr>
        <w:jc w:val="both"/>
        <w:rPr>
          <w:rFonts w:ascii="Calibri" w:hAnsi="Calibri" w:cs="Calibri"/>
          <w:sz w:val="12"/>
          <w:szCs w:val="12"/>
        </w:rPr>
      </w:pPr>
      <w:r w:rsidRPr="000E428C">
        <w:rPr>
          <w:rStyle w:val="Odwoanieprzypisudolnego"/>
          <w:rFonts w:ascii="Calibri" w:hAnsi="Calibri" w:cs="Calibri"/>
          <w:sz w:val="12"/>
          <w:szCs w:val="12"/>
        </w:rPr>
        <w:footnoteRef/>
      </w:r>
      <w:r w:rsidRPr="000E428C">
        <w:rPr>
          <w:rFonts w:ascii="Calibri" w:hAnsi="Calibri" w:cs="Calibri"/>
          <w:sz w:val="12"/>
          <w:szCs w:val="12"/>
        </w:rPr>
        <w:t xml:space="preserve"> Narodowy Instytut Zdrowia Publicznego PZH – Państwowy Instytut Badawczy, „Kleszczowe zapalenie mózgu – informacje o szczepieniach”, </w:t>
      </w:r>
      <w:hyperlink r:id="rId6" w:history="1">
        <w:r w:rsidRPr="000E428C">
          <w:rPr>
            <w:rStyle w:val="Hipercze"/>
            <w:rFonts w:ascii="Calibri" w:hAnsi="Calibri" w:cs="Calibri"/>
            <w:sz w:val="12"/>
            <w:szCs w:val="12"/>
          </w:rPr>
          <w:t>szczepienia.pzh.gov.pl</w:t>
        </w:r>
      </w:hyperlink>
      <w:r w:rsidRPr="000E428C">
        <w:rPr>
          <w:rFonts w:ascii="Calibri" w:hAnsi="Calibri" w:cs="Calibri"/>
          <w:sz w:val="12"/>
          <w:szCs w:val="12"/>
        </w:rPr>
        <w:t xml:space="preserve"> (dostęp: 04.2026).</w:t>
      </w:r>
    </w:p>
  </w:footnote>
  <w:footnote w:id="11">
    <w:p w14:paraId="28344C70" w14:textId="77777777" w:rsidR="00712B5B" w:rsidRPr="000E428C" w:rsidRDefault="00712B5B" w:rsidP="00712B5B">
      <w:pPr>
        <w:jc w:val="both"/>
        <w:rPr>
          <w:rFonts w:ascii="Calibri" w:hAnsi="Calibri" w:cs="Calibri"/>
          <w:sz w:val="12"/>
          <w:szCs w:val="12"/>
        </w:rPr>
      </w:pPr>
      <w:r w:rsidRPr="000E428C">
        <w:rPr>
          <w:rStyle w:val="Odwoanieprzypisudolnego"/>
          <w:rFonts w:ascii="Calibri" w:hAnsi="Calibri" w:cs="Calibri"/>
          <w:sz w:val="12"/>
          <w:szCs w:val="12"/>
        </w:rPr>
        <w:footnoteRef/>
      </w:r>
      <w:r w:rsidRPr="000E428C">
        <w:rPr>
          <w:rFonts w:ascii="Calibri" w:hAnsi="Calibri" w:cs="Calibri"/>
          <w:sz w:val="12"/>
          <w:szCs w:val="12"/>
        </w:rPr>
        <w:t xml:space="preserve"> J. M. Zajkowska, „Transmisja i krążenie patogenów </w:t>
      </w:r>
      <w:proofErr w:type="spellStart"/>
      <w:r w:rsidRPr="000E428C">
        <w:rPr>
          <w:rFonts w:ascii="Calibri" w:hAnsi="Calibri" w:cs="Calibri"/>
          <w:sz w:val="12"/>
          <w:szCs w:val="12"/>
        </w:rPr>
        <w:t>odkleszczowych</w:t>
      </w:r>
      <w:proofErr w:type="spellEnd"/>
      <w:r w:rsidRPr="000E428C">
        <w:rPr>
          <w:rFonts w:ascii="Calibri" w:hAnsi="Calibri" w:cs="Calibri"/>
          <w:sz w:val="12"/>
          <w:szCs w:val="12"/>
        </w:rPr>
        <w:t xml:space="preserve"> (KZM i boreliozy) i rola zmieniającego się środowiska”, „Przegląd Epidemiologiczny” 2010, nr 64, s. 525–531.</w:t>
      </w:r>
    </w:p>
  </w:footnote>
  <w:footnote w:id="12">
    <w:p w14:paraId="79651F34" w14:textId="19A4EEF5" w:rsidR="00712B5B" w:rsidRPr="004145BC" w:rsidRDefault="00712B5B" w:rsidP="004145BC">
      <w:pPr>
        <w:pStyle w:val="Nagwek1"/>
        <w:spacing w:before="0" w:after="0"/>
        <w:rPr>
          <w:rFonts w:ascii="var(--fonts-poppins)" w:eastAsia="Times New Roman" w:hAnsi="var(--fonts-poppins)" w:cs="Times New Roman"/>
          <w:spacing w:val="-1"/>
          <w:sz w:val="48"/>
          <w:szCs w:val="48"/>
        </w:rPr>
      </w:pPr>
      <w:r w:rsidRPr="00282F5B">
        <w:rPr>
          <w:rStyle w:val="Odwoanieprzypisudolnego"/>
          <w:rFonts w:ascii="Calibri" w:hAnsi="Calibri" w:cs="Calibri"/>
          <w:color w:val="auto"/>
          <w:sz w:val="12"/>
          <w:szCs w:val="12"/>
        </w:rPr>
        <w:footnoteRef/>
      </w:r>
      <w:r w:rsidRPr="00282F5B">
        <w:rPr>
          <w:rFonts w:ascii="Calibri" w:hAnsi="Calibri" w:cs="Calibri"/>
          <w:color w:val="auto"/>
          <w:sz w:val="12"/>
          <w:szCs w:val="12"/>
          <w:lang w:val="en-US"/>
        </w:rPr>
        <w:t xml:space="preserve"> </w:t>
      </w:r>
      <w:r w:rsidR="004145BC" w:rsidRPr="004145BC">
        <w:rPr>
          <w:rFonts w:ascii="Calibri" w:eastAsia="Georgia" w:hAnsi="Calibri" w:cs="Calibri"/>
          <w:color w:val="auto"/>
          <w:sz w:val="12"/>
          <w:szCs w:val="12"/>
          <w:lang w:val="en-US"/>
        </w:rPr>
        <w:t>CDC Lyme Disease Spreads</w:t>
      </w:r>
      <w:r w:rsidR="004145BC" w:rsidRPr="00282F5B">
        <w:rPr>
          <w:rFonts w:ascii="Calibri" w:hAnsi="Calibri" w:cs="Calibri"/>
          <w:sz w:val="12"/>
          <w:szCs w:val="12"/>
          <w:lang w:val="en-US"/>
        </w:rPr>
        <w:t xml:space="preserve">https://www.cdc.gov/lyme/causes/?CDC_AAref_Val=. </w:t>
      </w:r>
      <w:r w:rsidR="004145BC" w:rsidRPr="00282F5B">
        <w:rPr>
          <w:rFonts w:ascii="Calibri" w:hAnsi="Calibri" w:cs="Calibri"/>
          <w:sz w:val="12"/>
          <w:szCs w:val="12"/>
        </w:rPr>
        <w:t>(dostęp: 05.2026)</w:t>
      </w:r>
    </w:p>
  </w:footnote>
  <w:footnote w:id="13">
    <w:p w14:paraId="376B08C6" w14:textId="77777777" w:rsidR="00712B5B" w:rsidRPr="007617F7" w:rsidRDefault="00712B5B" w:rsidP="007617F7">
      <w:pPr>
        <w:pStyle w:val="Tekstprzypisudolnego"/>
        <w:rPr>
          <w:rFonts w:ascii="Calibri" w:hAnsi="Calibri" w:cs="Calibri"/>
          <w:sz w:val="12"/>
          <w:szCs w:val="12"/>
        </w:rPr>
      </w:pPr>
      <w:r w:rsidRPr="007617F7">
        <w:rPr>
          <w:rStyle w:val="Odwoanieprzypisudolnego"/>
          <w:rFonts w:ascii="Calibri" w:hAnsi="Calibri" w:cs="Calibri"/>
          <w:sz w:val="12"/>
          <w:szCs w:val="12"/>
        </w:rPr>
        <w:footnoteRef/>
      </w:r>
      <w:r w:rsidRPr="007617F7">
        <w:rPr>
          <w:rFonts w:ascii="Calibri" w:hAnsi="Calibri" w:cs="Calibri"/>
          <w:sz w:val="12"/>
          <w:szCs w:val="12"/>
        </w:rPr>
        <w:t xml:space="preserve"> J. M. Zajkowska, „Transmisja i krążenie patogenów </w:t>
      </w:r>
      <w:proofErr w:type="spellStart"/>
      <w:r w:rsidRPr="007617F7">
        <w:rPr>
          <w:rFonts w:ascii="Calibri" w:hAnsi="Calibri" w:cs="Calibri"/>
          <w:sz w:val="12"/>
          <w:szCs w:val="12"/>
        </w:rPr>
        <w:t>odkleszczowych</w:t>
      </w:r>
      <w:proofErr w:type="spellEnd"/>
      <w:r w:rsidRPr="007617F7">
        <w:rPr>
          <w:rFonts w:ascii="Calibri" w:hAnsi="Calibri" w:cs="Calibri"/>
          <w:sz w:val="12"/>
          <w:szCs w:val="12"/>
        </w:rPr>
        <w:t xml:space="preserve"> (KZM i boreliozy) i rola zmieniającego się środowiska”, „Przegląd Epidemiologiczny” 2010, nr 64, s. 525–531.</w:t>
      </w:r>
    </w:p>
  </w:footnote>
  <w:footnote w:id="14">
    <w:p w14:paraId="66DB4351" w14:textId="52F0E679" w:rsidR="000E428C" w:rsidRPr="007617F7" w:rsidRDefault="000E428C" w:rsidP="007617F7">
      <w:pPr>
        <w:pStyle w:val="Tekstprzypisudolnego"/>
        <w:rPr>
          <w:rFonts w:ascii="Calibri" w:hAnsi="Calibri" w:cs="Calibri"/>
          <w:sz w:val="12"/>
          <w:szCs w:val="12"/>
        </w:rPr>
      </w:pPr>
      <w:r w:rsidRPr="007617F7">
        <w:rPr>
          <w:rStyle w:val="Odwoanieprzypisudolnego"/>
          <w:rFonts w:ascii="Calibri" w:hAnsi="Calibri" w:cs="Calibri"/>
          <w:sz w:val="12"/>
          <w:szCs w:val="12"/>
        </w:rPr>
        <w:footnoteRef/>
      </w:r>
      <w:r w:rsidRPr="007617F7">
        <w:rPr>
          <w:rFonts w:ascii="Calibri" w:hAnsi="Calibri" w:cs="Calibri"/>
          <w:sz w:val="12"/>
          <w:szCs w:val="12"/>
        </w:rPr>
        <w:t xml:space="preserve"> </w:t>
      </w:r>
      <w:r w:rsidRPr="00282F5B">
        <w:rPr>
          <w:rFonts w:ascii="Calibri" w:eastAsiaTheme="minorHAnsi" w:hAnsi="Calibri" w:cs="Calibri"/>
          <w:sz w:val="12"/>
          <w:szCs w:val="12"/>
        </w:rPr>
        <w:t>Narodowy Instytut Zdrowia Publicznego PZH – Państwowy Instytut Badawczy.</w:t>
      </w:r>
      <w:r w:rsidRPr="00282F5B">
        <w:rPr>
          <w:rFonts w:ascii="Calibri" w:hAnsi="Calibri" w:cs="Calibri"/>
          <w:sz w:val="12"/>
          <w:szCs w:val="12"/>
        </w:rPr>
        <w:t xml:space="preserve"> </w:t>
      </w:r>
      <w:r w:rsidRPr="00282F5B">
        <w:rPr>
          <w:rFonts w:ascii="Calibri" w:eastAsiaTheme="minorHAnsi" w:hAnsi="Calibri" w:cs="Calibri"/>
          <w:sz w:val="12"/>
          <w:szCs w:val="12"/>
        </w:rPr>
        <w:t>Kleszczowe zapalenie mózgu – informacje o szczepieniach.</w:t>
      </w:r>
      <w:r w:rsidRPr="00282F5B">
        <w:rPr>
          <w:rFonts w:ascii="Calibri" w:hAnsi="Calibri" w:cs="Calibri"/>
          <w:sz w:val="12"/>
          <w:szCs w:val="12"/>
        </w:rPr>
        <w:t xml:space="preserve"> </w:t>
      </w:r>
      <w:r w:rsidRPr="00282F5B">
        <w:rPr>
          <w:rFonts w:ascii="Calibri" w:eastAsiaTheme="minorHAnsi" w:hAnsi="Calibri" w:cs="Calibri"/>
          <w:sz w:val="12"/>
          <w:szCs w:val="12"/>
        </w:rPr>
        <w:t>Serwis „Szczepienia”, NIZP PZH</w:t>
      </w:r>
      <w:r w:rsidRPr="00282F5B">
        <w:rPr>
          <w:rFonts w:ascii="Cambria Math" w:eastAsiaTheme="minorHAnsi" w:hAnsi="Cambria Math" w:cs="Cambria Math"/>
          <w:sz w:val="12"/>
          <w:szCs w:val="12"/>
        </w:rPr>
        <w:t>‑</w:t>
      </w:r>
      <w:r w:rsidRPr="00282F5B">
        <w:rPr>
          <w:rFonts w:ascii="Calibri" w:eastAsiaTheme="minorHAnsi" w:hAnsi="Calibri" w:cs="Calibri"/>
          <w:sz w:val="12"/>
          <w:szCs w:val="12"/>
        </w:rPr>
        <w:t>PIB.</w:t>
      </w:r>
      <w:r w:rsidRPr="00282F5B">
        <w:rPr>
          <w:rFonts w:ascii="Calibri" w:hAnsi="Calibri" w:cs="Calibri"/>
          <w:sz w:val="12"/>
          <w:szCs w:val="12"/>
        </w:rPr>
        <w:t xml:space="preserve"> </w:t>
      </w:r>
      <w:r w:rsidRPr="00282F5B">
        <w:rPr>
          <w:rFonts w:ascii="Calibri" w:eastAsiaTheme="minorHAnsi" w:hAnsi="Calibri" w:cs="Calibri"/>
          <w:sz w:val="12"/>
          <w:szCs w:val="12"/>
        </w:rPr>
        <w:t xml:space="preserve">Dostępne online: </w:t>
      </w:r>
      <w:hyperlink r:id="rId7" w:history="1">
        <w:r w:rsidRPr="00282F5B">
          <w:rPr>
            <w:rStyle w:val="Hipercze"/>
            <w:rFonts w:ascii="Calibri" w:hAnsi="Calibri" w:cs="Calibri"/>
            <w:sz w:val="12"/>
            <w:szCs w:val="12"/>
          </w:rPr>
          <w:t>https://szczepienia.pzh.gov.pl/szczepionki/kleszczowe-zapalenie-mozgu/</w:t>
        </w:r>
      </w:hyperlink>
      <w:r w:rsidRPr="00282F5B">
        <w:rPr>
          <w:rFonts w:ascii="Calibri" w:hAnsi="Calibri" w:cs="Calibri"/>
          <w:sz w:val="12"/>
          <w:szCs w:val="12"/>
        </w:rPr>
        <w:t xml:space="preserve"> </w:t>
      </w:r>
      <w:hyperlink r:id="rId8">
        <w:r w:rsidRPr="00282F5B">
          <w:rPr>
            <w:rFonts w:ascii="Calibri" w:hAnsi="Calibri" w:cs="Calibri"/>
            <w:sz w:val="12"/>
            <w:szCs w:val="12"/>
          </w:rPr>
          <w:t>[</w:t>
        </w:r>
      </w:hyperlink>
      <w:r w:rsidRPr="00282F5B">
        <w:rPr>
          <w:rFonts w:ascii="Calibri" w:hAnsi="Calibri" w:cs="Calibri"/>
          <w:sz w:val="12"/>
          <w:szCs w:val="12"/>
        </w:rPr>
        <w:t>dostęp 15.03.2026]</w:t>
      </w:r>
    </w:p>
  </w:footnote>
  <w:footnote w:id="15">
    <w:p w14:paraId="6E31ED41" w14:textId="77777777" w:rsidR="000E428C" w:rsidRPr="007617F7" w:rsidRDefault="00712B5B" w:rsidP="007617F7">
      <w:pPr>
        <w:pStyle w:val="footnotedescription"/>
        <w:spacing w:line="240" w:lineRule="auto"/>
        <w:jc w:val="both"/>
        <w:rPr>
          <w:sz w:val="12"/>
          <w:szCs w:val="12"/>
          <w:lang w:val="en-US"/>
        </w:rPr>
      </w:pPr>
      <w:r w:rsidRPr="007617F7">
        <w:rPr>
          <w:rStyle w:val="Odwoanieprzypisudolnego"/>
          <w:sz w:val="12"/>
          <w:szCs w:val="12"/>
        </w:rPr>
        <w:footnoteRef/>
      </w:r>
      <w:r w:rsidRPr="00282F5B">
        <w:rPr>
          <w:sz w:val="12"/>
          <w:szCs w:val="12"/>
        </w:rPr>
        <w:t xml:space="preserve"> </w:t>
      </w:r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Kuchar, E., Zajkowska, J.,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Flisiak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R., Mastalerz-Migas, A., Rosińska, M.,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Szenborn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L.,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Wdówik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P., &amp;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Walusiak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-Skorupa, J. (2021). Epidemiologia, diagnostyka i profilaktyka kleszczowego zapalenia mózgu w Polsce i wybranych krajach europejskich – stanowisko polskiej grupy ekspertów [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Epidemiology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diagnosis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and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prevention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of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tick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-borne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encephalitis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in Poland and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selected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European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countries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- a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position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statement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of the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Polish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group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of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experts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]. </w:t>
      </w:r>
      <w:proofErr w:type="spellStart"/>
      <w:r w:rsidR="000E428C" w:rsidRPr="007617F7">
        <w:rPr>
          <w:rFonts w:eastAsia="Georgia"/>
          <w:color w:val="auto"/>
          <w:kern w:val="0"/>
          <w:sz w:val="12"/>
          <w:szCs w:val="12"/>
          <w:lang w:val="en-US"/>
          <w14:ligatures w14:val="none"/>
        </w:rPr>
        <w:t>Medycyna</w:t>
      </w:r>
      <w:proofErr w:type="spellEnd"/>
      <w:r w:rsidR="000E428C" w:rsidRPr="007617F7">
        <w:rPr>
          <w:rFonts w:eastAsia="Georgia"/>
          <w:color w:val="auto"/>
          <w:kern w:val="0"/>
          <w:sz w:val="12"/>
          <w:szCs w:val="12"/>
          <w:lang w:val="en-US"/>
          <w14:ligatures w14:val="none"/>
        </w:rPr>
        <w:t xml:space="preserve"> </w:t>
      </w:r>
      <w:proofErr w:type="spellStart"/>
      <w:r w:rsidR="000E428C" w:rsidRPr="007617F7">
        <w:rPr>
          <w:rFonts w:eastAsia="Georgia"/>
          <w:color w:val="auto"/>
          <w:kern w:val="0"/>
          <w:sz w:val="12"/>
          <w:szCs w:val="12"/>
          <w:lang w:val="en-US"/>
          <w14:ligatures w14:val="none"/>
        </w:rPr>
        <w:t>pracy</w:t>
      </w:r>
      <w:proofErr w:type="spellEnd"/>
      <w:r w:rsidR="000E428C" w:rsidRPr="007617F7">
        <w:rPr>
          <w:rFonts w:eastAsia="Georgia"/>
          <w:color w:val="auto"/>
          <w:kern w:val="0"/>
          <w:sz w:val="12"/>
          <w:szCs w:val="12"/>
          <w:lang w:val="en-US"/>
          <w14:ligatures w14:val="none"/>
        </w:rPr>
        <w:t xml:space="preserve">, 72(2), 193–210. </w:t>
      </w:r>
      <w:hyperlink r:id="rId9">
        <w:r w:rsidR="000E428C" w:rsidRPr="007617F7">
          <w:rPr>
            <w:rFonts w:eastAsia="Georgia"/>
            <w:color w:val="auto"/>
            <w:kern w:val="0"/>
            <w:sz w:val="12"/>
            <w:szCs w:val="12"/>
            <w:lang w:val="en-US"/>
            <w14:ligatures w14:val="none"/>
          </w:rPr>
          <w:t>https://doi.org/10.13075/mp.5893.01063</w:t>
        </w:r>
      </w:hyperlink>
      <w:hyperlink r:id="rId10">
        <w:r w:rsidR="000E428C" w:rsidRPr="007617F7">
          <w:rPr>
            <w:sz w:val="12"/>
            <w:szCs w:val="12"/>
            <w:lang w:val="en-US"/>
          </w:rPr>
          <w:t>[</w:t>
        </w:r>
      </w:hyperlink>
      <w:r w:rsidR="000E428C" w:rsidRPr="007617F7">
        <w:rPr>
          <w:sz w:val="12"/>
          <w:szCs w:val="12"/>
          <w:lang w:val="en-US"/>
        </w:rPr>
        <w:t>dostęp 15.03.2026</w:t>
      </w:r>
      <w:proofErr w:type="gramStart"/>
      <w:r w:rsidR="000E428C" w:rsidRPr="007617F7">
        <w:rPr>
          <w:sz w:val="12"/>
          <w:szCs w:val="12"/>
          <w:lang w:val="en-US"/>
        </w:rPr>
        <w:t>] .</w:t>
      </w:r>
      <w:proofErr w:type="gramEnd"/>
    </w:p>
    <w:p w14:paraId="48AAF77B" w14:textId="0C67CE34" w:rsidR="00712B5B" w:rsidRPr="007617F7" w:rsidRDefault="00712B5B" w:rsidP="007617F7">
      <w:pPr>
        <w:pStyle w:val="footnotedescription"/>
        <w:spacing w:line="240" w:lineRule="auto"/>
        <w:jc w:val="both"/>
        <w:rPr>
          <w:sz w:val="12"/>
          <w:szCs w:val="12"/>
          <w:lang w:val="en-US"/>
        </w:rPr>
      </w:pPr>
      <w:hyperlink r:id="rId11">
        <w:r w:rsidRPr="007617F7">
          <w:rPr>
            <w:sz w:val="12"/>
            <w:szCs w:val="12"/>
            <w:lang w:val="en-US"/>
          </w:rPr>
          <w:t>[</w:t>
        </w:r>
        <w:proofErr w:type="spellStart"/>
      </w:hyperlink>
      <w:r w:rsidRPr="007617F7">
        <w:rPr>
          <w:sz w:val="12"/>
          <w:szCs w:val="12"/>
          <w:lang w:val="en-US"/>
        </w:rPr>
        <w:t>dostęp</w:t>
      </w:r>
      <w:proofErr w:type="spellEnd"/>
      <w:r w:rsidRPr="007617F7">
        <w:rPr>
          <w:sz w:val="12"/>
          <w:szCs w:val="12"/>
          <w:lang w:val="en-US"/>
        </w:rPr>
        <w:t xml:space="preserve"> 15.03.2026] </w:t>
      </w:r>
    </w:p>
  </w:footnote>
  <w:footnote w:id="16">
    <w:p w14:paraId="38564417" w14:textId="77777777" w:rsidR="000E428C" w:rsidRPr="00282F5B" w:rsidRDefault="00712B5B" w:rsidP="007617F7">
      <w:pPr>
        <w:pStyle w:val="footnotedescription"/>
        <w:spacing w:line="240" w:lineRule="auto"/>
        <w:jc w:val="both"/>
        <w:rPr>
          <w:sz w:val="12"/>
          <w:szCs w:val="12"/>
        </w:rPr>
      </w:pPr>
      <w:r w:rsidRPr="007617F7">
        <w:rPr>
          <w:rStyle w:val="Odwoanieprzypisudolnego"/>
          <w:sz w:val="12"/>
          <w:szCs w:val="12"/>
        </w:rPr>
        <w:footnoteRef/>
      </w:r>
      <w:r w:rsidRPr="00282F5B">
        <w:rPr>
          <w:sz w:val="12"/>
          <w:szCs w:val="12"/>
        </w:rPr>
        <w:t xml:space="preserve"> </w:t>
      </w:r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Kuchar, E., Zajkowska, J.,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Flisiak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R., Mastalerz-Migas, A., Rosińska, M.,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Szenborn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L.,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Wdówik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P., &amp;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Walusiak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-Skorupa, J. (2021). Epidemiologia, diagnostyka i profilaktyka kleszczowego zapalenia mózgu w Polsce i wybranych krajach europejskich – stanowisko polskiej grupy ekspertów [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Epidemiology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diagnosis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and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prevention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of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tick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-borne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encephalitis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in Poland and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selected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European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countries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- a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position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statement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of the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Polish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group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of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experts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]. Medycyna pracy, 72(2), 193–210. </w:t>
      </w:r>
      <w:hyperlink r:id="rId12">
        <w:r w:rsidR="000E428C" w:rsidRPr="00282F5B">
          <w:rPr>
            <w:rFonts w:eastAsia="Georgia"/>
            <w:color w:val="auto"/>
            <w:kern w:val="0"/>
            <w:sz w:val="12"/>
            <w:szCs w:val="12"/>
            <w14:ligatures w14:val="none"/>
          </w:rPr>
          <w:t>https://doi.org/10.13075/mp.5893.01063</w:t>
        </w:r>
      </w:hyperlink>
      <w:hyperlink r:id="rId13">
        <w:r w:rsidR="000E428C" w:rsidRPr="00282F5B">
          <w:rPr>
            <w:sz w:val="12"/>
            <w:szCs w:val="12"/>
          </w:rPr>
          <w:t>[</w:t>
        </w:r>
      </w:hyperlink>
      <w:r w:rsidR="000E428C" w:rsidRPr="00282F5B">
        <w:rPr>
          <w:sz w:val="12"/>
          <w:szCs w:val="12"/>
        </w:rPr>
        <w:t>dostęp 15.03.2026</w:t>
      </w:r>
      <w:proofErr w:type="gramStart"/>
      <w:r w:rsidR="000E428C" w:rsidRPr="00282F5B">
        <w:rPr>
          <w:sz w:val="12"/>
          <w:szCs w:val="12"/>
        </w:rPr>
        <w:t>] .</w:t>
      </w:r>
      <w:proofErr w:type="gramEnd"/>
    </w:p>
    <w:p w14:paraId="29CABD18" w14:textId="607F00CB" w:rsidR="00712B5B" w:rsidRPr="00282F5B" w:rsidRDefault="00712B5B" w:rsidP="007617F7">
      <w:pPr>
        <w:pStyle w:val="footnotedescription"/>
        <w:spacing w:line="240" w:lineRule="auto"/>
        <w:jc w:val="both"/>
        <w:rPr>
          <w:sz w:val="12"/>
          <w:szCs w:val="12"/>
        </w:rPr>
      </w:pPr>
      <w:hyperlink r:id="rId14">
        <w:r w:rsidRPr="00282F5B">
          <w:rPr>
            <w:sz w:val="12"/>
            <w:szCs w:val="12"/>
          </w:rPr>
          <w:t>[</w:t>
        </w:r>
      </w:hyperlink>
      <w:r w:rsidRPr="00282F5B">
        <w:rPr>
          <w:sz w:val="12"/>
          <w:szCs w:val="12"/>
        </w:rPr>
        <w:t>dostęp 15.03.2026</w:t>
      </w:r>
      <w:proofErr w:type="gramStart"/>
      <w:r w:rsidRPr="00282F5B">
        <w:rPr>
          <w:sz w:val="12"/>
          <w:szCs w:val="12"/>
        </w:rPr>
        <w:t>] .</w:t>
      </w:r>
      <w:proofErr w:type="gramEnd"/>
    </w:p>
  </w:footnote>
  <w:footnote w:id="17">
    <w:p w14:paraId="61C512DD" w14:textId="77777777" w:rsidR="00712B5B" w:rsidRPr="007617F7" w:rsidRDefault="00712B5B" w:rsidP="007617F7">
      <w:pPr>
        <w:pStyle w:val="Tekstprzypisudolnego"/>
        <w:jc w:val="both"/>
        <w:rPr>
          <w:rFonts w:ascii="Calibri" w:hAnsi="Calibri" w:cs="Calibri"/>
          <w:sz w:val="12"/>
          <w:szCs w:val="12"/>
        </w:rPr>
      </w:pPr>
      <w:r w:rsidRPr="007617F7">
        <w:rPr>
          <w:rStyle w:val="Odwoanieprzypisudolnego"/>
          <w:rFonts w:ascii="Calibri" w:hAnsi="Calibri" w:cs="Calibri"/>
          <w:sz w:val="12"/>
          <w:szCs w:val="12"/>
        </w:rPr>
        <w:footnoteRef/>
      </w:r>
      <w:r w:rsidRPr="007617F7">
        <w:rPr>
          <w:rFonts w:ascii="Calibri" w:hAnsi="Calibri" w:cs="Calibri"/>
          <w:sz w:val="12"/>
          <w:szCs w:val="12"/>
        </w:rPr>
        <w:t xml:space="preserve"> </w:t>
      </w:r>
      <w:r w:rsidRPr="007617F7">
        <w:rPr>
          <w:rFonts w:ascii="Calibri" w:hAnsi="Calibri" w:cs="Calibri"/>
          <w:color w:val="222222"/>
          <w:sz w:val="12"/>
          <w:szCs w:val="12"/>
          <w:shd w:val="clear" w:color="auto" w:fill="FFFFFF"/>
        </w:rPr>
        <w:t>Zajkowska, J., &amp; Czupryna, P. (2013). Kleszczowe zapalenie mózgu–epidemiologia, patogeneza, obraz kliniczny, diagnostyka, profilaktyka i leczenie.</w:t>
      </w:r>
    </w:p>
  </w:footnote>
  <w:footnote w:id="18">
    <w:p w14:paraId="60719D9F" w14:textId="3C394E9E" w:rsidR="00712B5B" w:rsidRPr="007617F7" w:rsidRDefault="00712B5B" w:rsidP="007617F7">
      <w:pPr>
        <w:pStyle w:val="Tekstprzypisudolnego"/>
        <w:rPr>
          <w:rFonts w:ascii="Calibri" w:hAnsi="Calibri" w:cs="Calibri"/>
          <w:sz w:val="12"/>
          <w:szCs w:val="12"/>
          <w:lang w:val="en-US"/>
        </w:rPr>
      </w:pPr>
      <w:r w:rsidRPr="007617F7">
        <w:rPr>
          <w:rStyle w:val="Odwoanieprzypisudolnego"/>
          <w:rFonts w:ascii="Calibri" w:hAnsi="Calibri" w:cs="Calibri"/>
          <w:sz w:val="12"/>
          <w:szCs w:val="12"/>
        </w:rPr>
        <w:footnoteRef/>
      </w:r>
      <w:r w:rsidRPr="007617F7">
        <w:rPr>
          <w:rFonts w:ascii="Calibri" w:hAnsi="Calibri" w:cs="Calibri"/>
          <w:sz w:val="12"/>
          <w:szCs w:val="12"/>
          <w:lang w:val="en-US"/>
        </w:rPr>
        <w:t xml:space="preserve"> </w:t>
      </w:r>
      <w:r w:rsidR="007617F7" w:rsidRPr="007617F7">
        <w:rPr>
          <w:rFonts w:ascii="Calibri" w:hAnsi="Calibri" w:cs="Calibri"/>
          <w:sz w:val="12"/>
          <w:szCs w:val="12"/>
          <w:lang w:val="en-US"/>
        </w:rPr>
        <w:t>European Centre for Disease Prevention and Control, Factsheet about Borreliosis, https://www.ecdc.europa.eu/en/borreliosis/facts/factsheet (</w:t>
      </w:r>
      <w:proofErr w:type="spellStart"/>
      <w:r w:rsidR="007617F7" w:rsidRPr="007617F7">
        <w:rPr>
          <w:rFonts w:ascii="Calibri" w:hAnsi="Calibri" w:cs="Calibri"/>
          <w:sz w:val="12"/>
          <w:szCs w:val="12"/>
          <w:lang w:val="en-US"/>
        </w:rPr>
        <w:t>dostęp</w:t>
      </w:r>
      <w:proofErr w:type="spellEnd"/>
      <w:r w:rsidR="007617F7" w:rsidRPr="007617F7">
        <w:rPr>
          <w:rFonts w:ascii="Calibri" w:hAnsi="Calibri" w:cs="Calibri"/>
          <w:sz w:val="12"/>
          <w:szCs w:val="12"/>
          <w:lang w:val="en-US"/>
        </w:rPr>
        <w:t>: 04.2026)</w:t>
      </w:r>
    </w:p>
  </w:footnote>
  <w:footnote w:id="19">
    <w:p w14:paraId="01B8C7D7" w14:textId="2BF6F59D" w:rsidR="00712B5B" w:rsidRPr="007617F7" w:rsidRDefault="00712B5B" w:rsidP="007617F7">
      <w:pPr>
        <w:pStyle w:val="Tekstprzypisudolnego"/>
        <w:rPr>
          <w:rFonts w:ascii="Calibri" w:hAnsi="Calibri" w:cs="Calibri"/>
          <w:sz w:val="12"/>
          <w:szCs w:val="12"/>
          <w:lang w:val="en-US"/>
        </w:rPr>
      </w:pPr>
      <w:r w:rsidRPr="007617F7">
        <w:rPr>
          <w:rStyle w:val="Odwoanieprzypisudolnego"/>
          <w:rFonts w:ascii="Calibri" w:hAnsi="Calibri" w:cs="Calibri"/>
          <w:sz w:val="12"/>
          <w:szCs w:val="12"/>
        </w:rPr>
        <w:footnoteRef/>
      </w:r>
      <w:r w:rsidRPr="007617F7">
        <w:rPr>
          <w:rFonts w:ascii="Calibri" w:hAnsi="Calibri" w:cs="Calibri"/>
          <w:sz w:val="12"/>
          <w:szCs w:val="12"/>
          <w:lang w:val="en-US"/>
        </w:rPr>
        <w:t xml:space="preserve"> </w:t>
      </w:r>
      <w:r w:rsidR="007617F7" w:rsidRPr="007617F7">
        <w:rPr>
          <w:rFonts w:ascii="Calibri" w:hAnsi="Calibri" w:cs="Calibri"/>
          <w:sz w:val="12"/>
          <w:szCs w:val="12"/>
          <w:lang w:val="en-US"/>
        </w:rPr>
        <w:t>European Centre for Disease Prevention and Control, Factsheet about Borreliosis, https://www.ecdc.europa.eu/en/borreliosis/facts/factsheet (</w:t>
      </w:r>
      <w:proofErr w:type="spellStart"/>
      <w:r w:rsidR="007617F7" w:rsidRPr="007617F7">
        <w:rPr>
          <w:rFonts w:ascii="Calibri" w:hAnsi="Calibri" w:cs="Calibri"/>
          <w:sz w:val="12"/>
          <w:szCs w:val="12"/>
          <w:lang w:val="en-US"/>
        </w:rPr>
        <w:t>dostęp</w:t>
      </w:r>
      <w:proofErr w:type="spellEnd"/>
      <w:r w:rsidR="007617F7" w:rsidRPr="007617F7">
        <w:rPr>
          <w:rFonts w:ascii="Calibri" w:hAnsi="Calibri" w:cs="Calibri"/>
          <w:sz w:val="12"/>
          <w:szCs w:val="12"/>
          <w:lang w:val="en-US"/>
        </w:rPr>
        <w:t>: 04.2026)</w:t>
      </w:r>
    </w:p>
  </w:footnote>
  <w:footnote w:id="20">
    <w:p w14:paraId="0369AD70" w14:textId="77777777" w:rsidR="000E428C" w:rsidRPr="007617F7" w:rsidRDefault="00712B5B" w:rsidP="007617F7">
      <w:pPr>
        <w:pStyle w:val="footnotedescription"/>
        <w:spacing w:line="240" w:lineRule="auto"/>
        <w:jc w:val="both"/>
        <w:rPr>
          <w:sz w:val="12"/>
          <w:szCs w:val="12"/>
          <w:lang w:val="en-US"/>
        </w:rPr>
      </w:pPr>
      <w:r w:rsidRPr="007617F7">
        <w:rPr>
          <w:rStyle w:val="Odwoanieprzypisudolnego"/>
          <w:sz w:val="12"/>
          <w:szCs w:val="12"/>
        </w:rPr>
        <w:footnoteRef/>
      </w:r>
      <w:r w:rsidRPr="00282F5B">
        <w:rPr>
          <w:sz w:val="12"/>
          <w:szCs w:val="12"/>
        </w:rPr>
        <w:t xml:space="preserve"> </w:t>
      </w:r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Kuchar, E., Zajkowska, J.,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Flisiak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R., Mastalerz-Migas, A., Rosińska, M.,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Szenborn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L.,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Wdówik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P., &amp;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Walusiak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-Skorupa, J. (2021). Epidemiologia, diagnostyka i profilaktyka kleszczowego zapalenia mózgu w Polsce i wybranych krajach europejskich – stanowisko polskiej grupy ekspertów [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Epidemiology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diagnosis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and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prevention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of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tick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-borne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encephalitis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in Poland and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selected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European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countries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- a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position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statement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of the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Polish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group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of </w:t>
      </w:r>
      <w:proofErr w:type="spellStart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experts</w:t>
      </w:r>
      <w:proofErr w:type="spellEnd"/>
      <w:r w:rsidR="000E428C" w:rsidRPr="00282F5B">
        <w:rPr>
          <w:rFonts w:eastAsia="Georgia"/>
          <w:color w:val="auto"/>
          <w:kern w:val="0"/>
          <w:sz w:val="12"/>
          <w:szCs w:val="12"/>
          <w14:ligatures w14:val="none"/>
        </w:rPr>
        <w:t>]. </w:t>
      </w:r>
      <w:proofErr w:type="spellStart"/>
      <w:r w:rsidR="000E428C" w:rsidRPr="007617F7">
        <w:rPr>
          <w:rFonts w:eastAsia="Georgia"/>
          <w:color w:val="auto"/>
          <w:kern w:val="0"/>
          <w:sz w:val="12"/>
          <w:szCs w:val="12"/>
          <w:lang w:val="en-US"/>
          <w14:ligatures w14:val="none"/>
        </w:rPr>
        <w:t>Medycyna</w:t>
      </w:r>
      <w:proofErr w:type="spellEnd"/>
      <w:r w:rsidR="000E428C" w:rsidRPr="007617F7">
        <w:rPr>
          <w:rFonts w:eastAsia="Georgia"/>
          <w:color w:val="auto"/>
          <w:kern w:val="0"/>
          <w:sz w:val="12"/>
          <w:szCs w:val="12"/>
          <w:lang w:val="en-US"/>
          <w14:ligatures w14:val="none"/>
        </w:rPr>
        <w:t xml:space="preserve"> </w:t>
      </w:r>
      <w:proofErr w:type="spellStart"/>
      <w:r w:rsidR="000E428C" w:rsidRPr="007617F7">
        <w:rPr>
          <w:rFonts w:eastAsia="Georgia"/>
          <w:color w:val="auto"/>
          <w:kern w:val="0"/>
          <w:sz w:val="12"/>
          <w:szCs w:val="12"/>
          <w:lang w:val="en-US"/>
          <w14:ligatures w14:val="none"/>
        </w:rPr>
        <w:t>pracy</w:t>
      </w:r>
      <w:proofErr w:type="spellEnd"/>
      <w:r w:rsidR="000E428C" w:rsidRPr="007617F7">
        <w:rPr>
          <w:rFonts w:eastAsia="Georgia"/>
          <w:color w:val="auto"/>
          <w:kern w:val="0"/>
          <w:sz w:val="12"/>
          <w:szCs w:val="12"/>
          <w:lang w:val="en-US"/>
          <w14:ligatures w14:val="none"/>
        </w:rPr>
        <w:t xml:space="preserve">, 72(2), 193–210. </w:t>
      </w:r>
      <w:hyperlink r:id="rId15">
        <w:r w:rsidR="000E428C" w:rsidRPr="007617F7">
          <w:rPr>
            <w:rFonts w:eastAsia="Georgia"/>
            <w:color w:val="auto"/>
            <w:kern w:val="0"/>
            <w:sz w:val="12"/>
            <w:szCs w:val="12"/>
            <w:lang w:val="en-US"/>
            <w14:ligatures w14:val="none"/>
          </w:rPr>
          <w:t>https://doi.org/10.13075/mp.5893.01063</w:t>
        </w:r>
      </w:hyperlink>
      <w:hyperlink r:id="rId16">
        <w:r w:rsidR="000E428C" w:rsidRPr="007617F7">
          <w:rPr>
            <w:sz w:val="12"/>
            <w:szCs w:val="12"/>
            <w:lang w:val="en-US"/>
          </w:rPr>
          <w:t>[</w:t>
        </w:r>
      </w:hyperlink>
      <w:r w:rsidR="000E428C" w:rsidRPr="007617F7">
        <w:rPr>
          <w:sz w:val="12"/>
          <w:szCs w:val="12"/>
          <w:lang w:val="en-US"/>
        </w:rPr>
        <w:t>dostęp 15.03.2026</w:t>
      </w:r>
      <w:proofErr w:type="gramStart"/>
      <w:r w:rsidR="000E428C" w:rsidRPr="007617F7">
        <w:rPr>
          <w:sz w:val="12"/>
          <w:szCs w:val="12"/>
          <w:lang w:val="en-US"/>
        </w:rPr>
        <w:t>] .</w:t>
      </w:r>
      <w:proofErr w:type="gramEnd"/>
    </w:p>
    <w:p w14:paraId="60D4C0A4" w14:textId="082F5F48" w:rsidR="00712B5B" w:rsidRPr="007617F7" w:rsidRDefault="00712B5B" w:rsidP="007617F7">
      <w:pPr>
        <w:pStyle w:val="footnotedescription"/>
        <w:spacing w:line="240" w:lineRule="auto"/>
        <w:jc w:val="both"/>
        <w:rPr>
          <w:sz w:val="12"/>
          <w:szCs w:val="12"/>
          <w:lang w:val="en-US"/>
        </w:rPr>
      </w:pPr>
      <w:hyperlink r:id="rId17">
        <w:r w:rsidRPr="007617F7">
          <w:rPr>
            <w:sz w:val="12"/>
            <w:szCs w:val="12"/>
            <w:lang w:val="en-US"/>
          </w:rPr>
          <w:t xml:space="preserve"> </w:t>
        </w:r>
      </w:hyperlink>
      <w:hyperlink r:id="rId18">
        <w:r w:rsidRPr="007617F7">
          <w:rPr>
            <w:sz w:val="12"/>
            <w:szCs w:val="12"/>
            <w:lang w:val="en-US"/>
          </w:rPr>
          <w:t>[</w:t>
        </w:r>
        <w:proofErr w:type="spellStart"/>
      </w:hyperlink>
      <w:r w:rsidRPr="007617F7">
        <w:rPr>
          <w:sz w:val="12"/>
          <w:szCs w:val="12"/>
          <w:lang w:val="en-US"/>
        </w:rPr>
        <w:t>dostęp</w:t>
      </w:r>
      <w:proofErr w:type="spellEnd"/>
      <w:r w:rsidRPr="007617F7">
        <w:rPr>
          <w:sz w:val="12"/>
          <w:szCs w:val="12"/>
          <w:lang w:val="en-US"/>
        </w:rPr>
        <w:t xml:space="preserve"> 15.03.2026</w:t>
      </w:r>
      <w:proofErr w:type="gramStart"/>
      <w:r w:rsidRPr="007617F7">
        <w:rPr>
          <w:sz w:val="12"/>
          <w:szCs w:val="12"/>
          <w:lang w:val="en-US"/>
        </w:rPr>
        <w:t>] .</w:t>
      </w:r>
      <w:proofErr w:type="gramEnd"/>
    </w:p>
  </w:footnote>
  <w:footnote w:id="21">
    <w:p w14:paraId="5CEF423F" w14:textId="10CD3856" w:rsidR="00712B5B" w:rsidRPr="007617F7" w:rsidRDefault="00712B5B" w:rsidP="007617F7">
      <w:pPr>
        <w:pStyle w:val="Tekstprzypisudolnego"/>
        <w:rPr>
          <w:rFonts w:ascii="Calibri" w:hAnsi="Calibri" w:cs="Calibri"/>
          <w:sz w:val="12"/>
          <w:szCs w:val="12"/>
          <w:lang w:val="en-US"/>
        </w:rPr>
      </w:pPr>
      <w:r w:rsidRPr="007617F7">
        <w:rPr>
          <w:rStyle w:val="Odwoanieprzypisudolnego"/>
          <w:rFonts w:ascii="Calibri" w:hAnsi="Calibri" w:cs="Calibri"/>
          <w:sz w:val="12"/>
          <w:szCs w:val="12"/>
        </w:rPr>
        <w:footnoteRef/>
      </w:r>
      <w:r w:rsidRPr="007617F7">
        <w:rPr>
          <w:rFonts w:ascii="Calibri" w:hAnsi="Calibri" w:cs="Calibri"/>
          <w:sz w:val="12"/>
          <w:szCs w:val="12"/>
          <w:lang w:val="en-US"/>
        </w:rPr>
        <w:t xml:space="preserve"> </w:t>
      </w:r>
      <w:r w:rsidR="007617F7" w:rsidRPr="007617F7">
        <w:rPr>
          <w:rFonts w:ascii="Calibri" w:hAnsi="Calibri" w:cs="Calibri"/>
          <w:sz w:val="12"/>
          <w:szCs w:val="12"/>
          <w:lang w:val="en-US"/>
        </w:rPr>
        <w:t>European Centre for Disease Prevention and Control, Factsheet about Borreliosis, https://www.ecdc.europa.eu/en/borreliosis/facts/factsheet (</w:t>
      </w:r>
      <w:proofErr w:type="spellStart"/>
      <w:r w:rsidR="007617F7" w:rsidRPr="007617F7">
        <w:rPr>
          <w:rFonts w:ascii="Calibri" w:hAnsi="Calibri" w:cs="Calibri"/>
          <w:sz w:val="12"/>
          <w:szCs w:val="12"/>
          <w:lang w:val="en-US"/>
        </w:rPr>
        <w:t>dostęp</w:t>
      </w:r>
      <w:proofErr w:type="spellEnd"/>
      <w:r w:rsidR="007617F7" w:rsidRPr="007617F7">
        <w:rPr>
          <w:rFonts w:ascii="Calibri" w:hAnsi="Calibri" w:cs="Calibri"/>
          <w:sz w:val="12"/>
          <w:szCs w:val="12"/>
          <w:lang w:val="en-US"/>
        </w:rPr>
        <w:t>: 04.2026)</w:t>
      </w:r>
    </w:p>
  </w:footnote>
  <w:footnote w:id="22">
    <w:p w14:paraId="61CD4F97" w14:textId="77777777" w:rsidR="00712B5B" w:rsidRPr="007617F7" w:rsidRDefault="00712B5B" w:rsidP="007617F7">
      <w:pPr>
        <w:pStyle w:val="footnotedescription"/>
        <w:spacing w:line="240" w:lineRule="auto"/>
        <w:jc w:val="both"/>
        <w:rPr>
          <w:sz w:val="12"/>
          <w:szCs w:val="12"/>
          <w:lang w:val="en-US"/>
        </w:rPr>
      </w:pPr>
      <w:r w:rsidRPr="007617F7">
        <w:rPr>
          <w:rStyle w:val="Odwoanieprzypisudolnego"/>
          <w:sz w:val="12"/>
          <w:szCs w:val="12"/>
        </w:rPr>
        <w:footnoteRef/>
      </w:r>
      <w:r w:rsidRPr="007617F7">
        <w:rPr>
          <w:sz w:val="12"/>
          <w:szCs w:val="12"/>
          <w:lang w:val="en-US"/>
        </w:rPr>
        <w:t xml:space="preserve"> Travel Health Pro. Diseases </w:t>
      </w:r>
      <w:proofErr w:type="gramStart"/>
      <w:r w:rsidRPr="007617F7">
        <w:rPr>
          <w:sz w:val="12"/>
          <w:szCs w:val="12"/>
          <w:lang w:val="en-US"/>
        </w:rPr>
        <w:t>In</w:t>
      </w:r>
      <w:proofErr w:type="gramEnd"/>
      <w:r w:rsidRPr="007617F7">
        <w:rPr>
          <w:sz w:val="12"/>
          <w:szCs w:val="12"/>
          <w:lang w:val="en-US"/>
        </w:rPr>
        <w:t xml:space="preserve"> Brief. Tick-borne Approximately encephalitis. Jan 2021 (v1.0) - Wear light </w:t>
      </w:r>
      <w:proofErr w:type="spellStart"/>
      <w:r w:rsidRPr="007617F7">
        <w:rPr>
          <w:sz w:val="12"/>
          <w:szCs w:val="12"/>
          <w:lang w:val="en-US"/>
        </w:rPr>
        <w:t>coloured</w:t>
      </w:r>
      <w:proofErr w:type="spellEnd"/>
    </w:p>
    <w:p w14:paraId="1C73327E" w14:textId="77777777" w:rsidR="00712B5B" w:rsidRPr="007617F7" w:rsidRDefault="00712B5B" w:rsidP="007617F7">
      <w:pPr>
        <w:pStyle w:val="footnotedescription"/>
        <w:spacing w:line="240" w:lineRule="auto"/>
        <w:jc w:val="both"/>
        <w:rPr>
          <w:sz w:val="12"/>
          <w:szCs w:val="12"/>
          <w:lang w:val="en-US"/>
        </w:rPr>
      </w:pPr>
      <w:r w:rsidRPr="007617F7">
        <w:rPr>
          <w:sz w:val="12"/>
          <w:szCs w:val="12"/>
          <w:lang w:val="en-US"/>
        </w:rPr>
        <w:t>clothing (p.1)</w:t>
      </w:r>
    </w:p>
  </w:footnote>
  <w:footnote w:id="23">
    <w:p w14:paraId="0A64CF10" w14:textId="02F1E836" w:rsidR="00712B5B" w:rsidRPr="00282F5B" w:rsidRDefault="00712B5B" w:rsidP="007617F7">
      <w:pPr>
        <w:jc w:val="both"/>
        <w:rPr>
          <w:rFonts w:ascii="Calibri" w:hAnsi="Calibri" w:cs="Calibri"/>
          <w:sz w:val="12"/>
          <w:szCs w:val="12"/>
          <w:lang w:val="en-US"/>
        </w:rPr>
      </w:pPr>
      <w:r w:rsidRPr="007617F7">
        <w:rPr>
          <w:rStyle w:val="Odwoanieprzypisudolnego"/>
          <w:rFonts w:ascii="Calibri" w:hAnsi="Calibri" w:cs="Calibri"/>
          <w:sz w:val="12"/>
          <w:szCs w:val="12"/>
        </w:rPr>
        <w:footnoteRef/>
      </w:r>
      <w:r w:rsidRPr="007617F7">
        <w:rPr>
          <w:rFonts w:ascii="Calibri" w:hAnsi="Calibri" w:cs="Calibri"/>
          <w:sz w:val="12"/>
          <w:szCs w:val="12"/>
          <w:lang w:val="en-US"/>
        </w:rPr>
        <w:t xml:space="preserve"> </w:t>
      </w:r>
      <w:r w:rsidR="007617F7" w:rsidRPr="007617F7">
        <w:rPr>
          <w:rFonts w:ascii="Calibri" w:hAnsi="Calibri" w:cs="Calibri"/>
          <w:sz w:val="12"/>
          <w:szCs w:val="12"/>
          <w:lang w:val="en-US"/>
        </w:rPr>
        <w:t>European Centre for Disease Prevention and Control. Factsheet about tick-borne encephalitis.</w:t>
      </w:r>
      <w:r w:rsidR="007617F7" w:rsidRPr="00282F5B">
        <w:rPr>
          <w:sz w:val="12"/>
          <w:szCs w:val="12"/>
          <w:lang w:val="en-US"/>
        </w:rPr>
        <w:t xml:space="preserve"> </w:t>
      </w:r>
      <w:r w:rsidR="007617F7" w:rsidRPr="007617F7">
        <w:rPr>
          <w:rFonts w:ascii="Calibri" w:hAnsi="Calibri" w:cs="Calibri"/>
          <w:sz w:val="12"/>
          <w:szCs w:val="12"/>
          <w:lang w:val="en-US"/>
        </w:rPr>
        <w:t>https://www.ecdc.europa.eu/en/tick-borne-encephalitis (</w:t>
      </w:r>
      <w:proofErr w:type="spellStart"/>
      <w:r w:rsidR="007617F7" w:rsidRPr="007617F7">
        <w:rPr>
          <w:rFonts w:ascii="Calibri" w:hAnsi="Calibri" w:cs="Calibri"/>
          <w:sz w:val="12"/>
          <w:szCs w:val="12"/>
          <w:lang w:val="en-US"/>
        </w:rPr>
        <w:t>dostęp</w:t>
      </w:r>
      <w:proofErr w:type="spellEnd"/>
      <w:r w:rsidR="007617F7" w:rsidRPr="007617F7">
        <w:rPr>
          <w:rFonts w:ascii="Calibri" w:hAnsi="Calibri" w:cs="Calibri"/>
          <w:sz w:val="12"/>
          <w:szCs w:val="12"/>
          <w:lang w:val="en-US"/>
        </w:rPr>
        <w:t>: 04.2026)</w:t>
      </w:r>
    </w:p>
  </w:footnote>
  <w:footnote w:id="24">
    <w:p w14:paraId="586850A2" w14:textId="77777777" w:rsidR="00712B5B" w:rsidRPr="007617F7" w:rsidRDefault="00712B5B" w:rsidP="007617F7">
      <w:pPr>
        <w:jc w:val="both"/>
        <w:rPr>
          <w:rFonts w:ascii="Calibri" w:hAnsi="Calibri" w:cs="Calibri"/>
          <w:sz w:val="12"/>
          <w:szCs w:val="12"/>
        </w:rPr>
      </w:pPr>
      <w:r w:rsidRPr="007617F7">
        <w:rPr>
          <w:rStyle w:val="Odwoanieprzypisudolnego"/>
          <w:rFonts w:ascii="Calibri" w:hAnsi="Calibri" w:cs="Calibri"/>
          <w:sz w:val="12"/>
          <w:szCs w:val="12"/>
        </w:rPr>
        <w:footnoteRef/>
      </w:r>
      <w:r w:rsidRPr="007617F7">
        <w:rPr>
          <w:rFonts w:ascii="Calibri" w:hAnsi="Calibri" w:cs="Calibri"/>
          <w:sz w:val="12"/>
          <w:szCs w:val="12"/>
        </w:rPr>
        <w:t xml:space="preserve"> Narodowy Instytut Zdrowia Publicznego PZH – Państwowy Instytut Badawczy, „Kleszczowe zapalenie mózgu – informacje o szczepieniach”, </w:t>
      </w:r>
      <w:hyperlink r:id="rId19" w:history="1">
        <w:r w:rsidRPr="007617F7">
          <w:rPr>
            <w:rStyle w:val="Hipercze"/>
            <w:rFonts w:ascii="Calibri" w:hAnsi="Calibri" w:cs="Calibri"/>
            <w:sz w:val="12"/>
            <w:szCs w:val="12"/>
          </w:rPr>
          <w:t>szczepienia.pzh.gov.pl</w:t>
        </w:r>
      </w:hyperlink>
      <w:r w:rsidRPr="007617F7">
        <w:rPr>
          <w:rFonts w:ascii="Calibri" w:hAnsi="Calibri" w:cs="Calibri"/>
          <w:sz w:val="12"/>
          <w:szCs w:val="12"/>
        </w:rPr>
        <w:t xml:space="preserve"> (dostęp: 04.2026).</w:t>
      </w:r>
    </w:p>
  </w:footnote>
  <w:footnote w:id="25">
    <w:p w14:paraId="34EA3D0E" w14:textId="15660CA7" w:rsidR="00712B5B" w:rsidRPr="000E428C" w:rsidRDefault="00712B5B" w:rsidP="007617F7">
      <w:pPr>
        <w:pStyle w:val="Tekstprzypisudolnego"/>
        <w:rPr>
          <w:rFonts w:ascii="Calibri" w:hAnsi="Calibri" w:cs="Calibri"/>
          <w:sz w:val="12"/>
          <w:szCs w:val="12"/>
        </w:rPr>
      </w:pPr>
      <w:r w:rsidRPr="007617F7">
        <w:rPr>
          <w:rStyle w:val="Odwoanieprzypisudolnego"/>
          <w:rFonts w:ascii="Calibri" w:hAnsi="Calibri" w:cs="Calibri"/>
          <w:sz w:val="12"/>
          <w:szCs w:val="12"/>
        </w:rPr>
        <w:footnoteRef/>
      </w:r>
      <w:r w:rsidRPr="007617F7">
        <w:rPr>
          <w:rFonts w:ascii="Calibri" w:hAnsi="Calibri" w:cs="Calibri"/>
          <w:sz w:val="12"/>
          <w:szCs w:val="12"/>
        </w:rPr>
        <w:t xml:space="preserve"> Ministerstwo Zdrowia.</w:t>
      </w:r>
      <w:r w:rsidR="007617F7" w:rsidRPr="007617F7">
        <w:rPr>
          <w:rFonts w:ascii="Calibri" w:hAnsi="Calibri" w:cs="Calibri"/>
          <w:sz w:val="12"/>
          <w:szCs w:val="12"/>
        </w:rPr>
        <w:t xml:space="preserve"> </w:t>
      </w:r>
      <w:r w:rsidRPr="007617F7">
        <w:rPr>
          <w:rFonts w:ascii="Calibri" w:hAnsi="Calibri" w:cs="Calibri"/>
          <w:sz w:val="12"/>
          <w:szCs w:val="12"/>
        </w:rPr>
        <w:t xml:space="preserve">Komunikat w sprawie zmian preskrypcji produktów umieszczonych na bezpłatnych wykazach dedykowanych pacjentom do ukończenia 18. roku życia oraz po ukończeniu 65. roku życia. Dostępne online: </w:t>
      </w:r>
      <w:hyperlink r:id="rId20" w:history="1">
        <w:r w:rsidRPr="007617F7">
          <w:rPr>
            <w:rStyle w:val="Hipercze"/>
            <w:rFonts w:ascii="Calibri" w:hAnsi="Calibri" w:cs="Calibri"/>
            <w:sz w:val="12"/>
            <w:szCs w:val="12"/>
          </w:rPr>
          <w:t>https://www.gov.pl/web/zdrowie/komunikat-ws-zmian-preskrypcji-produktow-umieszczonych-na-bezplatnych-wykazach-dedykowanych-pacjentom-do-ukonczenia-18-roku-zycia-oraz-po-ukonczeniu-65-rz</w:t>
        </w:r>
      </w:hyperlink>
      <w:r w:rsidRPr="000E428C">
        <w:rPr>
          <w:rFonts w:ascii="Calibri" w:hAnsi="Calibri" w:cs="Calibri"/>
          <w:sz w:val="12"/>
          <w:szCs w:val="12"/>
        </w:rPr>
        <w:t xml:space="preserve"> (data dostępu: 15.03.2026).</w:t>
      </w:r>
    </w:p>
  </w:footnote>
  <w:footnote w:id="26">
    <w:p w14:paraId="5CD50FF6" w14:textId="77777777" w:rsidR="000E428C" w:rsidRPr="00282F5B" w:rsidRDefault="000E428C" w:rsidP="000E428C">
      <w:pPr>
        <w:pStyle w:val="Tekstprzypisudolnego"/>
        <w:rPr>
          <w:sz w:val="12"/>
          <w:szCs w:val="12"/>
        </w:rPr>
      </w:pPr>
      <w:r w:rsidRPr="007617F7">
        <w:rPr>
          <w:rFonts w:asciiTheme="minorHAnsi" w:eastAsia="Calibri" w:hAnsiTheme="minorHAnsi" w:cstheme="minorHAnsi"/>
          <w:color w:val="212121"/>
          <w:sz w:val="12"/>
          <w:szCs w:val="12"/>
          <w:highlight w:val="white"/>
          <w:vertAlign w:val="superscript"/>
          <w:lang w:eastAsia="en-US"/>
        </w:rPr>
        <w:footnoteRef/>
      </w:r>
      <w:r w:rsidRPr="007617F7">
        <w:rPr>
          <w:rFonts w:asciiTheme="minorHAnsi" w:eastAsia="Calibri" w:hAnsiTheme="minorHAnsi" w:cstheme="minorHAnsi"/>
          <w:color w:val="212121"/>
          <w:sz w:val="12"/>
          <w:szCs w:val="12"/>
          <w:highlight w:val="white"/>
          <w:vertAlign w:val="superscript"/>
          <w:lang w:val="en-US" w:eastAsia="en-US"/>
        </w:rPr>
        <w:t xml:space="preserve"> </w:t>
      </w:r>
      <w:r w:rsidRPr="007617F7">
        <w:rPr>
          <w:rFonts w:asciiTheme="minorHAnsi" w:eastAsia="Calibri" w:hAnsiTheme="minorHAnsi" w:cstheme="minorHAnsi"/>
          <w:color w:val="212121"/>
          <w:sz w:val="12"/>
          <w:szCs w:val="12"/>
          <w:highlight w:val="white"/>
          <w:lang w:val="en-US" w:eastAsia="en-US"/>
        </w:rPr>
        <w:t xml:space="preserve">Heinz FX </w:t>
      </w:r>
      <w:proofErr w:type="gramStart"/>
      <w:r w:rsidRPr="007617F7">
        <w:rPr>
          <w:rFonts w:asciiTheme="minorHAnsi" w:eastAsia="Calibri" w:hAnsiTheme="minorHAnsi" w:cstheme="minorHAnsi"/>
          <w:color w:val="212121"/>
          <w:sz w:val="12"/>
          <w:szCs w:val="12"/>
          <w:highlight w:val="white"/>
          <w:lang w:val="en-US" w:eastAsia="en-US"/>
        </w:rPr>
        <w:t xml:space="preserve">et </w:t>
      </w:r>
      <w:proofErr w:type="spellStart"/>
      <w:r w:rsidRPr="007617F7">
        <w:rPr>
          <w:rFonts w:asciiTheme="minorHAnsi" w:eastAsia="Calibri" w:hAnsiTheme="minorHAnsi" w:cstheme="minorHAnsi"/>
          <w:color w:val="212121"/>
          <w:sz w:val="12"/>
          <w:szCs w:val="12"/>
          <w:highlight w:val="white"/>
          <w:lang w:val="en-US" w:eastAsia="en-US"/>
        </w:rPr>
        <w:t>al.:Field</w:t>
      </w:r>
      <w:proofErr w:type="spellEnd"/>
      <w:proofErr w:type="gramEnd"/>
      <w:r w:rsidRPr="007617F7">
        <w:rPr>
          <w:rFonts w:asciiTheme="minorHAnsi" w:eastAsia="Calibri" w:hAnsiTheme="minorHAnsi" w:cstheme="minorHAnsi"/>
          <w:color w:val="212121"/>
          <w:sz w:val="12"/>
          <w:szCs w:val="12"/>
          <w:highlight w:val="white"/>
          <w:lang w:val="en-US" w:eastAsia="en-US"/>
        </w:rPr>
        <w:t xml:space="preserve"> effectiveness of vaccination against tick-borne encephalitis. </w:t>
      </w:r>
      <w:proofErr w:type="spellStart"/>
      <w:r w:rsidRPr="00282F5B">
        <w:rPr>
          <w:rFonts w:asciiTheme="minorHAnsi" w:eastAsia="Calibri" w:hAnsiTheme="minorHAnsi" w:cstheme="minorHAnsi"/>
          <w:color w:val="212121"/>
          <w:sz w:val="12"/>
          <w:szCs w:val="12"/>
          <w:highlight w:val="white"/>
          <w:lang w:eastAsia="en-US"/>
        </w:rPr>
        <w:t>Vaccine</w:t>
      </w:r>
      <w:proofErr w:type="spellEnd"/>
      <w:r w:rsidRPr="00282F5B">
        <w:rPr>
          <w:rFonts w:asciiTheme="minorHAnsi" w:eastAsia="Calibri" w:hAnsiTheme="minorHAnsi" w:cstheme="minorHAnsi"/>
          <w:color w:val="212121"/>
          <w:sz w:val="12"/>
          <w:szCs w:val="12"/>
          <w:highlight w:val="white"/>
          <w:lang w:eastAsia="en-US"/>
        </w:rPr>
        <w:t xml:space="preserve">. 2007 </w:t>
      </w:r>
      <w:proofErr w:type="spellStart"/>
      <w:r w:rsidRPr="00282F5B">
        <w:rPr>
          <w:rFonts w:asciiTheme="minorHAnsi" w:eastAsia="Calibri" w:hAnsiTheme="minorHAnsi" w:cstheme="minorHAnsi"/>
          <w:color w:val="212121"/>
          <w:sz w:val="12"/>
          <w:szCs w:val="12"/>
          <w:highlight w:val="white"/>
          <w:lang w:eastAsia="en-US"/>
        </w:rPr>
        <w:t>Oct</w:t>
      </w:r>
      <w:proofErr w:type="spellEnd"/>
      <w:r w:rsidRPr="00282F5B">
        <w:rPr>
          <w:rFonts w:asciiTheme="minorHAnsi" w:eastAsia="Calibri" w:hAnsiTheme="minorHAnsi" w:cstheme="minorHAnsi"/>
          <w:color w:val="212121"/>
          <w:sz w:val="12"/>
          <w:szCs w:val="12"/>
          <w:highlight w:val="white"/>
          <w:lang w:eastAsia="en-US"/>
        </w:rPr>
        <w:t xml:space="preserve"> 23;25(43):7559-67</w:t>
      </w:r>
    </w:p>
  </w:footnote>
  <w:footnote w:id="27">
    <w:p w14:paraId="193512A3" w14:textId="77777777" w:rsidR="00712B5B" w:rsidRDefault="00712B5B" w:rsidP="00712B5B">
      <w:pPr>
        <w:pStyle w:val="Tekstprzypisudolnego"/>
      </w:pPr>
      <w:r w:rsidRPr="0031379A">
        <w:rPr>
          <w:rStyle w:val="Odwoanieprzypisudolnego"/>
          <w:rFonts w:ascii="Calibri" w:hAnsi="Calibri" w:cs="Calibri"/>
          <w:sz w:val="12"/>
          <w:szCs w:val="12"/>
        </w:rPr>
        <w:footnoteRef/>
      </w:r>
      <w:r w:rsidRPr="0031379A">
        <w:rPr>
          <w:rFonts w:ascii="Calibri" w:hAnsi="Calibri" w:cs="Calibri"/>
          <w:sz w:val="12"/>
          <w:szCs w:val="12"/>
        </w:rPr>
        <w:t xml:space="preserve"> Ministerstwo </w:t>
      </w:r>
      <w:proofErr w:type="spellStart"/>
      <w:r w:rsidRPr="0031379A">
        <w:rPr>
          <w:rFonts w:ascii="Calibri" w:hAnsi="Calibri" w:cs="Calibri"/>
          <w:sz w:val="12"/>
          <w:szCs w:val="12"/>
        </w:rPr>
        <w:t>Zdrowia.Komunikat</w:t>
      </w:r>
      <w:proofErr w:type="spellEnd"/>
      <w:r w:rsidRPr="0031379A">
        <w:rPr>
          <w:rFonts w:ascii="Calibri" w:hAnsi="Calibri" w:cs="Calibri"/>
          <w:sz w:val="12"/>
          <w:szCs w:val="12"/>
        </w:rPr>
        <w:t xml:space="preserve"> w sprawie zmian preskrypcji produktów umieszczonych na bezpłatnych wykazach dedykowanych pacjentom do ukończenia 18. roku życia oraz po ukończeniu 65. roku życia. Dostępne online: </w:t>
      </w:r>
      <w:hyperlink r:id="rId21" w:history="1">
        <w:r w:rsidRPr="0031379A">
          <w:rPr>
            <w:rStyle w:val="Hipercze"/>
            <w:rFonts w:ascii="Calibri" w:hAnsi="Calibri" w:cs="Calibri"/>
            <w:sz w:val="12"/>
            <w:szCs w:val="12"/>
          </w:rPr>
          <w:t>https://www.gov.pl/web/zdrowie/komunikat-ws-zmian-preskrypcji-produktow-umieszczonych-na-bezplatnych-wykazach-dedykowanych-pacjentom-do-ukonczenia-18-roku-zycia-oraz-po-ukonczeniu-65-rz</w:t>
        </w:r>
      </w:hyperlink>
      <w:r w:rsidRPr="0031379A">
        <w:rPr>
          <w:rFonts w:ascii="Calibri" w:hAnsi="Calibri" w:cs="Calibri"/>
          <w:sz w:val="12"/>
          <w:szCs w:val="12"/>
        </w:rPr>
        <w:t xml:space="preserve"> (data dostępu: 15.03.2026).</w:t>
      </w:r>
    </w:p>
  </w:footnote>
  <w:footnote w:id="28">
    <w:p w14:paraId="2418B4CF" w14:textId="71FB1ECF" w:rsidR="00712B5B" w:rsidRPr="00282F5B" w:rsidRDefault="00712B5B" w:rsidP="00712B5B">
      <w:pPr>
        <w:pStyle w:val="Tekstprzypisudolnego"/>
        <w:rPr>
          <w:rFonts w:ascii="Calibri" w:hAnsi="Calibri" w:cs="Calibri"/>
          <w:sz w:val="12"/>
          <w:szCs w:val="12"/>
        </w:rPr>
      </w:pPr>
      <w:r w:rsidRPr="00D765A3">
        <w:rPr>
          <w:rStyle w:val="Odwoanieprzypisudolnego"/>
          <w:rFonts w:ascii="Calibri" w:hAnsi="Calibri" w:cs="Calibri"/>
          <w:sz w:val="12"/>
          <w:szCs w:val="12"/>
        </w:rPr>
        <w:footnoteRef/>
      </w:r>
      <w:r w:rsidRPr="001D762D">
        <w:rPr>
          <w:rFonts w:ascii="Calibri" w:hAnsi="Calibri" w:cs="Calibri"/>
          <w:sz w:val="12"/>
          <w:szCs w:val="12"/>
          <w:lang w:val="en-US"/>
        </w:rPr>
        <w:t xml:space="preserve"> Centre for Disease Prevention and Control. Factsheet about tick-borne encephalitis. </w:t>
      </w:r>
      <w:hyperlink r:id="rId22" w:history="1">
        <w:r w:rsidRPr="00282F5B">
          <w:rPr>
            <w:rStyle w:val="Hipercze"/>
            <w:rFonts w:ascii="Calibri" w:hAnsi="Calibri" w:cs="Calibri"/>
            <w:sz w:val="12"/>
            <w:szCs w:val="12"/>
          </w:rPr>
          <w:t>https://ecdc.europa.eu/en/tick-borne-encephalitis/facts/factsheet</w:t>
        </w:r>
      </w:hyperlink>
      <w:r w:rsidRPr="00282F5B">
        <w:rPr>
          <w:rFonts w:ascii="Calibri" w:hAnsi="Calibri" w:cs="Calibri"/>
          <w:sz w:val="12"/>
          <w:szCs w:val="12"/>
        </w:rPr>
        <w:t xml:space="preserve"> (dostęp: 04.2026)</w:t>
      </w:r>
    </w:p>
  </w:footnote>
  <w:footnote w:id="29">
    <w:p w14:paraId="62DD2883" w14:textId="77777777" w:rsidR="00712B5B" w:rsidRPr="00D765A3" w:rsidRDefault="00712B5B" w:rsidP="00712B5B">
      <w:pPr>
        <w:jc w:val="both"/>
        <w:rPr>
          <w:rFonts w:ascii="Calibri" w:hAnsi="Calibri" w:cs="Calibri"/>
          <w:sz w:val="12"/>
          <w:szCs w:val="12"/>
        </w:rPr>
      </w:pPr>
      <w:r w:rsidRPr="00D765A3">
        <w:rPr>
          <w:rStyle w:val="Odwoanieprzypisudolnego"/>
          <w:rFonts w:ascii="Calibri" w:hAnsi="Calibri" w:cs="Calibri"/>
          <w:sz w:val="12"/>
          <w:szCs w:val="12"/>
        </w:rPr>
        <w:footnoteRef/>
      </w:r>
      <w:r w:rsidRPr="00D765A3">
        <w:rPr>
          <w:rFonts w:ascii="Calibri" w:hAnsi="Calibri" w:cs="Calibri"/>
          <w:sz w:val="12"/>
          <w:szCs w:val="12"/>
        </w:rPr>
        <w:t xml:space="preserve"> Narodowy Instytut Zdrowia Publicznego PZH – Państwowy Instytut Badawczy, „Kleszczowe zapalenie mózgu – informacje o szczepieniach”, </w:t>
      </w:r>
      <w:hyperlink r:id="rId23" w:history="1">
        <w:r w:rsidRPr="00D765A3">
          <w:rPr>
            <w:rStyle w:val="Hipercze"/>
            <w:rFonts w:ascii="Calibri" w:hAnsi="Calibri" w:cs="Calibri"/>
            <w:sz w:val="12"/>
            <w:szCs w:val="12"/>
          </w:rPr>
          <w:t>szczepienia.pzh.gov.pl</w:t>
        </w:r>
      </w:hyperlink>
      <w:r w:rsidRPr="00D765A3">
        <w:rPr>
          <w:rFonts w:ascii="Calibri" w:hAnsi="Calibri" w:cs="Calibri"/>
          <w:sz w:val="12"/>
          <w:szCs w:val="12"/>
        </w:rPr>
        <w:t xml:space="preserve"> (dostęp: 04.2026).</w:t>
      </w:r>
    </w:p>
  </w:footnote>
  <w:footnote w:id="30">
    <w:p w14:paraId="59681616" w14:textId="49D9E8EE" w:rsidR="00712B5B" w:rsidRPr="00282F5B" w:rsidRDefault="00712B5B" w:rsidP="00712B5B">
      <w:pPr>
        <w:pStyle w:val="Tekstprzypisudolnego"/>
        <w:rPr>
          <w:rFonts w:ascii="Calibri" w:hAnsi="Calibri" w:cs="Calibri"/>
          <w:sz w:val="12"/>
          <w:szCs w:val="12"/>
        </w:rPr>
      </w:pPr>
      <w:r w:rsidRPr="00D765A3">
        <w:rPr>
          <w:rStyle w:val="Odwoanieprzypisudolnego"/>
          <w:rFonts w:ascii="Calibri" w:hAnsi="Calibri" w:cs="Calibri"/>
          <w:sz w:val="12"/>
          <w:szCs w:val="12"/>
        </w:rPr>
        <w:footnoteRef/>
      </w:r>
      <w:r w:rsidRPr="001D762D">
        <w:rPr>
          <w:rFonts w:ascii="Calibri" w:hAnsi="Calibri" w:cs="Calibri"/>
          <w:sz w:val="12"/>
          <w:szCs w:val="12"/>
          <w:lang w:val="en-US"/>
        </w:rPr>
        <w:t xml:space="preserve"> European Centre for Disease Prevention and Control. Factsheet about tick-borne encephalitis. </w:t>
      </w:r>
      <w:hyperlink r:id="rId24" w:history="1">
        <w:r w:rsidRPr="00282F5B">
          <w:rPr>
            <w:rStyle w:val="Hipercze"/>
            <w:rFonts w:ascii="Calibri" w:hAnsi="Calibri" w:cs="Calibri"/>
            <w:sz w:val="12"/>
            <w:szCs w:val="12"/>
          </w:rPr>
          <w:t>https://ecdc.europa.eu/en/tick-borne-encephalitis/facts/factsheet</w:t>
        </w:r>
      </w:hyperlink>
      <w:r w:rsidRPr="00282F5B">
        <w:rPr>
          <w:rFonts w:ascii="Calibri" w:hAnsi="Calibri" w:cs="Calibri"/>
          <w:sz w:val="12"/>
          <w:szCs w:val="12"/>
        </w:rPr>
        <w:t xml:space="preserve"> (dostęp: 04.2026)</w:t>
      </w:r>
    </w:p>
  </w:footnote>
  <w:footnote w:id="31">
    <w:p w14:paraId="0924246F" w14:textId="7D89E148" w:rsidR="00712B5B" w:rsidRPr="001D762D" w:rsidRDefault="00712B5B" w:rsidP="00712B5B">
      <w:pPr>
        <w:pStyle w:val="Tekstprzypisudolnego"/>
        <w:rPr>
          <w:rFonts w:ascii="Calibri" w:hAnsi="Calibri" w:cs="Calibri"/>
          <w:sz w:val="12"/>
          <w:szCs w:val="12"/>
          <w:lang w:val="en-US"/>
        </w:rPr>
      </w:pPr>
      <w:r w:rsidRPr="00D765A3">
        <w:rPr>
          <w:rStyle w:val="Odwoanieprzypisudolnego"/>
          <w:rFonts w:ascii="Calibri" w:hAnsi="Calibri" w:cs="Calibri"/>
          <w:sz w:val="12"/>
          <w:szCs w:val="12"/>
        </w:rPr>
        <w:footnoteRef/>
      </w:r>
      <w:r w:rsidRPr="001D762D">
        <w:rPr>
          <w:rFonts w:ascii="Calibri" w:hAnsi="Calibri" w:cs="Calibri"/>
          <w:sz w:val="12"/>
          <w:szCs w:val="12"/>
          <w:lang w:val="en-US"/>
        </w:rPr>
        <w:t xml:space="preserve"> </w:t>
      </w:r>
      <w:r w:rsidR="007617F7" w:rsidRPr="007617F7">
        <w:rPr>
          <w:rFonts w:ascii="Calibri" w:hAnsi="Calibri" w:cs="Calibri"/>
          <w:sz w:val="12"/>
          <w:szCs w:val="12"/>
          <w:lang w:val="en-US"/>
        </w:rPr>
        <w:t>European Centre for Disease Prevention and Control, Factsheet about Borreliosis, https://www.ecdc.europa.eu/en/borreliosis/facts/factsheet (</w:t>
      </w:r>
      <w:proofErr w:type="spellStart"/>
      <w:r w:rsidR="007617F7" w:rsidRPr="007617F7">
        <w:rPr>
          <w:rFonts w:ascii="Calibri" w:hAnsi="Calibri" w:cs="Calibri"/>
          <w:sz w:val="12"/>
          <w:szCs w:val="12"/>
          <w:lang w:val="en-US"/>
        </w:rPr>
        <w:t>dostęp</w:t>
      </w:r>
      <w:proofErr w:type="spellEnd"/>
      <w:r w:rsidR="007617F7" w:rsidRPr="007617F7">
        <w:rPr>
          <w:rFonts w:ascii="Calibri" w:hAnsi="Calibri" w:cs="Calibri"/>
          <w:sz w:val="12"/>
          <w:szCs w:val="12"/>
          <w:lang w:val="en-US"/>
        </w:rPr>
        <w:t>: 04.2026)</w:t>
      </w:r>
    </w:p>
  </w:footnote>
  <w:footnote w:id="32">
    <w:p w14:paraId="08C73F3E" w14:textId="29DEE149" w:rsidR="00712B5B" w:rsidRPr="00282F5B" w:rsidRDefault="00712B5B" w:rsidP="00712B5B">
      <w:pPr>
        <w:pStyle w:val="footnotedescription"/>
        <w:jc w:val="both"/>
        <w:rPr>
          <w:sz w:val="12"/>
          <w:szCs w:val="12"/>
        </w:rPr>
      </w:pPr>
      <w:r w:rsidRPr="00D765A3">
        <w:rPr>
          <w:rStyle w:val="Odwoanieprzypisudolnego"/>
          <w:sz w:val="12"/>
          <w:szCs w:val="12"/>
        </w:rPr>
        <w:footnoteRef/>
      </w:r>
      <w:r w:rsidRPr="00282F5B">
        <w:rPr>
          <w:sz w:val="12"/>
          <w:szCs w:val="12"/>
        </w:rPr>
        <w:t xml:space="preserve"> </w:t>
      </w:r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Kuchar, E., Zajkowska, J.,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Flisiak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R., Mastalerz-Migas, A., Rosińska, M.,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Szenborn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L.,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Wdówik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P., &amp;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Walusiak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-Skorupa, J. (2021). Epidemiologia, diagnostyka i profilaktyka kleszczowego zapalenia mózgu w Polsce i wybranych krajach europejskich – stanowisko polskiej grupy ekspertów [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Epidemiology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diagnosis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and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prevention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of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tick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-borne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encephalitis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in Poland and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selected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European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countries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- a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position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statement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of the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Polish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group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of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experts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]. Medycyna pracy, 72(2), 193–210. </w:t>
      </w:r>
      <w:hyperlink r:id="rId25">
        <w:r w:rsidR="00811266" w:rsidRPr="00282F5B">
          <w:rPr>
            <w:rFonts w:eastAsia="Georgia"/>
            <w:color w:val="auto"/>
            <w:kern w:val="0"/>
            <w:sz w:val="12"/>
            <w:szCs w:val="12"/>
            <w14:ligatures w14:val="none"/>
          </w:rPr>
          <w:t>https://doi.org/10.13075/mp.5893.01063</w:t>
        </w:r>
      </w:hyperlink>
      <w:hyperlink r:id="rId26">
        <w:r w:rsidR="00811266" w:rsidRPr="00282F5B">
          <w:rPr>
            <w:sz w:val="12"/>
            <w:szCs w:val="12"/>
          </w:rPr>
          <w:t>[</w:t>
        </w:r>
      </w:hyperlink>
      <w:r w:rsidR="00811266" w:rsidRPr="00282F5B">
        <w:rPr>
          <w:sz w:val="12"/>
          <w:szCs w:val="12"/>
        </w:rPr>
        <w:t>dostęp 15.03.2026</w:t>
      </w:r>
      <w:proofErr w:type="gramStart"/>
      <w:r w:rsidR="00811266" w:rsidRPr="00282F5B">
        <w:rPr>
          <w:sz w:val="12"/>
          <w:szCs w:val="12"/>
        </w:rPr>
        <w:t>] .</w:t>
      </w:r>
      <w:proofErr w:type="gramEnd"/>
    </w:p>
  </w:footnote>
  <w:footnote w:id="33">
    <w:p w14:paraId="3366FD8C" w14:textId="784568CC" w:rsidR="00712B5B" w:rsidRPr="00811266" w:rsidRDefault="00712B5B" w:rsidP="00811266">
      <w:pPr>
        <w:pStyle w:val="footnotedescription"/>
        <w:jc w:val="both"/>
        <w:rPr>
          <w:sz w:val="12"/>
          <w:szCs w:val="12"/>
          <w:lang w:val="en-US"/>
        </w:rPr>
      </w:pPr>
      <w:r w:rsidRPr="00D765A3">
        <w:rPr>
          <w:rStyle w:val="Odwoanieprzypisudolnego"/>
          <w:sz w:val="12"/>
          <w:szCs w:val="12"/>
        </w:rPr>
        <w:footnoteRef/>
      </w:r>
      <w:r w:rsidRPr="00282F5B">
        <w:rPr>
          <w:sz w:val="12"/>
          <w:szCs w:val="12"/>
        </w:rPr>
        <w:t xml:space="preserve"> </w:t>
      </w:r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Kuchar, E., Zajkowska, J.,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Flisiak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R., Mastalerz-Migas, A., Rosińska, M.,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Szenborn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L.,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Wdówik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P., &amp;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Walusiak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-Skorupa, J. (2021). Epidemiologia, diagnostyka i profilaktyka kleszczowego zapalenia mózgu w Polsce i wybranych krajach europejskich – stanowisko polskiej grupy ekspertów [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Epidemiology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diagnosis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, and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prevention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of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tick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-borne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encephalitis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in Poland and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selected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European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countries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- a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position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statement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of the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Polish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group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 xml:space="preserve"> of </w:t>
      </w:r>
      <w:proofErr w:type="spellStart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experts</w:t>
      </w:r>
      <w:proofErr w:type="spellEnd"/>
      <w:r w:rsidR="00811266" w:rsidRPr="00282F5B">
        <w:rPr>
          <w:rFonts w:eastAsia="Georgia"/>
          <w:color w:val="auto"/>
          <w:kern w:val="0"/>
          <w:sz w:val="12"/>
          <w:szCs w:val="12"/>
          <w14:ligatures w14:val="none"/>
        </w:rPr>
        <w:t>]. </w:t>
      </w:r>
      <w:proofErr w:type="spellStart"/>
      <w:r w:rsidR="00811266" w:rsidRPr="000E428C">
        <w:rPr>
          <w:rFonts w:eastAsia="Georgia"/>
          <w:color w:val="auto"/>
          <w:kern w:val="0"/>
          <w:sz w:val="12"/>
          <w:szCs w:val="12"/>
          <w:lang w:val="en-US"/>
          <w14:ligatures w14:val="none"/>
        </w:rPr>
        <w:t>Medycyna</w:t>
      </w:r>
      <w:proofErr w:type="spellEnd"/>
      <w:r w:rsidR="00811266" w:rsidRPr="000E428C">
        <w:rPr>
          <w:rFonts w:eastAsia="Georgia"/>
          <w:color w:val="auto"/>
          <w:kern w:val="0"/>
          <w:sz w:val="12"/>
          <w:szCs w:val="12"/>
          <w:lang w:val="en-US"/>
          <w14:ligatures w14:val="none"/>
        </w:rPr>
        <w:t xml:space="preserve"> </w:t>
      </w:r>
      <w:proofErr w:type="spellStart"/>
      <w:r w:rsidR="00811266" w:rsidRPr="000E428C">
        <w:rPr>
          <w:rFonts w:eastAsia="Georgia"/>
          <w:color w:val="auto"/>
          <w:kern w:val="0"/>
          <w:sz w:val="12"/>
          <w:szCs w:val="12"/>
          <w:lang w:val="en-US"/>
          <w14:ligatures w14:val="none"/>
        </w:rPr>
        <w:t>pracy</w:t>
      </w:r>
      <w:proofErr w:type="spellEnd"/>
      <w:r w:rsidR="00811266" w:rsidRPr="000E428C">
        <w:rPr>
          <w:rFonts w:eastAsia="Georgia"/>
          <w:color w:val="auto"/>
          <w:kern w:val="0"/>
          <w:sz w:val="12"/>
          <w:szCs w:val="12"/>
          <w:lang w:val="en-US"/>
          <w14:ligatures w14:val="none"/>
        </w:rPr>
        <w:t xml:space="preserve">, 72(2), 193–210. </w:t>
      </w:r>
      <w:hyperlink r:id="rId27">
        <w:r w:rsidR="00811266" w:rsidRPr="000E428C">
          <w:rPr>
            <w:rFonts w:eastAsia="Georgia"/>
            <w:color w:val="auto"/>
            <w:kern w:val="0"/>
            <w:sz w:val="12"/>
            <w:szCs w:val="12"/>
            <w:lang w:val="en-US"/>
            <w14:ligatures w14:val="none"/>
          </w:rPr>
          <w:t>https://doi.org/10.13075/mp.5893.01063</w:t>
        </w:r>
      </w:hyperlink>
      <w:hyperlink r:id="rId28">
        <w:r w:rsidR="00811266" w:rsidRPr="000E428C">
          <w:rPr>
            <w:sz w:val="12"/>
            <w:szCs w:val="12"/>
            <w:lang w:val="en-US"/>
          </w:rPr>
          <w:t>[</w:t>
        </w:r>
      </w:hyperlink>
      <w:r w:rsidR="00811266" w:rsidRPr="000E428C">
        <w:rPr>
          <w:sz w:val="12"/>
          <w:szCs w:val="12"/>
          <w:lang w:val="en-US"/>
        </w:rPr>
        <w:t>dostęp 15.03.2026]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2811" w14:textId="7846B57D" w:rsidR="00304E9D" w:rsidRDefault="00304E9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D7DD0" wp14:editId="1F1EA8B0">
          <wp:simplePos x="0" y="0"/>
          <wp:positionH relativeFrom="column">
            <wp:posOffset>0</wp:posOffset>
          </wp:positionH>
          <wp:positionV relativeFrom="paragraph">
            <wp:posOffset>-291346</wp:posOffset>
          </wp:positionV>
          <wp:extent cx="883130" cy="616013"/>
          <wp:effectExtent l="0" t="0" r="6350" b="0"/>
          <wp:wrapSquare wrapText="bothSides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130" cy="616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7F3D5B" w14:textId="77777777" w:rsidR="00304E9D" w:rsidRDefault="00304E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06F9"/>
    <w:multiLevelType w:val="hybridMultilevel"/>
    <w:tmpl w:val="42D65E5C"/>
    <w:lvl w:ilvl="0" w:tplc="487E750E">
      <w:start w:val="1"/>
      <w:numFmt w:val="bullet"/>
      <w:lvlText w:val="•"/>
      <w:lvlJc w:val="left"/>
      <w:pPr>
        <w:ind w:left="720" w:hanging="360"/>
      </w:pPr>
    </w:lvl>
    <w:lvl w:ilvl="1" w:tplc="2F0A1F58">
      <w:numFmt w:val="decimal"/>
      <w:lvlText w:val=""/>
      <w:lvlJc w:val="left"/>
    </w:lvl>
    <w:lvl w:ilvl="2" w:tplc="CDEA3EAE">
      <w:numFmt w:val="decimal"/>
      <w:lvlText w:val=""/>
      <w:lvlJc w:val="left"/>
    </w:lvl>
    <w:lvl w:ilvl="3" w:tplc="10444DF0">
      <w:numFmt w:val="decimal"/>
      <w:lvlText w:val=""/>
      <w:lvlJc w:val="left"/>
    </w:lvl>
    <w:lvl w:ilvl="4" w:tplc="6312452A">
      <w:numFmt w:val="decimal"/>
      <w:lvlText w:val=""/>
      <w:lvlJc w:val="left"/>
    </w:lvl>
    <w:lvl w:ilvl="5" w:tplc="B5AE57BA">
      <w:numFmt w:val="decimal"/>
      <w:lvlText w:val=""/>
      <w:lvlJc w:val="left"/>
    </w:lvl>
    <w:lvl w:ilvl="6" w:tplc="EBDABE68">
      <w:numFmt w:val="decimal"/>
      <w:lvlText w:val=""/>
      <w:lvlJc w:val="left"/>
    </w:lvl>
    <w:lvl w:ilvl="7" w:tplc="30BCF5EA">
      <w:numFmt w:val="decimal"/>
      <w:lvlText w:val=""/>
      <w:lvlJc w:val="left"/>
    </w:lvl>
    <w:lvl w:ilvl="8" w:tplc="9530B8CE">
      <w:numFmt w:val="decimal"/>
      <w:lvlText w:val=""/>
      <w:lvlJc w:val="left"/>
    </w:lvl>
  </w:abstractNum>
  <w:num w:numId="1" w16cid:durableId="9341739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11"/>
    <w:rsid w:val="000638D8"/>
    <w:rsid w:val="00075092"/>
    <w:rsid w:val="000A3C48"/>
    <w:rsid w:val="000B7DBD"/>
    <w:rsid w:val="000C78F7"/>
    <w:rsid w:val="000E428C"/>
    <w:rsid w:val="00151659"/>
    <w:rsid w:val="001D762D"/>
    <w:rsid w:val="00217EDA"/>
    <w:rsid w:val="00243380"/>
    <w:rsid w:val="00282F5B"/>
    <w:rsid w:val="0028382D"/>
    <w:rsid w:val="00283C41"/>
    <w:rsid w:val="002B3D74"/>
    <w:rsid w:val="002E4577"/>
    <w:rsid w:val="00304E9D"/>
    <w:rsid w:val="00305E1B"/>
    <w:rsid w:val="0031379A"/>
    <w:rsid w:val="00365FD8"/>
    <w:rsid w:val="003743E0"/>
    <w:rsid w:val="003753F1"/>
    <w:rsid w:val="00392209"/>
    <w:rsid w:val="003A3CDB"/>
    <w:rsid w:val="003E4607"/>
    <w:rsid w:val="004145BC"/>
    <w:rsid w:val="0046535F"/>
    <w:rsid w:val="004F25A4"/>
    <w:rsid w:val="00501CF1"/>
    <w:rsid w:val="00526A8E"/>
    <w:rsid w:val="005D2DD6"/>
    <w:rsid w:val="00666698"/>
    <w:rsid w:val="006A1E2B"/>
    <w:rsid w:val="006B5D58"/>
    <w:rsid w:val="00712B5B"/>
    <w:rsid w:val="00737B60"/>
    <w:rsid w:val="007617F7"/>
    <w:rsid w:val="007D2F52"/>
    <w:rsid w:val="007E19FD"/>
    <w:rsid w:val="00811266"/>
    <w:rsid w:val="00830574"/>
    <w:rsid w:val="008A6F20"/>
    <w:rsid w:val="008C59B6"/>
    <w:rsid w:val="00987550"/>
    <w:rsid w:val="009F3270"/>
    <w:rsid w:val="00A53067"/>
    <w:rsid w:val="00A875F3"/>
    <w:rsid w:val="00B661A0"/>
    <w:rsid w:val="00C00C20"/>
    <w:rsid w:val="00CD1CEF"/>
    <w:rsid w:val="00D12018"/>
    <w:rsid w:val="00D238EE"/>
    <w:rsid w:val="00D765A3"/>
    <w:rsid w:val="00D91A2D"/>
    <w:rsid w:val="00DB071E"/>
    <w:rsid w:val="00E41402"/>
    <w:rsid w:val="00E55A6E"/>
    <w:rsid w:val="00EA5A04"/>
    <w:rsid w:val="00EC54A8"/>
    <w:rsid w:val="00EE3F11"/>
    <w:rsid w:val="00FA4E10"/>
    <w:rsid w:val="00FA69FE"/>
    <w:rsid w:val="00FB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CA14"/>
  <w15:chartTrackingRefBased/>
  <w15:docId w15:val="{4F437015-4D02-CC48-89F1-57DF38AD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F11"/>
    <w:rPr>
      <w:rFonts w:ascii="Georgia" w:eastAsia="Georgia" w:hAnsi="Georgia" w:cs="Georg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3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F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F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F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F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F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F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F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F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F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F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F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F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F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F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F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F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F11"/>
    <w:rPr>
      <w:rFonts w:eastAsiaTheme="minorEastAsia"/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E3F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F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F11"/>
    <w:rPr>
      <w:rFonts w:eastAsiaTheme="minorEastAsia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F1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EE3F11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638D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38D8"/>
    <w:rPr>
      <w:rFonts w:ascii="Georgia" w:eastAsia="Georgia" w:hAnsi="Georgia" w:cs="Georg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0638D8"/>
    <w:rPr>
      <w:vertAlign w:val="superscript"/>
    </w:rPr>
  </w:style>
  <w:style w:type="paragraph" w:customStyle="1" w:styleId="footnotedescription">
    <w:name w:val="footnote description"/>
    <w:next w:val="Normalny"/>
    <w:link w:val="footnotedescriptionChar"/>
    <w:hidden/>
    <w:rsid w:val="00217EDA"/>
    <w:pPr>
      <w:spacing w:line="259" w:lineRule="auto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17EDA"/>
    <w:rPr>
      <w:rFonts w:ascii="Calibri" w:eastAsia="Calibri" w:hAnsi="Calibri" w:cs="Calibri"/>
      <w:color w:val="000000"/>
      <w:sz w:val="16"/>
      <w:lang w:eastAsia="pl-PL"/>
    </w:rPr>
  </w:style>
  <w:style w:type="table" w:styleId="Tabela-Siatka">
    <w:name w:val="Table Grid"/>
    <w:basedOn w:val="Standardowy"/>
    <w:uiPriority w:val="39"/>
    <w:rsid w:val="002B3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31379A"/>
    <w:rPr>
      <w:rFonts w:ascii="Helvetica" w:eastAsia="Times New Roman" w:hAnsi="Helvetica" w:cs="Times New Roman"/>
      <w:color w:val="0000FF"/>
      <w:sz w:val="11"/>
      <w:szCs w:val="11"/>
    </w:rPr>
  </w:style>
  <w:style w:type="paragraph" w:customStyle="1" w:styleId="p2">
    <w:name w:val="p2"/>
    <w:basedOn w:val="Normalny"/>
    <w:rsid w:val="0031379A"/>
    <w:rPr>
      <w:rFonts w:ascii="Helvetica" w:eastAsia="Times New Roman" w:hAnsi="Helvetica" w:cs="Times New Roman"/>
      <w:color w:val="6C6C6C"/>
      <w:sz w:val="11"/>
      <w:szCs w:val="11"/>
    </w:rPr>
  </w:style>
  <w:style w:type="paragraph" w:customStyle="1" w:styleId="p3">
    <w:name w:val="p3"/>
    <w:basedOn w:val="Normalny"/>
    <w:rsid w:val="0031379A"/>
    <w:rPr>
      <w:rFonts w:ascii="Helvetica" w:eastAsia="Times New Roman" w:hAnsi="Helvetica" w:cs="Times New Roman"/>
      <w:color w:val="262626"/>
      <w:sz w:val="11"/>
      <w:szCs w:val="1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762D"/>
    <w:rPr>
      <w:rFonts w:ascii="Georgia" w:eastAsia="Georgia" w:hAnsi="Georgia" w:cs="Georg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62D"/>
    <w:rPr>
      <w:rFonts w:ascii="Georgia" w:eastAsia="Georgia" w:hAnsi="Georgia" w:cs="Georgia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0E428C"/>
    <w:rPr>
      <w:rFonts w:ascii="Georgia" w:eastAsia="Georgia" w:hAnsi="Georgia" w:cs="Georgia"/>
      <w:kern w:val="0"/>
      <w:sz w:val="22"/>
      <w:szCs w:val="22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0E428C"/>
    <w:rPr>
      <w:color w:val="954F72" w:themeColor="followedHyperlink"/>
      <w:u w:val="single"/>
    </w:rPr>
  </w:style>
  <w:style w:type="paragraph" w:customStyle="1" w:styleId="font-claude-response-body">
    <w:name w:val="font-claude-response-body"/>
    <w:basedOn w:val="Normalny"/>
    <w:rsid w:val="000E42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E428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04E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4E9D"/>
    <w:rPr>
      <w:rFonts w:ascii="Georgia" w:eastAsia="Georgia" w:hAnsi="Georgia" w:cs="Georgia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04E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4E9D"/>
    <w:rPr>
      <w:rFonts w:ascii="Georgia" w:eastAsia="Georgia" w:hAnsi="Georgia" w:cs="Georgia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tbenews.com/tbe/13-25-7/" TargetMode="External"/><Relationship Id="rId13" Type="http://schemas.openxmlformats.org/officeDocument/2006/relationships/hyperlink" Target="https://tbenews.com/tbe/13-25-7/" TargetMode="External"/><Relationship Id="rId18" Type="http://schemas.openxmlformats.org/officeDocument/2006/relationships/hyperlink" Target="https://tbenews.com/tbe/13-25-7/" TargetMode="External"/><Relationship Id="rId26" Type="http://schemas.openxmlformats.org/officeDocument/2006/relationships/hyperlink" Target="https://tbenews.com/tbe/13-25-7/" TargetMode="External"/><Relationship Id="rId3" Type="http://schemas.openxmlformats.org/officeDocument/2006/relationships/hyperlink" Target="https://doi.org/10.13075/mp.5893.01063" TargetMode="External"/><Relationship Id="rId21" Type="http://schemas.openxmlformats.org/officeDocument/2006/relationships/hyperlink" Target="https://www.gov.pl/web/zdrowie/komunikat-ws-zmian-preskrypcji-produktow-umieszczonych-na-bezplatnych-wykazach-dedykowanych-pacjentom-do-ukonczenia-18-roku-zycia-oraz-po-ukonczeniu-65-rz" TargetMode="External"/><Relationship Id="rId7" Type="http://schemas.openxmlformats.org/officeDocument/2006/relationships/hyperlink" Target="https://szczepienia.pzh.gov.pl/szczepionki/kleszczowe-zapalenie-mozgu/" TargetMode="External"/><Relationship Id="rId12" Type="http://schemas.openxmlformats.org/officeDocument/2006/relationships/hyperlink" Target="https://doi.org/10.13075/mp.5893.01063" TargetMode="External"/><Relationship Id="rId17" Type="http://schemas.openxmlformats.org/officeDocument/2006/relationships/hyperlink" Target="https://tbenews.com/tbe/13-25-7/" TargetMode="External"/><Relationship Id="rId25" Type="http://schemas.openxmlformats.org/officeDocument/2006/relationships/hyperlink" Target="https://doi.org/10.13075/mp.5893.01063" TargetMode="External"/><Relationship Id="rId2" Type="http://schemas.openxmlformats.org/officeDocument/2006/relationships/hyperlink" Target="https://tbenews.com/tbe/chapter-6-pathogenesis-of-tbev-diseases/" TargetMode="External"/><Relationship Id="rId16" Type="http://schemas.openxmlformats.org/officeDocument/2006/relationships/hyperlink" Target="https://tbenews.com/tbe/13-25-7/" TargetMode="External"/><Relationship Id="rId20" Type="http://schemas.openxmlformats.org/officeDocument/2006/relationships/hyperlink" Target="https://www.gov.pl/web/zdrowie/komunikat-ws-zmian-preskrypcji-produktow-umieszczonych-na-bezplatnych-wykazach-dedykowanych-pacjentom-do-ukonczenia-18-roku-zycia-oraz-po-ukonczeniu-65-rz" TargetMode="External"/><Relationship Id="rId1" Type="http://schemas.openxmlformats.org/officeDocument/2006/relationships/hyperlink" Target="https://szczepienia.pzh.gov.pl/szczepionki/kleszczowe-zapalenie-mozgu/" TargetMode="External"/><Relationship Id="rId6" Type="http://schemas.openxmlformats.org/officeDocument/2006/relationships/hyperlink" Target="https://szczepienia.pzh.gov.pl/szczepionki/kleszczowe-zapalenie-mozgu/" TargetMode="External"/><Relationship Id="rId11" Type="http://schemas.openxmlformats.org/officeDocument/2006/relationships/hyperlink" Target="https://tbenews.com/tbe/13-25-7/" TargetMode="External"/><Relationship Id="rId24" Type="http://schemas.openxmlformats.org/officeDocument/2006/relationships/hyperlink" Target="https://ecdc.europa.eu/en/tick-borne-encephalitis/facts/factsheet" TargetMode="External"/><Relationship Id="rId5" Type="http://schemas.openxmlformats.org/officeDocument/2006/relationships/hyperlink" Target="https://szczepienia.pzh.gov.pl/szczepionki/kleszczowe-zapalenie-mozgu/" TargetMode="External"/><Relationship Id="rId15" Type="http://schemas.openxmlformats.org/officeDocument/2006/relationships/hyperlink" Target="https://doi.org/10.13075/mp.5893.01063" TargetMode="External"/><Relationship Id="rId23" Type="http://schemas.openxmlformats.org/officeDocument/2006/relationships/hyperlink" Target="https://szczepienia.pzh.gov.pl/szczepionki/kleszczowe-zapalenie-mozgu/" TargetMode="External"/><Relationship Id="rId28" Type="http://schemas.openxmlformats.org/officeDocument/2006/relationships/hyperlink" Target="https://tbenews.com/tbe/13-25-7/" TargetMode="External"/><Relationship Id="rId10" Type="http://schemas.openxmlformats.org/officeDocument/2006/relationships/hyperlink" Target="https://tbenews.com/tbe/13-25-7/" TargetMode="External"/><Relationship Id="rId19" Type="http://schemas.openxmlformats.org/officeDocument/2006/relationships/hyperlink" Target="https://szczepienia.pzh.gov.pl/szczepionki/kleszczowe-zapalenie-mozgu/" TargetMode="External"/><Relationship Id="rId4" Type="http://schemas.openxmlformats.org/officeDocument/2006/relationships/hyperlink" Target="https://tbenews.com/tbe/13-25-7/" TargetMode="External"/><Relationship Id="rId9" Type="http://schemas.openxmlformats.org/officeDocument/2006/relationships/hyperlink" Target="https://doi.org/10.13075/mp.5893.01063" TargetMode="External"/><Relationship Id="rId14" Type="http://schemas.openxmlformats.org/officeDocument/2006/relationships/hyperlink" Target="https://tbenews.com/tbe/13-25-7/" TargetMode="External"/><Relationship Id="rId22" Type="http://schemas.openxmlformats.org/officeDocument/2006/relationships/hyperlink" Target="https://ecdc.europa.eu/en/tick-borne-encephalitis/facts/factsheet" TargetMode="External"/><Relationship Id="rId27" Type="http://schemas.openxmlformats.org/officeDocument/2006/relationships/hyperlink" Target="https://doi.org/10.13075/mp.5893.0106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90CE9D-9B58-7C43-B520-D38F7836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1160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Rzucidło</dc:creator>
  <cp:keywords/>
  <dc:description/>
  <cp:lastModifiedBy>Patrycja Rzucidło</cp:lastModifiedBy>
  <cp:revision>4</cp:revision>
  <dcterms:created xsi:type="dcterms:W3CDTF">2026-06-01T17:31:00Z</dcterms:created>
  <dcterms:modified xsi:type="dcterms:W3CDTF">2026-06-09T08:31:00Z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f72598-90ab-4748-9618-88402b5e95d2_Enabled">
    <vt:lpwstr>true</vt:lpwstr>
  </property>
  <property fmtid="{D5CDD505-2E9C-101B-9397-08002B2CF9AE}" pid="3" name="MSIP_Label_68f72598-90ab-4748-9618-88402b5e95d2_SetDate">
    <vt:lpwstr>2026-05-14T17:58:21Z</vt:lpwstr>
  </property>
  <property fmtid="{D5CDD505-2E9C-101B-9397-08002B2CF9AE}" pid="4" name="MSIP_Label_68f72598-90ab-4748-9618-88402b5e95d2_Method">
    <vt:lpwstr>Privileged</vt:lpwstr>
  </property>
  <property fmtid="{D5CDD505-2E9C-101B-9397-08002B2CF9AE}" pid="5" name="MSIP_Label_68f72598-90ab-4748-9618-88402b5e95d2_Name">
    <vt:lpwstr>68f72598-90ab-4748-9618-88402b5e95d2</vt:lpwstr>
  </property>
  <property fmtid="{D5CDD505-2E9C-101B-9397-08002B2CF9AE}" pid="6" name="MSIP_Label_68f72598-90ab-4748-9618-88402b5e95d2_SiteId">
    <vt:lpwstr>7a916015-20ae-4ad1-9170-eefd915e9272</vt:lpwstr>
  </property>
  <property fmtid="{D5CDD505-2E9C-101B-9397-08002B2CF9AE}" pid="7" name="MSIP_Label_68f72598-90ab-4748-9618-88402b5e95d2_ActionId">
    <vt:lpwstr>4e9b1aa2-f948-43a8-ab86-c9b1cb4bcc5a</vt:lpwstr>
  </property>
  <property fmtid="{D5CDD505-2E9C-101B-9397-08002B2CF9AE}" pid="8" name="MSIP_Label_68f72598-90ab-4748-9618-88402b5e95d2_ContentBits">
    <vt:lpwstr>0</vt:lpwstr>
  </property>
  <property fmtid="{D5CDD505-2E9C-101B-9397-08002B2CF9AE}" pid="9" name="MSIP_Label_68f72598-90ab-4748-9618-88402b5e95d2_Tag">
    <vt:lpwstr>10, 0, 1, 1</vt:lpwstr>
  </property>
</Properties>
</file>