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5924" w14:textId="77777777" w:rsidR="00607E7B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</w:p>
    <w:p w14:paraId="0CE5B8E6" w14:textId="77777777" w:rsidR="00896622" w:rsidRDefault="00896622" w:rsidP="0089662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85628B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Where The Full Composites Value Chain Meets</w:t>
      </w:r>
    </w:p>
    <w:p w14:paraId="63F31A08" w14:textId="77777777" w:rsidR="00896622" w:rsidRPr="0085628B" w:rsidRDefault="00896622" w:rsidP="00896622">
      <w:r w:rsidRPr="0085628B">
        <w:t>The composites industry is complex, global, and deeply interconnected. Yet too often, it operates in segments.</w:t>
      </w:r>
      <w:r>
        <w:t xml:space="preserve"> </w:t>
      </w:r>
      <w:r w:rsidRPr="0085628B">
        <w:t>Materials, manufacturing, OEMs, investors, and emerging technologies all play critical roles, but rarely come together in a single, commercially focused environment.</w:t>
      </w:r>
    </w:p>
    <w:p w14:paraId="003A93E1" w14:textId="77777777" w:rsidR="00896622" w:rsidRPr="0085628B" w:rsidRDefault="00896622" w:rsidP="00896622">
      <w:r w:rsidRPr="0085628B">
        <w:t>The International Composites Summit (ICS) is designed to change that.</w:t>
      </w:r>
    </w:p>
    <w:p w14:paraId="6247D296" w14:textId="77777777" w:rsidR="00896622" w:rsidRPr="0085628B" w:rsidRDefault="00896622" w:rsidP="00896622">
      <w:pPr>
        <w:rPr>
          <w:b/>
          <w:bCs/>
        </w:rPr>
      </w:pPr>
      <w:r w:rsidRPr="0085628B">
        <w:rPr>
          <w:b/>
          <w:bCs/>
        </w:rPr>
        <w:t>A Business-First, Globally Connected Platform</w:t>
      </w:r>
    </w:p>
    <w:p w14:paraId="7866B901" w14:textId="77777777" w:rsidR="00896622" w:rsidRPr="0085628B" w:rsidRDefault="00896622" w:rsidP="00896622">
      <w:r w:rsidRPr="0085628B">
        <w:t>Taking place on 1–2 December 2026 at The Drum, Wembley, ICS brings together stakeholders from across the full value chain, creating a space where business, investment, and innovation intersect.</w:t>
      </w:r>
    </w:p>
    <w:p w14:paraId="17D454E6" w14:textId="77777777" w:rsidR="00896622" w:rsidRPr="0085628B" w:rsidRDefault="00896622" w:rsidP="00896622">
      <w:pPr>
        <w:rPr>
          <w:i/>
          <w:iCs/>
        </w:rPr>
      </w:pPr>
      <w:r w:rsidRPr="0085628B">
        <w:t>The summit is built around a clear principle:</w:t>
      </w:r>
      <w:r w:rsidRPr="0085628B">
        <w:rPr>
          <w:i/>
          <w:iCs/>
        </w:rPr>
        <w:t xml:space="preserve"> connection drives progress.</w:t>
      </w:r>
    </w:p>
    <w:p w14:paraId="47C9C702" w14:textId="77777777" w:rsidR="00896622" w:rsidRPr="0085628B" w:rsidRDefault="00896622" w:rsidP="00896622">
      <w:r w:rsidRPr="0085628B">
        <w:t>By combining a business-first approach with global accessibility, ICS creates opportunities for:</w:t>
      </w:r>
    </w:p>
    <w:p w14:paraId="22E46E32" w14:textId="77777777" w:rsidR="00896622" w:rsidRPr="0085628B" w:rsidRDefault="00896622" w:rsidP="00896622">
      <w:pPr>
        <w:numPr>
          <w:ilvl w:val="0"/>
          <w:numId w:val="11"/>
        </w:numPr>
        <w:spacing w:line="278" w:lineRule="auto"/>
      </w:pPr>
      <w:r w:rsidRPr="0085628B">
        <w:t>Materials suppliers to engage directly with OEMs</w:t>
      </w:r>
      <w:r>
        <w:t>.</w:t>
      </w:r>
    </w:p>
    <w:p w14:paraId="30643F2B" w14:textId="77777777" w:rsidR="00896622" w:rsidRPr="0085628B" w:rsidRDefault="00896622" w:rsidP="00896622">
      <w:pPr>
        <w:numPr>
          <w:ilvl w:val="0"/>
          <w:numId w:val="11"/>
        </w:numPr>
        <w:spacing w:line="278" w:lineRule="auto"/>
      </w:pPr>
      <w:r w:rsidRPr="0085628B">
        <w:t>Manufacturers to explore new applications across sectors</w:t>
      </w:r>
      <w:r>
        <w:t>.</w:t>
      </w:r>
      <w:r w:rsidRPr="0085628B">
        <w:t xml:space="preserve"> </w:t>
      </w:r>
    </w:p>
    <w:p w14:paraId="10D827A5" w14:textId="77777777" w:rsidR="00896622" w:rsidRPr="0085628B" w:rsidRDefault="00896622" w:rsidP="00896622">
      <w:pPr>
        <w:numPr>
          <w:ilvl w:val="0"/>
          <w:numId w:val="11"/>
        </w:numPr>
        <w:spacing w:line="278" w:lineRule="auto"/>
      </w:pPr>
      <w:r w:rsidRPr="0085628B">
        <w:t>Investors to identify scalable technologies and opportunities</w:t>
      </w:r>
      <w:r>
        <w:t>.</w:t>
      </w:r>
      <w:r w:rsidRPr="0085628B">
        <w:t xml:space="preserve"> </w:t>
      </w:r>
    </w:p>
    <w:p w14:paraId="4F75A24F" w14:textId="77777777" w:rsidR="00896622" w:rsidRPr="0085628B" w:rsidRDefault="00896622" w:rsidP="00896622">
      <w:pPr>
        <w:numPr>
          <w:ilvl w:val="0"/>
          <w:numId w:val="11"/>
        </w:numPr>
        <w:spacing w:line="278" w:lineRule="auto"/>
      </w:pPr>
      <w:r w:rsidRPr="0085628B">
        <w:t>Start-ups to connect with partners and funding pathways</w:t>
      </w:r>
      <w:r>
        <w:t>.</w:t>
      </w:r>
      <w:r w:rsidRPr="0085628B">
        <w:t xml:space="preserve"> </w:t>
      </w:r>
    </w:p>
    <w:p w14:paraId="6EE08178" w14:textId="77777777" w:rsidR="00896622" w:rsidRPr="0085628B" w:rsidRDefault="00896622" w:rsidP="00896622">
      <w:pPr>
        <w:numPr>
          <w:ilvl w:val="0"/>
          <w:numId w:val="11"/>
        </w:numPr>
        <w:spacing w:line="278" w:lineRule="auto"/>
      </w:pPr>
      <w:r w:rsidRPr="0085628B">
        <w:t>Academic institutions to align research with commercial need</w:t>
      </w:r>
      <w:r>
        <w:t>.</w:t>
      </w:r>
      <w:r w:rsidRPr="0085628B">
        <w:t xml:space="preserve"> </w:t>
      </w:r>
    </w:p>
    <w:p w14:paraId="35D3D174" w14:textId="77777777" w:rsidR="00896622" w:rsidRPr="0085628B" w:rsidRDefault="00896622" w:rsidP="00896622">
      <w:pPr>
        <w:rPr>
          <w:b/>
          <w:bCs/>
        </w:rPr>
      </w:pPr>
      <w:r w:rsidRPr="0085628B">
        <w:rPr>
          <w:b/>
          <w:bCs/>
        </w:rPr>
        <w:t xml:space="preserve">Creating Density Where </w:t>
      </w:r>
      <w:r>
        <w:rPr>
          <w:b/>
          <w:bCs/>
        </w:rPr>
        <w:t>It</w:t>
      </w:r>
      <w:r w:rsidRPr="0085628B">
        <w:rPr>
          <w:b/>
          <w:bCs/>
        </w:rPr>
        <w:t xml:space="preserve"> Matters</w:t>
      </w:r>
    </w:p>
    <w:p w14:paraId="1A172888" w14:textId="77777777" w:rsidR="00896622" w:rsidRPr="0085628B" w:rsidRDefault="00896622" w:rsidP="00896622">
      <w:r w:rsidRPr="0085628B">
        <w:t>What sets ICS apart is not just who attends, but how they connect.</w:t>
      </w:r>
    </w:p>
    <w:p w14:paraId="057AB7A3" w14:textId="77777777" w:rsidR="00896622" w:rsidRPr="0085628B" w:rsidRDefault="00896622" w:rsidP="00896622">
      <w:r w:rsidRPr="0085628B">
        <w:t>Rather than operating in silos, the summit creates density across the value chain, enabling:</w:t>
      </w:r>
    </w:p>
    <w:p w14:paraId="4FE38D9A" w14:textId="77777777" w:rsidR="00896622" w:rsidRPr="0085628B" w:rsidRDefault="00896622" w:rsidP="00896622">
      <w:pPr>
        <w:numPr>
          <w:ilvl w:val="0"/>
          <w:numId w:val="12"/>
        </w:numPr>
        <w:spacing w:line="278" w:lineRule="auto"/>
      </w:pPr>
      <w:r w:rsidRPr="0085628B">
        <w:t>Cross-sector collaboration between aerospace, automotive, energy, and construction</w:t>
      </w:r>
      <w:r>
        <w:t>.</w:t>
      </w:r>
    </w:p>
    <w:p w14:paraId="67BC3F49" w14:textId="77777777" w:rsidR="00896622" w:rsidRPr="0085628B" w:rsidRDefault="00896622" w:rsidP="00896622">
      <w:pPr>
        <w:numPr>
          <w:ilvl w:val="0"/>
          <w:numId w:val="12"/>
        </w:numPr>
        <w:spacing w:line="278" w:lineRule="auto"/>
      </w:pPr>
      <w:r w:rsidRPr="0085628B">
        <w:t>Direct engagement between innovation and application</w:t>
      </w:r>
      <w:r>
        <w:t>.</w:t>
      </w:r>
      <w:r w:rsidRPr="0085628B">
        <w:t xml:space="preserve"> </w:t>
      </w:r>
    </w:p>
    <w:p w14:paraId="3BD4B467" w14:textId="77777777" w:rsidR="00896622" w:rsidRPr="0085628B" w:rsidRDefault="00896622" w:rsidP="00896622">
      <w:pPr>
        <w:numPr>
          <w:ilvl w:val="0"/>
          <w:numId w:val="12"/>
        </w:numPr>
        <w:spacing w:line="278" w:lineRule="auto"/>
      </w:pPr>
      <w:r w:rsidRPr="0085628B">
        <w:t>Conversations that move beyond theory into commercial reality</w:t>
      </w:r>
      <w:r>
        <w:t>.</w:t>
      </w:r>
    </w:p>
    <w:p w14:paraId="6A19A7EF" w14:textId="77777777" w:rsidR="00896622" w:rsidRPr="0085628B" w:rsidRDefault="00896622" w:rsidP="00896622">
      <w:r w:rsidRPr="0085628B">
        <w:t>This environment is increasingly important as the industry seeks to scale technologies, address sustainability challenges, and respond to evolving global demand.</w:t>
      </w:r>
    </w:p>
    <w:p w14:paraId="754C77D4" w14:textId="77777777" w:rsidR="00896622" w:rsidRPr="0085628B" w:rsidRDefault="00896622" w:rsidP="00896622">
      <w:pPr>
        <w:rPr>
          <w:b/>
          <w:bCs/>
        </w:rPr>
      </w:pPr>
      <w:r w:rsidRPr="0085628B">
        <w:rPr>
          <w:b/>
          <w:bCs/>
        </w:rPr>
        <w:t xml:space="preserve">Growing Interest from Across </w:t>
      </w:r>
      <w:r>
        <w:rPr>
          <w:b/>
          <w:bCs/>
        </w:rPr>
        <w:t>t</w:t>
      </w:r>
      <w:r w:rsidRPr="0085628B">
        <w:rPr>
          <w:b/>
          <w:bCs/>
        </w:rPr>
        <w:t>he Ecosystem</w:t>
      </w:r>
    </w:p>
    <w:p w14:paraId="119DF176" w14:textId="77777777" w:rsidR="00896622" w:rsidRPr="0085628B" w:rsidRDefault="00896622" w:rsidP="00896622">
      <w:r w:rsidRPr="0085628B">
        <w:t>ICS is seeing growing engagement from organisations across the composites landscape, alongside increasing interest from investors looking to better understand the opportunities within the sector.</w:t>
      </w:r>
    </w:p>
    <w:p w14:paraId="79A5BA5E" w14:textId="77777777" w:rsidR="00896622" w:rsidRDefault="00896622" w:rsidP="00896622"/>
    <w:p w14:paraId="7344EFA4" w14:textId="12203BE0" w:rsidR="00896622" w:rsidRPr="0085628B" w:rsidRDefault="00896622" w:rsidP="00896622">
      <w:r w:rsidRPr="0085628B">
        <w:t>This reflects a broader shift within the industry, as businesses recognise the need for stronger alignment between innovation, investment, and application.</w:t>
      </w:r>
    </w:p>
    <w:p w14:paraId="36AA5420" w14:textId="77777777" w:rsidR="00896622" w:rsidRPr="0085628B" w:rsidRDefault="00896622" w:rsidP="00896622">
      <w:pPr>
        <w:rPr>
          <w:b/>
          <w:bCs/>
        </w:rPr>
      </w:pPr>
      <w:r w:rsidRPr="0085628B">
        <w:rPr>
          <w:b/>
          <w:bCs/>
        </w:rPr>
        <w:t>Strengthening The Industry Through Connection</w:t>
      </w:r>
    </w:p>
    <w:p w14:paraId="3F6A18AE" w14:textId="547083B6" w:rsidR="00896622" w:rsidRPr="0085628B" w:rsidRDefault="00896622" w:rsidP="00896622">
      <w:r w:rsidRPr="0085628B">
        <w:t xml:space="preserve">ICS does not aim to replace global </w:t>
      </w:r>
      <w:r w:rsidR="000D73DF">
        <w:t>trade</w:t>
      </w:r>
      <w:r>
        <w:t xml:space="preserve"> shows</w:t>
      </w:r>
      <w:r w:rsidRPr="0085628B">
        <w:t xml:space="preserve">. Instead, it complements them by creating a focused environment where connections can </w:t>
      </w:r>
      <w:r>
        <w:t xml:space="preserve">deepen, and opportunities can be </w:t>
      </w:r>
      <w:r w:rsidRPr="0085628B">
        <w:t>explored.</w:t>
      </w:r>
    </w:p>
    <w:p w14:paraId="6441A8DF" w14:textId="77777777" w:rsidR="00896622" w:rsidRPr="0085628B" w:rsidRDefault="00896622" w:rsidP="00896622">
      <w:r w:rsidRPr="0085628B">
        <w:t>As the industry continues to evolve, platforms that bring the full value chain together will play an increasingly important role.</w:t>
      </w:r>
    </w:p>
    <w:p w14:paraId="45F84ECD" w14:textId="77777777" w:rsidR="00896622" w:rsidRPr="0085628B" w:rsidRDefault="00896622" w:rsidP="00896622">
      <w:r w:rsidRPr="0085628B">
        <w:t>ICS 2026 is positioning itself at the centre of that conversation.</w:t>
      </w:r>
    </w:p>
    <w:p w14:paraId="61F3D581" w14:textId="77777777" w:rsidR="00896622" w:rsidRDefault="00896622" w:rsidP="00896622"/>
    <w:p w14:paraId="54D86C79" w14:textId="77777777" w:rsidR="00607E7B" w:rsidRPr="008E4CD1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</w:p>
    <w:p w14:paraId="0DC639E6" w14:textId="77777777" w:rsidR="00607E7B" w:rsidRDefault="00607E7B" w:rsidP="00607E7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 End ---</w:t>
      </w:r>
    </w:p>
    <w:p w14:paraId="08A7DB2A" w14:textId="77777777" w:rsidR="00607E7B" w:rsidRPr="008917C6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 xml:space="preserve">For further information: </w:t>
      </w:r>
    </w:p>
    <w:p w14:paraId="2A8F8CFC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A2A8E">
        <w:rPr>
          <w:rFonts w:ascii="Arial" w:hAnsi="Arial" w:cs="Arial"/>
          <w:sz w:val="20"/>
          <w:szCs w:val="20"/>
        </w:rPr>
        <w:t xml:space="preserve">Fluency </w:t>
      </w:r>
      <w:r>
        <w:rPr>
          <w:rFonts w:ascii="Arial" w:hAnsi="Arial" w:cs="Arial"/>
          <w:sz w:val="20"/>
          <w:szCs w:val="20"/>
        </w:rPr>
        <w:t>Business Group</w:t>
      </w:r>
    </w:p>
    <w:p w14:paraId="60207843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+44 1246 792003</w:t>
      </w:r>
    </w:p>
    <w:p w14:paraId="58B27E93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info@fluency</w:t>
      </w:r>
      <w:r>
        <w:rPr>
          <w:rFonts w:ascii="Arial" w:hAnsi="Arial" w:cs="Arial"/>
          <w:sz w:val="20"/>
          <w:szCs w:val="20"/>
        </w:rPr>
        <w:t>-group.com</w:t>
      </w:r>
    </w:p>
    <w:p w14:paraId="52AEBE3E" w14:textId="77777777" w:rsidR="00607E7B" w:rsidRDefault="00607E7B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4C53F7F" w14:textId="77777777" w:rsidR="00607E7B" w:rsidRPr="000A2A8E" w:rsidRDefault="00607E7B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>About the International Composites Summit</w:t>
      </w:r>
      <w:r>
        <w:rPr>
          <w:rFonts w:ascii="Arial" w:hAnsi="Arial" w:cs="Arial"/>
          <w:b/>
          <w:bCs/>
          <w:sz w:val="20"/>
          <w:szCs w:val="20"/>
        </w:rPr>
        <w:t xml:space="preserve"> (ICS)</w:t>
      </w:r>
      <w:r w:rsidRPr="000A2A8E">
        <w:rPr>
          <w:rFonts w:ascii="Arial" w:hAnsi="Arial" w:cs="Arial"/>
          <w:b/>
          <w:bCs/>
          <w:sz w:val="20"/>
          <w:szCs w:val="20"/>
        </w:rPr>
        <w:t>:</w:t>
      </w:r>
    </w:p>
    <w:p w14:paraId="77EBD400" w14:textId="77777777" w:rsidR="00C45F17" w:rsidRDefault="00C45F17" w:rsidP="00607E7B">
      <w:pPr>
        <w:spacing w:line="360" w:lineRule="auto"/>
        <w:rPr>
          <w:rFonts w:ascii="Arial" w:hAnsi="Arial" w:cs="Arial"/>
          <w:sz w:val="20"/>
          <w:szCs w:val="20"/>
        </w:rPr>
      </w:pPr>
    </w:p>
    <w:p w14:paraId="6E219EFC" w14:textId="41C9DB38" w:rsidR="00607E7B" w:rsidRPr="00135884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 xml:space="preserve">The International Composites Summit (ICS) is a global platform for accelerating growth, investment, and innovation in advanced materials. Organised by </w:t>
      </w:r>
      <w:r w:rsidRPr="00135884">
        <w:rPr>
          <w:rFonts w:ascii="Arial" w:hAnsi="Arial" w:cs="Arial"/>
          <w:b/>
          <w:bCs/>
          <w:sz w:val="20"/>
          <w:szCs w:val="20"/>
        </w:rPr>
        <w:t>Composites Connections</w:t>
      </w:r>
      <w:r w:rsidRPr="00135884">
        <w:rPr>
          <w:rFonts w:ascii="Arial" w:hAnsi="Arial" w:cs="Arial"/>
          <w:sz w:val="20"/>
          <w:szCs w:val="20"/>
        </w:rPr>
        <w:t xml:space="preserve">, a platform of </w:t>
      </w:r>
      <w:r w:rsidRPr="00135884">
        <w:rPr>
          <w:rFonts w:ascii="Arial" w:hAnsi="Arial" w:cs="Arial"/>
          <w:b/>
          <w:bCs/>
          <w:sz w:val="20"/>
          <w:szCs w:val="20"/>
        </w:rPr>
        <w:t>The Fluency Business Group Ltd</w:t>
      </w:r>
      <w:r w:rsidRPr="00135884">
        <w:rPr>
          <w:rFonts w:ascii="Arial" w:hAnsi="Arial" w:cs="Arial"/>
          <w:sz w:val="20"/>
          <w:szCs w:val="20"/>
        </w:rPr>
        <w:t>, ICS brings together the full composites supply chain</w:t>
      </w:r>
      <w:r>
        <w:rPr>
          <w:rFonts w:ascii="Arial" w:hAnsi="Arial" w:cs="Arial"/>
          <w:sz w:val="20"/>
          <w:szCs w:val="20"/>
        </w:rPr>
        <w:t xml:space="preserve">, </w:t>
      </w:r>
      <w:r w:rsidRPr="00135884">
        <w:rPr>
          <w:rFonts w:ascii="Arial" w:hAnsi="Arial" w:cs="Arial"/>
          <w:sz w:val="20"/>
          <w:szCs w:val="20"/>
        </w:rPr>
        <w:t>from material innovators and start-ups to OEMs, Tier 1s, and investors.</w:t>
      </w:r>
    </w:p>
    <w:p w14:paraId="68A76D8D" w14:textId="5BB83377" w:rsidR="00607E7B" w:rsidRPr="001C2574" w:rsidRDefault="00607E7B" w:rsidP="001C2574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>With its UK-based flagship event and international Innovation Hubs, ICS is designed to create commercial impact, foster strategic connections, and support companies in scaling their technologies and global reach. Focused on high-value networking, investor engagement, and applied innovation, ICS is where the future of composites takes shape.</w:t>
      </w:r>
    </w:p>
    <w:p w14:paraId="0DEEEC9D" w14:textId="77777777" w:rsidR="00607E7B" w:rsidRPr="000A2A8E" w:rsidRDefault="00607E7B" w:rsidP="0092455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07E7B" w:rsidRPr="000A2A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2F34" w14:textId="77777777" w:rsidR="00BB4385" w:rsidRDefault="00BB4385" w:rsidP="00711F2B">
      <w:pPr>
        <w:spacing w:after="0" w:line="240" w:lineRule="auto"/>
      </w:pPr>
      <w:r>
        <w:separator/>
      </w:r>
    </w:p>
  </w:endnote>
  <w:endnote w:type="continuationSeparator" w:id="0">
    <w:p w14:paraId="110EF130" w14:textId="77777777" w:rsidR="00BB4385" w:rsidRDefault="00BB4385" w:rsidP="0071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3011" w14:textId="77777777" w:rsidR="00094408" w:rsidRDefault="00094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4B45" w14:textId="77777777" w:rsidR="00094408" w:rsidRDefault="00094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B37E" w14:textId="77777777" w:rsidR="00094408" w:rsidRDefault="00094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0EC6" w14:textId="77777777" w:rsidR="00BB4385" w:rsidRDefault="00BB4385" w:rsidP="00711F2B">
      <w:pPr>
        <w:spacing w:after="0" w:line="240" w:lineRule="auto"/>
      </w:pPr>
      <w:r>
        <w:separator/>
      </w:r>
    </w:p>
  </w:footnote>
  <w:footnote w:type="continuationSeparator" w:id="0">
    <w:p w14:paraId="77C1E45E" w14:textId="77777777" w:rsidR="00BB4385" w:rsidRDefault="00BB4385" w:rsidP="0071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12D2" w14:textId="77777777" w:rsidR="00094408" w:rsidRDefault="00094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3F74" w14:textId="68F4EF5A" w:rsidR="00FF59BF" w:rsidRDefault="00FF59BF" w:rsidP="00FF59B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F15E456" wp14:editId="0272BD5E">
          <wp:extent cx="1757383" cy="1170940"/>
          <wp:effectExtent l="0" t="0" r="0" b="0"/>
          <wp:docPr id="986508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08155" name="Picture 98650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449" cy="1172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312E9" w14:textId="719D5673" w:rsidR="00FF59BF" w:rsidRPr="00FF59BF" w:rsidRDefault="00094408" w:rsidP="00403A96">
    <w:pPr>
      <w:pStyle w:val="Header"/>
      <w:rPr>
        <w:b/>
        <w:bCs/>
      </w:rPr>
    </w:pPr>
    <w:r>
      <w:rPr>
        <w:b/>
        <w:bCs/>
      </w:rPr>
      <w:t>25</w:t>
    </w:r>
    <w:r w:rsidR="00403A96">
      <w:rPr>
        <w:b/>
        <w:bCs/>
      </w:rPr>
      <w:t>/0</w:t>
    </w:r>
    <w:r w:rsidR="005D1F4F">
      <w:rPr>
        <w:b/>
        <w:bCs/>
      </w:rPr>
      <w:t>5</w:t>
    </w:r>
    <w:r w:rsidR="00403A96">
      <w:rPr>
        <w:b/>
        <w:bCs/>
      </w:rPr>
      <w:t>/2026</w:t>
    </w:r>
    <w:r w:rsidR="00403A96">
      <w:rPr>
        <w:b/>
        <w:bCs/>
      </w:rPr>
      <w:tab/>
    </w:r>
    <w:r w:rsidR="00403A96">
      <w:rPr>
        <w:b/>
        <w:bCs/>
      </w:rPr>
      <w:tab/>
    </w:r>
    <w:r w:rsidR="00FF59BF" w:rsidRPr="00FF59BF">
      <w:rPr>
        <w:b/>
        <w:bCs/>
      </w:rPr>
      <w:t>For Immediate Release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D427" w14:textId="77777777" w:rsidR="00094408" w:rsidRDefault="00094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550"/>
    <w:multiLevelType w:val="hybridMultilevel"/>
    <w:tmpl w:val="7F7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496C"/>
    <w:multiLevelType w:val="multilevel"/>
    <w:tmpl w:val="DBD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7130A"/>
    <w:multiLevelType w:val="hybridMultilevel"/>
    <w:tmpl w:val="492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32934"/>
    <w:multiLevelType w:val="multilevel"/>
    <w:tmpl w:val="C3B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E717F"/>
    <w:multiLevelType w:val="multilevel"/>
    <w:tmpl w:val="C9C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F507D"/>
    <w:multiLevelType w:val="multilevel"/>
    <w:tmpl w:val="2B3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062B7"/>
    <w:multiLevelType w:val="multilevel"/>
    <w:tmpl w:val="C7C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34660"/>
    <w:multiLevelType w:val="multilevel"/>
    <w:tmpl w:val="492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22CB8"/>
    <w:multiLevelType w:val="hybridMultilevel"/>
    <w:tmpl w:val="8EC8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2197C"/>
    <w:multiLevelType w:val="hybridMultilevel"/>
    <w:tmpl w:val="BB38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354C3"/>
    <w:multiLevelType w:val="multilevel"/>
    <w:tmpl w:val="249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3464E"/>
    <w:multiLevelType w:val="multilevel"/>
    <w:tmpl w:val="E1D6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61751">
    <w:abstractNumId w:val="10"/>
  </w:num>
  <w:num w:numId="2" w16cid:durableId="1382249457">
    <w:abstractNumId w:val="3"/>
  </w:num>
  <w:num w:numId="3" w16cid:durableId="1806460083">
    <w:abstractNumId w:val="5"/>
  </w:num>
  <w:num w:numId="4" w16cid:durableId="1743983158">
    <w:abstractNumId w:val="9"/>
  </w:num>
  <w:num w:numId="5" w16cid:durableId="80176290">
    <w:abstractNumId w:val="8"/>
  </w:num>
  <w:num w:numId="6" w16cid:durableId="1184787861">
    <w:abstractNumId w:val="2"/>
  </w:num>
  <w:num w:numId="7" w16cid:durableId="1800143144">
    <w:abstractNumId w:val="0"/>
  </w:num>
  <w:num w:numId="8" w16cid:durableId="2110654971">
    <w:abstractNumId w:val="1"/>
  </w:num>
  <w:num w:numId="9" w16cid:durableId="2133866194">
    <w:abstractNumId w:val="11"/>
  </w:num>
  <w:num w:numId="10" w16cid:durableId="1777211638">
    <w:abstractNumId w:val="6"/>
  </w:num>
  <w:num w:numId="11" w16cid:durableId="669672489">
    <w:abstractNumId w:val="4"/>
  </w:num>
  <w:num w:numId="12" w16cid:durableId="1253273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2"/>
    <w:rsid w:val="0006548D"/>
    <w:rsid w:val="00094408"/>
    <w:rsid w:val="000B5BBC"/>
    <w:rsid w:val="000D73DF"/>
    <w:rsid w:val="000F0725"/>
    <w:rsid w:val="00172D21"/>
    <w:rsid w:val="001C2574"/>
    <w:rsid w:val="00221C2F"/>
    <w:rsid w:val="00226044"/>
    <w:rsid w:val="002512B8"/>
    <w:rsid w:val="00294576"/>
    <w:rsid w:val="002A643B"/>
    <w:rsid w:val="00342442"/>
    <w:rsid w:val="00382CFF"/>
    <w:rsid w:val="00403A96"/>
    <w:rsid w:val="00485CB3"/>
    <w:rsid w:val="004B369F"/>
    <w:rsid w:val="004E1598"/>
    <w:rsid w:val="005D1F4F"/>
    <w:rsid w:val="00607E7B"/>
    <w:rsid w:val="00677C61"/>
    <w:rsid w:val="0068321F"/>
    <w:rsid w:val="00711F2B"/>
    <w:rsid w:val="00826011"/>
    <w:rsid w:val="00853574"/>
    <w:rsid w:val="00896622"/>
    <w:rsid w:val="00924552"/>
    <w:rsid w:val="00B2456A"/>
    <w:rsid w:val="00B517F6"/>
    <w:rsid w:val="00BB4385"/>
    <w:rsid w:val="00BD4DBC"/>
    <w:rsid w:val="00C166A5"/>
    <w:rsid w:val="00C45F17"/>
    <w:rsid w:val="00C53666"/>
    <w:rsid w:val="00C72EB9"/>
    <w:rsid w:val="00D94F2D"/>
    <w:rsid w:val="00DA575A"/>
    <w:rsid w:val="00DC2936"/>
    <w:rsid w:val="00ED3368"/>
    <w:rsid w:val="00F16957"/>
    <w:rsid w:val="00F66FE8"/>
    <w:rsid w:val="00FC08DF"/>
    <w:rsid w:val="00FC785F"/>
    <w:rsid w:val="00FF0BF9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17ED"/>
  <w15:chartTrackingRefBased/>
  <w15:docId w15:val="{A1A11AB1-EDCB-4357-919E-5F4497F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52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4552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2B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2B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0e10c-5b11-4ba7-b9c4-5f3539c9d7a6">
      <Terms xmlns="http://schemas.microsoft.com/office/infopath/2007/PartnerControls"/>
    </lcf76f155ced4ddcb4097134ff3c332f>
    <TaxCatchAll xmlns="7673bfb0-c845-4cbb-9f90-c68219067f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25E672BA8644A01B17F876011C77" ma:contentTypeVersion="14" ma:contentTypeDescription="Create a new document." ma:contentTypeScope="" ma:versionID="653e035dd8e1447f1b139a692a1fd4dd">
  <xsd:schema xmlns:xsd="http://www.w3.org/2001/XMLSchema" xmlns:xs="http://www.w3.org/2001/XMLSchema" xmlns:p="http://schemas.microsoft.com/office/2006/metadata/properties" xmlns:ns2="b980e10c-5b11-4ba7-b9c4-5f3539c9d7a6" xmlns:ns3="7673bfb0-c845-4cbb-9f90-c68219067f28" targetNamespace="http://schemas.microsoft.com/office/2006/metadata/properties" ma:root="true" ma:fieldsID="6c33937e828aded03ab19007eab39adf" ns2:_="" ns3:_="">
    <xsd:import namespace="b980e10c-5b11-4ba7-b9c4-5f3539c9d7a6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e10c-5b11-4ba7-b9c4-5f3539c9d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DC271-F8B9-43A1-A8D0-E6E320A77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F1AA7-BCFE-4ABB-A978-96B137D7C610}">
  <ds:schemaRefs>
    <ds:schemaRef ds:uri="http://schemas.microsoft.com/office/2006/metadata/properties"/>
    <ds:schemaRef ds:uri="http://schemas.microsoft.com/office/infopath/2007/PartnerControls"/>
    <ds:schemaRef ds:uri="b980e10c-5b11-4ba7-b9c4-5f3539c9d7a6"/>
    <ds:schemaRef ds:uri="7673bfb0-c845-4cbb-9f90-c68219067f28"/>
  </ds:schemaRefs>
</ds:datastoreItem>
</file>

<file path=customXml/itemProps3.xml><?xml version="1.0" encoding="utf-8"?>
<ds:datastoreItem xmlns:ds="http://schemas.openxmlformats.org/officeDocument/2006/customXml" ds:itemID="{8CED012D-0FFA-477D-8A07-F3AA45D7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0e10c-5b11-4ba7-b9c4-5f3539c9d7a6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Elligh Sissons</dc:creator>
  <cp:keywords/>
  <dc:description/>
  <cp:lastModifiedBy>Elligh Sissons</cp:lastModifiedBy>
  <cp:revision>8</cp:revision>
  <dcterms:created xsi:type="dcterms:W3CDTF">2026-05-14T10:05:00Z</dcterms:created>
  <dcterms:modified xsi:type="dcterms:W3CDTF">2026-06-04T12:04:00Z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0x010100262825E672BA8644A01B17F876011C77</vt:lpwstr>
  </property>
  <property fmtid="{D5CDD505-2E9C-101B-9397-08002B2CF9AE}" pid="3" name="MediaServiceImageTags">
    <vt:lpwstr/>
  </property>
  <property fmtid="{D5CDD505-2E9C-101B-9397-08002B2CF9AE}" pid="4" name="GrammarlyDocumentId">
    <vt:lpwstr>fcf0eaea-8a48-4b3e-bb75-f82b17fd001f</vt:lpwstr>
  </property>
</Properties>
</file>