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407A" w14:textId="261529B6" w:rsidR="00DE40B4" w:rsidRPr="000968DA" w:rsidRDefault="00235281" w:rsidP="00DE40B4">
      <w:pPr>
        <w:rPr>
          <w:rFonts w:ascii="Noto Sans" w:eastAsia="Calibri" w:hAnsi="Noto Sans" w:cs="Noto Sans"/>
          <w:b/>
          <w:bCs/>
          <w:color w:val="262626" w:themeColor="text1" w:themeTint="D9"/>
          <w:sz w:val="28"/>
          <w:szCs w:val="28"/>
        </w:rPr>
      </w:pPr>
      <w:r w:rsidRPr="000968DA">
        <w:rPr>
          <w:rFonts w:ascii="Noto Sans" w:eastAsia="Calibri" w:hAnsi="Noto Sans" w:cs="Noto Sans"/>
          <w:b/>
          <w:bCs/>
          <w:color w:val="262626" w:themeColor="text1" w:themeTint="D9"/>
          <w:sz w:val="28"/>
          <w:szCs w:val="28"/>
          <w:lang w:val="pt-PT"/>
        </w:rPr>
        <w:t>A Domino mostra como a integração e a automatização estão a acelerar a adoção dos códigos 2D na interpack 2026</w:t>
      </w:r>
    </w:p>
    <w:p w14:paraId="17C40B4A" w14:textId="77777777" w:rsidR="00DE40B4" w:rsidRPr="0041190A" w:rsidRDefault="00DE40B4" w:rsidP="00DE40B4">
      <w:pPr>
        <w:rPr>
          <w:rFonts w:ascii="Noto Sans" w:eastAsia="Calibri" w:hAnsi="Noto Sans" w:cs="Noto Sans"/>
          <w:b/>
          <w:color w:val="262626" w:themeColor="text1" w:themeTint="D9"/>
          <w:sz w:val="20"/>
          <w:szCs w:val="20"/>
        </w:rPr>
      </w:pPr>
    </w:p>
    <w:p w14:paraId="1E3961C9" w14:textId="1A262859" w:rsidR="00DE40B4" w:rsidRPr="0037433E" w:rsidRDefault="00DE40B4" w:rsidP="00DE40B4">
      <w:pPr>
        <w:rPr>
          <w:rFonts w:ascii="Noto Sans" w:eastAsia="Calibri" w:hAnsi="Noto Sans" w:cs="Noto Sans"/>
          <w:bCs/>
          <w:color w:val="262626" w:themeColor="text1" w:themeTint="D9"/>
          <w:sz w:val="22"/>
          <w:szCs w:val="22"/>
        </w:rPr>
      </w:pPr>
      <w:r w:rsidRPr="0037433E">
        <w:rPr>
          <w:rFonts w:ascii="Noto Sans" w:eastAsia="Calibri" w:hAnsi="Noto Sans" w:cs="Noto Sans"/>
          <w:color w:val="262626" w:themeColor="text1" w:themeTint="D9"/>
          <w:sz w:val="22"/>
          <w:szCs w:val="22"/>
          <w:lang w:val="pt-PT"/>
        </w:rPr>
        <w:t xml:space="preserve">Na interpack 2026, a </w:t>
      </w:r>
      <w:hyperlink r:id="rId6" w:history="1">
        <w:r w:rsidRPr="000968DA">
          <w:rPr>
            <w:rStyle w:val="Hyperlink"/>
            <w:rFonts w:ascii="Noto Sans" w:eastAsia="Calibri" w:hAnsi="Noto Sans" w:cs="Noto Sans"/>
            <w:sz w:val="22"/>
            <w:szCs w:val="22"/>
            <w:lang w:val="pt-PT"/>
          </w:rPr>
          <w:t>Domino Printing Sciences</w:t>
        </w:r>
      </w:hyperlink>
      <w:r w:rsidRPr="0037433E">
        <w:rPr>
          <w:rFonts w:ascii="Noto Sans" w:eastAsia="Calibri" w:hAnsi="Noto Sans" w:cs="Noto Sans"/>
          <w:color w:val="262626" w:themeColor="text1" w:themeTint="D9"/>
          <w:sz w:val="22"/>
          <w:szCs w:val="22"/>
          <w:lang w:val="pt-PT"/>
        </w:rPr>
        <w:t xml:space="preserve"> (Domino) aliou a experiência do setor a soluções práticas e prontas a utilizar, explorando de que forma a integração, a automatização e os fluxos de trabalho inteligentes estão a transformar a produção e a possibilitar a próxima geração de impressão e codificação avançadas de dados variáveis. </w:t>
      </w:r>
    </w:p>
    <w:p w14:paraId="30085698" w14:textId="77777777" w:rsidR="0081384D" w:rsidRPr="0037433E" w:rsidRDefault="0081384D" w:rsidP="0081384D">
      <w:pPr>
        <w:rPr>
          <w:rFonts w:ascii="Noto Sans" w:hAnsi="Noto Sans" w:cs="Noto Sans"/>
          <w:bCs/>
          <w:sz w:val="22"/>
          <w:szCs w:val="22"/>
        </w:rPr>
      </w:pPr>
    </w:p>
    <w:p w14:paraId="4B3B257D" w14:textId="0245F1AD" w:rsidR="00583EFB" w:rsidRPr="0037433E" w:rsidRDefault="00235281" w:rsidP="009D765C">
      <w:pPr>
        <w:rPr>
          <w:rFonts w:ascii="Noto Sans" w:hAnsi="Noto Sans" w:cs="Noto Sans"/>
          <w:bCs/>
          <w:sz w:val="22"/>
          <w:szCs w:val="22"/>
        </w:rPr>
      </w:pPr>
      <w:r w:rsidRPr="0037433E">
        <w:rPr>
          <w:rFonts w:ascii="Noto Sans" w:hAnsi="Noto Sans" w:cs="Noto Sans"/>
          <w:sz w:val="22"/>
          <w:szCs w:val="22"/>
          <w:lang w:val="pt-PT"/>
        </w:rPr>
        <w:t xml:space="preserve">Refletindo esta transição, a Domino registou uma evolução clara no diálogo com os clientes, com visitantes de uma ampla variedade de empresas de FMCG, farmacêuticas e industriais, além da simples sensibilização para a importância dos códigos 2D. O foco mudou para os desafios práticos da implementação à escala de estratégias de impressão avançada de dados variáveis, incluindo códigos 2D, sem comprometer a velocidade de produção, a eficiência ou os objetivos de sustentabilidade. </w:t>
      </w:r>
    </w:p>
    <w:p w14:paraId="7E72A6AB" w14:textId="77777777" w:rsidR="00583EFB" w:rsidRPr="0037433E" w:rsidRDefault="00583EFB" w:rsidP="009D765C">
      <w:pPr>
        <w:rPr>
          <w:rFonts w:ascii="Noto Sans" w:hAnsi="Noto Sans" w:cs="Noto Sans"/>
          <w:bCs/>
          <w:sz w:val="22"/>
          <w:szCs w:val="22"/>
        </w:rPr>
      </w:pPr>
    </w:p>
    <w:p w14:paraId="27EC668E" w14:textId="6CB8F1D8" w:rsidR="009D765C" w:rsidRPr="0037433E" w:rsidRDefault="009D765C" w:rsidP="009D765C">
      <w:pPr>
        <w:rPr>
          <w:rFonts w:ascii="Noto Sans" w:hAnsi="Noto Sans" w:cs="Noto Sans"/>
          <w:sz w:val="22"/>
          <w:szCs w:val="22"/>
        </w:rPr>
      </w:pPr>
      <w:r w:rsidRPr="0037433E">
        <w:rPr>
          <w:rFonts w:ascii="Noto Sans" w:hAnsi="Noto Sans" w:cs="Noto Sans"/>
          <w:sz w:val="22"/>
          <w:szCs w:val="22"/>
          <w:lang w:val="pt-PT"/>
        </w:rPr>
        <w:t xml:space="preserve">"A conversa mudou de "o que são códigos 2D?" para "como os podemos fazer funcionar?", afirma Craig Stobie, Global Sector Development Director da Domino. "Os fabricantes querem saber como podem obter as vantagens da implementação de códigos 2D de dados variáveis sem comprometer a velocidade, a eficiência ou os compromissos de sustentabilidade, e estão à procura de parceiros com experiência real para apoiar este percurso." </w:t>
      </w:r>
    </w:p>
    <w:p w14:paraId="4577E471" w14:textId="77777777" w:rsidR="0081384D" w:rsidRPr="0037433E" w:rsidRDefault="0081384D" w:rsidP="0081384D">
      <w:pPr>
        <w:rPr>
          <w:rFonts w:ascii="Noto Sans" w:hAnsi="Noto Sans" w:cs="Noto Sans"/>
          <w:sz w:val="22"/>
          <w:szCs w:val="22"/>
        </w:rPr>
      </w:pPr>
    </w:p>
    <w:p w14:paraId="290AD762" w14:textId="4B6AC4B3" w:rsidR="0081384D" w:rsidRPr="0037433E" w:rsidRDefault="004F5E1A" w:rsidP="0081384D">
      <w:pPr>
        <w:rPr>
          <w:rFonts w:ascii="Noto Sans" w:hAnsi="Noto Sans" w:cs="Noto Sans"/>
          <w:sz w:val="22"/>
          <w:szCs w:val="22"/>
        </w:rPr>
      </w:pPr>
      <w:r w:rsidRPr="0037433E">
        <w:rPr>
          <w:rFonts w:ascii="Noto Sans" w:hAnsi="Noto Sans" w:cs="Noto Sans"/>
          <w:sz w:val="22"/>
          <w:szCs w:val="22"/>
          <w:lang w:val="pt-PT"/>
        </w:rPr>
        <w:t>Um dos principais temas ao longo do evento foi a necessidade de ir além das soluções de codificação autónomas, avançando para sistemas conectados e integrados concebidos para apoiar uma implementação bem-sucedida de códigos 2D. Os visitantes mostraram um interesse crescente na personalização nas fases finais, na automatização da linha de produção, nos sistemas de visualização para garantia da qualidade e nas soluções chave-na-mão para simplificar a implementação.</w:t>
      </w:r>
    </w:p>
    <w:p w14:paraId="0ABF2D29" w14:textId="77777777" w:rsidR="0081384D" w:rsidRPr="0037433E" w:rsidRDefault="0081384D" w:rsidP="0081384D">
      <w:pPr>
        <w:rPr>
          <w:rFonts w:ascii="Noto Sans" w:hAnsi="Noto Sans" w:cs="Noto Sans"/>
          <w:sz w:val="22"/>
          <w:szCs w:val="22"/>
        </w:rPr>
      </w:pPr>
    </w:p>
    <w:p w14:paraId="737EE112" w14:textId="0E22E083" w:rsidR="00131F13" w:rsidRPr="0037433E" w:rsidRDefault="00131F13" w:rsidP="00131F13">
      <w:pPr>
        <w:rPr>
          <w:rFonts w:ascii="Noto Sans" w:hAnsi="Noto Sans" w:cs="Noto Sans"/>
          <w:sz w:val="22"/>
          <w:szCs w:val="22"/>
        </w:rPr>
      </w:pPr>
      <w:r w:rsidRPr="0037433E">
        <w:rPr>
          <w:rFonts w:ascii="Noto Sans" w:hAnsi="Noto Sans" w:cs="Noto Sans"/>
          <w:sz w:val="22"/>
          <w:szCs w:val="22"/>
          <w:lang w:val="pt-PT"/>
        </w:rPr>
        <w:t>"A mudança para os códigos 2D afeta tudo, desde a codificação e marcação de produtos até aos sistemas empresariais, tornando a conectividade e a integração mais críticas do que nunca", afirma Adem Kulauzovic, Director of Automation and Integration da Domino. "Os fabricantes reconhecem cada vez mais o valor das soluções ligadas que reduzem a complexidade, garantem a consistência e suportam a impressão avançada de dados variáveis à escala."</w:t>
      </w:r>
    </w:p>
    <w:p w14:paraId="7EB5FA80" w14:textId="77777777" w:rsidR="00131F13" w:rsidRPr="0037433E" w:rsidRDefault="00131F13" w:rsidP="00131F13">
      <w:pPr>
        <w:rPr>
          <w:rFonts w:ascii="Noto Sans" w:hAnsi="Noto Sans" w:cs="Noto Sans"/>
          <w:sz w:val="22"/>
          <w:szCs w:val="22"/>
        </w:rPr>
      </w:pPr>
    </w:p>
    <w:p w14:paraId="7CD8AC3D" w14:textId="39F404B3" w:rsidR="000360FB" w:rsidRPr="0037433E" w:rsidRDefault="00131F13" w:rsidP="00131F13">
      <w:pPr>
        <w:rPr>
          <w:rFonts w:ascii="Noto Sans" w:hAnsi="Noto Sans" w:cs="Noto Sans"/>
          <w:sz w:val="22"/>
          <w:szCs w:val="22"/>
        </w:rPr>
      </w:pPr>
      <w:r w:rsidRPr="0037433E">
        <w:rPr>
          <w:rFonts w:ascii="Noto Sans" w:hAnsi="Noto Sans" w:cs="Noto Sans"/>
          <w:sz w:val="22"/>
          <w:szCs w:val="22"/>
          <w:lang w:val="pt-PT"/>
        </w:rPr>
        <w:t xml:space="preserve">A abordagem integrada da Domino aos sistemas de impressão e codificação avançadas de dados variáveis foi muito bem recebida pelos participantes. O stand apresentou soluções concebidas para funcionarem perfeitamente em conjunto no chão de fábrica e desenvolvidas em colaboração com parceiros da indústria para reduzir o risco, simplificar a implementação e melhorar a eficiência operacional. </w:t>
      </w:r>
    </w:p>
    <w:p w14:paraId="0C3A05E1" w14:textId="77777777" w:rsidR="000360FB" w:rsidRPr="0037433E" w:rsidRDefault="000360FB" w:rsidP="00131F13">
      <w:pPr>
        <w:rPr>
          <w:rFonts w:ascii="Noto Sans" w:hAnsi="Noto Sans" w:cs="Noto Sans"/>
          <w:sz w:val="22"/>
          <w:szCs w:val="22"/>
        </w:rPr>
      </w:pPr>
    </w:p>
    <w:p w14:paraId="3E023B74" w14:textId="702FDA88" w:rsidR="0081384D" w:rsidRPr="0037433E" w:rsidRDefault="00F03C0C" w:rsidP="0081384D">
      <w:pPr>
        <w:rPr>
          <w:rFonts w:ascii="Noto Sans" w:hAnsi="Noto Sans" w:cs="Noto Sans"/>
          <w:sz w:val="22"/>
          <w:szCs w:val="22"/>
        </w:rPr>
      </w:pPr>
      <w:r w:rsidRPr="0037433E">
        <w:rPr>
          <w:rFonts w:ascii="Noto Sans" w:hAnsi="Noto Sans" w:cs="Noto Sans"/>
          <w:sz w:val="22"/>
          <w:szCs w:val="22"/>
          <w:lang w:val="pt-PT"/>
        </w:rPr>
        <w:t xml:space="preserve">As tecnologias em exposição incluíam sistemas de </w:t>
      </w:r>
      <w:hyperlink r:id="rId7" w:history="1">
        <w:r w:rsidRPr="0037433E">
          <w:rPr>
            <w:rStyle w:val="Hyperlink"/>
            <w:rFonts w:ascii="Noto Sans" w:hAnsi="Noto Sans" w:cs="Noto Sans"/>
            <w:sz w:val="22"/>
            <w:szCs w:val="22"/>
            <w:lang w:val="pt-PT"/>
          </w:rPr>
          <w:t>jato de tinta</w:t>
        </w:r>
      </w:hyperlink>
      <w:r w:rsidRPr="0037433E">
        <w:rPr>
          <w:rFonts w:ascii="Noto Sans" w:hAnsi="Noto Sans" w:cs="Noto Sans"/>
          <w:sz w:val="22"/>
          <w:szCs w:val="22"/>
          <w:lang w:val="pt-PT"/>
        </w:rPr>
        <w:t xml:space="preserve">, </w:t>
      </w:r>
      <w:hyperlink r:id="rId8" w:history="1">
        <w:r w:rsidRPr="0037433E">
          <w:rPr>
            <w:rStyle w:val="Hyperlink"/>
            <w:rFonts w:ascii="Noto Sans" w:hAnsi="Noto Sans" w:cs="Noto Sans"/>
            <w:sz w:val="22"/>
            <w:szCs w:val="22"/>
            <w:lang w:val="pt-PT"/>
          </w:rPr>
          <w:t>laser</w:t>
        </w:r>
      </w:hyperlink>
      <w:r w:rsidRPr="0037433E">
        <w:rPr>
          <w:rFonts w:ascii="Noto Sans" w:hAnsi="Noto Sans" w:cs="Noto Sans"/>
          <w:sz w:val="22"/>
          <w:szCs w:val="22"/>
          <w:lang w:val="pt-PT"/>
        </w:rPr>
        <w:t xml:space="preserve">, e </w:t>
      </w:r>
      <w:hyperlink r:id="rId9" w:history="1">
        <w:r w:rsidRPr="0037433E">
          <w:rPr>
            <w:rStyle w:val="Hyperlink"/>
            <w:rFonts w:ascii="Noto Sans" w:hAnsi="Noto Sans" w:cs="Noto Sans"/>
            <w:sz w:val="22"/>
            <w:szCs w:val="22"/>
            <w:lang w:val="pt-PT"/>
          </w:rPr>
          <w:t>etiquetagem de paletes</w:t>
        </w:r>
      </w:hyperlink>
      <w:r w:rsidRPr="0037433E">
        <w:rPr>
          <w:rFonts w:ascii="Noto Sans" w:hAnsi="Noto Sans" w:cs="Noto Sans"/>
          <w:sz w:val="22"/>
          <w:szCs w:val="22"/>
          <w:lang w:val="pt-PT"/>
        </w:rPr>
        <w:t xml:space="preserve"> de alta velocidade, capazes de fornecer códigos 2D compatíveis com as normas GS1, bem como soluções integradas de visão e automatização destinadas a garantir a precisão, reduzir o desperdício e permitir a rastreabilidade de ponta a ponta. </w:t>
      </w:r>
    </w:p>
    <w:p w14:paraId="200B657C" w14:textId="77777777" w:rsidR="0060520F" w:rsidRPr="0037433E" w:rsidRDefault="0060520F" w:rsidP="0081384D">
      <w:pPr>
        <w:rPr>
          <w:rFonts w:ascii="Noto Sans" w:hAnsi="Noto Sans" w:cs="Noto Sans"/>
          <w:sz w:val="22"/>
          <w:szCs w:val="22"/>
        </w:rPr>
      </w:pPr>
    </w:p>
    <w:p w14:paraId="1FE83F55" w14:textId="2079FCFA" w:rsidR="000360FB" w:rsidRPr="0037433E" w:rsidRDefault="0081384D" w:rsidP="0081384D">
      <w:pPr>
        <w:rPr>
          <w:rFonts w:ascii="Noto Sans" w:hAnsi="Noto Sans" w:cs="Noto Sans"/>
          <w:sz w:val="22"/>
          <w:szCs w:val="22"/>
        </w:rPr>
      </w:pPr>
      <w:r w:rsidRPr="0037433E">
        <w:rPr>
          <w:rFonts w:ascii="Noto Sans" w:hAnsi="Noto Sans" w:cs="Noto Sans"/>
          <w:sz w:val="22"/>
          <w:szCs w:val="22"/>
          <w:lang w:val="pt-PT"/>
        </w:rPr>
        <w:t xml:space="preserve">As ideias do painel de discussão da Domino com a Amazon e GS1 Germany reforçaram que a transição para os códigos 2D está bem encaminhada. Os debates salientaram a importância das normas, da interoperabilidade e da colaboração para garantir o êxito da adoção dos códigos 2D em toda a cadeia de valor. </w:t>
      </w:r>
    </w:p>
    <w:p w14:paraId="42EAECA8" w14:textId="77777777" w:rsidR="000360FB" w:rsidRPr="0037433E" w:rsidRDefault="000360FB" w:rsidP="0081384D">
      <w:pPr>
        <w:rPr>
          <w:rFonts w:ascii="Noto Sans" w:hAnsi="Noto Sans" w:cs="Noto Sans"/>
          <w:sz w:val="22"/>
          <w:szCs w:val="22"/>
        </w:rPr>
      </w:pPr>
    </w:p>
    <w:p w14:paraId="15022C9E" w14:textId="48EF440E" w:rsidR="000360FB" w:rsidRPr="0037433E" w:rsidRDefault="00DE40B4" w:rsidP="00DE40B4">
      <w:pPr>
        <w:rPr>
          <w:rFonts w:ascii="Noto Sans" w:hAnsi="Noto Sans" w:cs="Noto Sans"/>
          <w:sz w:val="22"/>
          <w:szCs w:val="22"/>
        </w:rPr>
      </w:pPr>
      <w:r w:rsidRPr="0037433E">
        <w:rPr>
          <w:rFonts w:ascii="Noto Sans" w:hAnsi="Noto Sans" w:cs="Noto Sans"/>
          <w:sz w:val="22"/>
          <w:szCs w:val="22"/>
          <w:lang w:val="pt-PT"/>
        </w:rPr>
        <w:t xml:space="preserve">À medida que a dinâmica da adoção dos códigos 2D aumenta e o foco da indústria passa da sensibilização para a execução, a Domino continua empenhada em apoiar os fabricantes em todas as fases do seu percurso como um parceiro de confiança na impressão e codificação avançada de dados variáveis. </w:t>
      </w:r>
    </w:p>
    <w:p w14:paraId="6CBFEC1E" w14:textId="77777777" w:rsidR="00583EFB" w:rsidRPr="0037433E" w:rsidRDefault="00583EFB" w:rsidP="00DE40B4">
      <w:pPr>
        <w:rPr>
          <w:rFonts w:ascii="Noto Sans" w:hAnsi="Noto Sans" w:cs="Noto Sans"/>
          <w:sz w:val="22"/>
          <w:szCs w:val="22"/>
        </w:rPr>
      </w:pPr>
    </w:p>
    <w:p w14:paraId="74F2E7DB" w14:textId="1CD893BE" w:rsidR="00583EFB" w:rsidRDefault="00583EFB" w:rsidP="00583EFB">
      <w:pPr>
        <w:rPr>
          <w:rFonts w:ascii="Noto Sans" w:hAnsi="Noto Sans" w:cs="Noto Sans"/>
          <w:sz w:val="22"/>
          <w:szCs w:val="22"/>
          <w:lang w:val="pt-PT"/>
        </w:rPr>
      </w:pPr>
      <w:r w:rsidRPr="0037433E">
        <w:rPr>
          <w:rFonts w:ascii="Noto Sans" w:hAnsi="Noto Sans" w:cs="Noto Sans"/>
          <w:sz w:val="22"/>
          <w:szCs w:val="22"/>
          <w:lang w:val="pt-PT"/>
        </w:rPr>
        <w:t xml:space="preserve">Para saber como a Domino pode apoiar a sua transição para os códigos 2D, visite </w:t>
      </w:r>
      <w:hyperlink r:id="rId10" w:history="1">
        <w:r w:rsidR="000968DA" w:rsidRPr="000968DA">
          <w:rPr>
            <w:rStyle w:val="Hyperlink"/>
          </w:rPr>
          <w:t>Company Headlines - News | Domino Portugal</w:t>
        </w:r>
      </w:hyperlink>
      <w:r w:rsidRPr="0037433E">
        <w:rPr>
          <w:rFonts w:ascii="Noto Sans" w:hAnsi="Noto Sans" w:cs="Noto Sans"/>
          <w:sz w:val="22"/>
          <w:szCs w:val="22"/>
          <w:lang w:val="pt-PT"/>
        </w:rPr>
        <w:t xml:space="preserve">. </w:t>
      </w:r>
    </w:p>
    <w:p w14:paraId="058188F3" w14:textId="77777777" w:rsidR="000968DA" w:rsidRDefault="000968DA" w:rsidP="00583EFB">
      <w:pPr>
        <w:rPr>
          <w:rFonts w:ascii="Noto Sans" w:hAnsi="Noto Sans" w:cs="Noto Sans"/>
          <w:sz w:val="22"/>
          <w:szCs w:val="22"/>
          <w:lang w:val="pt-PT"/>
        </w:rPr>
      </w:pPr>
    </w:p>
    <w:p w14:paraId="6E859B2F" w14:textId="4198577C" w:rsidR="0037433E" w:rsidRPr="0037433E" w:rsidRDefault="0037433E" w:rsidP="00583EFB">
      <w:pPr>
        <w:rPr>
          <w:rFonts w:ascii="Noto Sans" w:hAnsi="Noto Sans" w:cs="Noto Sans"/>
          <w:sz w:val="22"/>
          <w:szCs w:val="22"/>
          <w:lang w:val="pt-PT"/>
        </w:rPr>
      </w:pPr>
      <w:r>
        <w:rPr>
          <w:rFonts w:ascii="Noto Sans" w:hAnsi="Noto Sans" w:cs="Noto Sans"/>
          <w:sz w:val="22"/>
          <w:szCs w:val="22"/>
          <w:lang w:val="pt-PT"/>
        </w:rPr>
        <w:t>&lt;</w:t>
      </w:r>
      <w:r w:rsidRPr="0037433E">
        <w:rPr>
          <w:rFonts w:ascii="Noto Sans" w:hAnsi="Noto Sans" w:cs="Noto Sans"/>
          <w:b/>
          <w:bCs/>
          <w:sz w:val="22"/>
          <w:szCs w:val="22"/>
          <w:lang w:val="pt-PT"/>
        </w:rPr>
        <w:t>FIM</w:t>
      </w:r>
      <w:r>
        <w:rPr>
          <w:rFonts w:ascii="Noto Sans" w:hAnsi="Noto Sans" w:cs="Noto Sans"/>
          <w:sz w:val="22"/>
          <w:szCs w:val="22"/>
          <w:lang w:val="pt-PT"/>
        </w:rPr>
        <w:t>&gt;</w:t>
      </w:r>
    </w:p>
    <w:p w14:paraId="59A96897" w14:textId="77777777" w:rsidR="0037433E" w:rsidRDefault="0037433E" w:rsidP="00583EFB">
      <w:pPr>
        <w:rPr>
          <w:rFonts w:ascii="Noto Sans" w:hAnsi="Noto Sans" w:cs="Noto Sans"/>
          <w:sz w:val="20"/>
          <w:szCs w:val="20"/>
          <w:lang w:val="pt-PT"/>
        </w:rPr>
      </w:pPr>
    </w:p>
    <w:p w14:paraId="087479C6" w14:textId="77777777" w:rsidR="0037433E" w:rsidRPr="002B23C7" w:rsidRDefault="0037433E" w:rsidP="0037433E">
      <w:pPr>
        <w:rPr>
          <w:rFonts w:ascii="Noto Sans" w:eastAsiaTheme="minorHAnsi" w:hAnsi="Noto Sans" w:cs="Noto Sans"/>
          <w:sz w:val="22"/>
          <w:lang w:val="pt-PT"/>
        </w:rPr>
      </w:pPr>
      <w:bookmarkStart w:id="0" w:name="_Hlk531088985"/>
      <w:bookmarkStart w:id="1" w:name="_Hlk61949672"/>
      <w:r w:rsidRPr="002856FD">
        <w:rPr>
          <w:rFonts w:ascii="Noto Sans" w:hAnsi="Noto Sans" w:cs="Noto Sans"/>
          <w:b/>
          <w:bCs/>
          <w:sz w:val="20"/>
          <w:szCs w:val="20"/>
          <w:lang w:val="pt"/>
        </w:rPr>
        <w:t>Isenção de responsabilidade</w:t>
      </w:r>
      <w:bookmarkEnd w:id="0"/>
      <w:r w:rsidRPr="002856FD">
        <w:rPr>
          <w:rFonts w:ascii="Noto Sans" w:hAnsi="Noto Sans" w:cs="Noto Sans"/>
          <w:sz w:val="20"/>
          <w:szCs w:val="20"/>
          <w:lang w:val="pt"/>
        </w:rPr>
        <w:br/>
      </w:r>
      <w:r w:rsidRPr="002856FD">
        <w:rPr>
          <w:rFonts w:ascii="Noto Sans" w:hAnsi="Noto Sans" w:cs="Noto Sans"/>
          <w:sz w:val="20"/>
          <w:szCs w:val="20"/>
          <w:lang w:val="pt"/>
        </w:rPr>
        <w:br/>
      </w:r>
      <w:r w:rsidRPr="002856FD">
        <w:rPr>
          <w:rFonts w:ascii="Noto Sans" w:hAnsi="Noto Sans" w:cs="Noto Sans"/>
          <w:b/>
          <w:bCs/>
          <w:sz w:val="20"/>
          <w:szCs w:val="20"/>
          <w:lang w:val="pt"/>
        </w:rPr>
        <w:t>Tintas</w:t>
      </w:r>
      <w:r w:rsidRPr="002856FD">
        <w:rPr>
          <w:rFonts w:ascii="Noto Sans" w:hAnsi="Noto Sans" w:cs="Noto Sans"/>
          <w:sz w:val="20"/>
          <w:szCs w:val="20"/>
          <w:lang w:val="pt"/>
        </w:rPr>
        <w:br/>
        <w:t xml:space="preserve">As informações que se encontram no presente documento não devem substituir a realização dos testes adequados às suas circunstâncias e usos específicos. A Domino Portugal – Tecnologias de Codificação, S.A. e as empresas do grupo Domino não serão, de forma alguma, responsáveis por qualquer tipo de confiança depositada neste documento em relação à adequação de qualquer uma das nossas tintas à sua aplicação em particular. O presente documento não faz parte de quaisquer termos e condições celebrados entre si e a Domino Portugal. Exclusões de responsabilidade v.1.0 Fevereiro 2018. Os Termos e Condições de venda da Domino, em particular as garantias e responsabilidades presentes nos mesmos, dever-se-ão aplicar a qualquer uma das suas compras de produtos. </w:t>
      </w:r>
      <w:r w:rsidRPr="002856FD">
        <w:rPr>
          <w:rFonts w:ascii="Noto Sans" w:hAnsi="Noto Sans" w:cs="Noto Sans"/>
          <w:sz w:val="20"/>
          <w:szCs w:val="20"/>
          <w:lang w:val="pt"/>
        </w:rPr>
        <w:br/>
      </w:r>
      <w:r w:rsidRPr="002856FD">
        <w:rPr>
          <w:rFonts w:ascii="Noto Sans" w:hAnsi="Noto Sans" w:cs="Noto Sans"/>
          <w:sz w:val="20"/>
          <w:szCs w:val="20"/>
          <w:lang w:val="pt"/>
        </w:rPr>
        <w:br/>
      </w:r>
      <w:r w:rsidRPr="002856FD">
        <w:rPr>
          <w:rFonts w:ascii="Noto Sans" w:hAnsi="Noto Sans" w:cs="Noto Sans"/>
          <w:b/>
          <w:bCs/>
          <w:sz w:val="20"/>
          <w:szCs w:val="20"/>
          <w:lang w:val="pt"/>
        </w:rPr>
        <w:t>Geral</w:t>
      </w:r>
      <w:r w:rsidRPr="002856FD">
        <w:rPr>
          <w:rFonts w:ascii="Noto Sans" w:hAnsi="Noto Sans" w:cs="Noto Sans"/>
          <w:sz w:val="20"/>
          <w:szCs w:val="20"/>
          <w:lang w:val="pt"/>
        </w:rPr>
        <w:br/>
        <w:t xml:space="preserve">As informações constantes no presente comunicado de imprensa são consideradas verdadeiras e corretas à data da publicação pela Domino. Qualquer alteração verificada após a data da publicação pode afetar a exatidão destas informações. Todos os valores em termos de desempenho e alegações citados no presente documento foram obtidos sob condições específicas e apenas poderão ser repetidos sob condições semelhantes. Para obter detalhes específicos do produto, deve entrar em contacto com o seu Account Manager da Domino Portugal. O presente documento não faz parte de quaisquer termos e condições celebrados entre si e a Domino Portugal. </w:t>
      </w:r>
      <w:r w:rsidRPr="002856FD">
        <w:rPr>
          <w:rFonts w:ascii="Noto Sans" w:hAnsi="Noto Sans" w:cs="Noto Sans"/>
          <w:sz w:val="20"/>
          <w:szCs w:val="20"/>
          <w:lang w:val="pt"/>
        </w:rPr>
        <w:br/>
      </w:r>
      <w:r w:rsidRPr="002856FD">
        <w:rPr>
          <w:rFonts w:ascii="Noto Sans" w:hAnsi="Noto Sans" w:cs="Noto Sans"/>
          <w:sz w:val="20"/>
          <w:szCs w:val="20"/>
          <w:lang w:val="pt"/>
        </w:rPr>
        <w:br/>
      </w:r>
      <w:r w:rsidRPr="002856FD">
        <w:rPr>
          <w:rFonts w:ascii="Noto Sans" w:hAnsi="Noto Sans" w:cs="Noto Sans"/>
          <w:b/>
          <w:bCs/>
          <w:sz w:val="20"/>
          <w:szCs w:val="20"/>
          <w:lang w:val="pt"/>
        </w:rPr>
        <w:lastRenderedPageBreak/>
        <w:t>Imagens</w:t>
      </w:r>
      <w:r w:rsidRPr="002856FD">
        <w:rPr>
          <w:rFonts w:ascii="Noto Sans" w:hAnsi="Noto Sans" w:cs="Noto Sans"/>
          <w:sz w:val="20"/>
          <w:szCs w:val="20"/>
          <w:lang w:val="pt"/>
        </w:rPr>
        <w:br/>
        <w:t xml:space="preserve">As imagens podem incluir melhorias ou extras opcionais. A qualidade de impressão pode variar de acordo com os consumíveis, o equipamento, a superfície e outros fatores. As imagens e fotografias não fazem parte de quaisquer termos e condições celebrados entre si e a Domino Portugal. </w:t>
      </w:r>
      <w:r w:rsidRPr="002856FD">
        <w:rPr>
          <w:rFonts w:ascii="Noto Sans" w:hAnsi="Noto Sans" w:cs="Noto Sans"/>
          <w:sz w:val="20"/>
          <w:szCs w:val="20"/>
          <w:lang w:val="pt"/>
        </w:rPr>
        <w:br/>
      </w:r>
      <w:r w:rsidRPr="002856FD">
        <w:rPr>
          <w:rFonts w:ascii="Noto Sans" w:hAnsi="Noto Sans" w:cs="Noto Sans"/>
          <w:sz w:val="20"/>
          <w:szCs w:val="20"/>
          <w:lang w:val="pt"/>
        </w:rPr>
        <w:br/>
      </w:r>
      <w:r w:rsidRPr="002856FD">
        <w:rPr>
          <w:rFonts w:ascii="Noto Sans" w:hAnsi="Noto Sans" w:cs="Noto Sans"/>
          <w:b/>
          <w:bCs/>
          <w:sz w:val="20"/>
          <w:szCs w:val="20"/>
          <w:lang w:val="pt"/>
        </w:rPr>
        <w:t>Vídeos</w:t>
      </w:r>
      <w:r w:rsidRPr="002856FD">
        <w:rPr>
          <w:rFonts w:ascii="Noto Sans" w:hAnsi="Noto Sans" w:cs="Noto Sans"/>
          <w:sz w:val="20"/>
          <w:szCs w:val="20"/>
          <w:lang w:val="pt"/>
        </w:rPr>
        <w:br/>
        <w:t>Este vídeo é apenas ilustrativo e pode incluir extras opcionais. Os valores relativos ao desempenho foram obtidos sob condições específicas; o desempenho individual pode variar. Os erros e as paragens das linhas de produção podem ser inevitáveis. Nada do que se encontra neste vídeo faz parte de qualquer contrato celebrado entre si e a Domino Portugal.</w:t>
      </w:r>
      <w:r w:rsidRPr="002856FD">
        <w:rPr>
          <w:rFonts w:ascii="Noto Sans" w:eastAsia="Gill Sans" w:hAnsi="Noto Sans" w:cs="Noto Sans"/>
          <w:sz w:val="20"/>
          <w:szCs w:val="20"/>
          <w:lang w:val="es-ES"/>
        </w:rPr>
        <w:br/>
      </w:r>
      <w:r w:rsidRPr="002E0B38">
        <w:rPr>
          <w:rFonts w:ascii="Noto Sans" w:eastAsia="Gill Sans" w:hAnsi="Noto Sans" w:cs="Noto Sans"/>
          <w:b/>
          <w:sz w:val="20"/>
          <w:szCs w:val="20"/>
          <w:lang w:val="es-ES"/>
        </w:rPr>
        <w:br/>
      </w:r>
      <w:r w:rsidRPr="002E0B38">
        <w:rPr>
          <w:rFonts w:ascii="Noto Sans" w:eastAsia="Gill Sans" w:hAnsi="Noto Sans" w:cs="Noto Sans"/>
          <w:b/>
          <w:bCs/>
          <w:sz w:val="20"/>
          <w:szCs w:val="20"/>
          <w:lang w:val="pt-PT"/>
        </w:rPr>
        <w:t>Notas para os editores:</w:t>
      </w:r>
      <w:r w:rsidRPr="002E0B38">
        <w:rPr>
          <w:rFonts w:ascii="Noto Sans" w:eastAsia="Gill Sans" w:hAnsi="Noto Sans" w:cs="Noto Sans"/>
          <w:b/>
          <w:sz w:val="20"/>
          <w:szCs w:val="20"/>
          <w:lang w:val="es-ES"/>
        </w:rPr>
        <w:br/>
      </w:r>
      <w:r w:rsidRPr="002E0B38">
        <w:rPr>
          <w:rFonts w:ascii="Noto Sans" w:eastAsia="Gill Sans" w:hAnsi="Noto Sans" w:cs="Noto Sans"/>
          <w:sz w:val="20"/>
          <w:szCs w:val="20"/>
          <w:lang w:val="es-ES"/>
        </w:rPr>
        <w:br/>
      </w:r>
      <w:r w:rsidRPr="002856FD">
        <w:rPr>
          <w:rFonts w:ascii="Noto Sans" w:hAnsi="Noto Sans" w:cs="Noto Sans"/>
          <w:b/>
          <w:bCs/>
          <w:color w:val="000000" w:themeColor="text1"/>
          <w:sz w:val="20"/>
          <w:szCs w:val="20"/>
          <w:lang w:val="pt"/>
        </w:rPr>
        <w:t>Acerca da Domino</w:t>
      </w:r>
      <w:r>
        <w:rPr>
          <w:rFonts w:ascii="Noto Sans" w:hAnsi="Noto Sans" w:cs="Noto Sans"/>
          <w:b/>
          <w:bCs/>
          <w:color w:val="000000" w:themeColor="text1"/>
          <w:sz w:val="20"/>
          <w:szCs w:val="20"/>
          <w:lang w:val="pt"/>
        </w:rPr>
        <w:br/>
      </w:r>
      <w:r w:rsidRPr="002856FD">
        <w:rPr>
          <w:rFonts w:ascii="Noto Sans" w:hAnsi="Noto Sans" w:cs="Noto Sans"/>
          <w:sz w:val="20"/>
          <w:szCs w:val="20"/>
          <w:lang w:val="pt"/>
        </w:rPr>
        <w:t xml:space="preserve">Desde 1978, a Domino Printing Sciences (Domino) estabeleceu uma reputação global relativamente ao desenvolvimento e fabrico de tecnologias de codificação, marcação e impressão, revelando um idêntico prestígio nos seus produtos de pós-venda e de apoio ao cliente a nível mundial. Atualmente, a Domino oferece uma das mais abrangentes gamas de soluções de codificação, desenvolvidas com o objetivo de satisfazer os requisitos de conformidade e produtividade dos fabricantes em inúmeros setores, incluindo bebidas, produtos alimentares, farmacêuticos e industriais. As principais tecnologias da empresa incluem sistemas inovadores de impressão a jato de tinta, impressão a laser, impressão e aplicação, e impressão por transferência térmica desenvolvidos para a aplicação de dados variáveis, códigos de barras e códigos de rastreabilidade exclusivos em produtos e embalagens. </w:t>
      </w:r>
      <w:r w:rsidRPr="002856FD">
        <w:rPr>
          <w:rFonts w:ascii="Noto Sans" w:hAnsi="Noto Sans" w:cs="Noto Sans"/>
          <w:sz w:val="20"/>
          <w:szCs w:val="20"/>
          <w:lang w:val="pt"/>
        </w:rPr>
        <w:br/>
      </w:r>
      <w:r w:rsidRPr="002856FD">
        <w:rPr>
          <w:rFonts w:ascii="Noto Sans" w:hAnsi="Noto Sans" w:cs="Noto Sans"/>
          <w:sz w:val="20"/>
          <w:szCs w:val="20"/>
          <w:lang w:val="pt"/>
        </w:rPr>
        <w:br/>
        <w:t>A Domino emprega mais de 3 000 pessoas em todo o mundo e comercializa para mais de 120 países através de uma rede global de 29 filiais e mais de 200 distribuidores. As instalações de fabrico da Domino localizam-se na Alemanha, China, EUA, Índia, Reino Unido, Suécia e Suíça.</w:t>
      </w:r>
      <w:r w:rsidRPr="002856FD">
        <w:rPr>
          <w:rFonts w:ascii="Noto Sans" w:hAnsi="Noto Sans" w:cs="Noto Sans"/>
          <w:sz w:val="20"/>
          <w:szCs w:val="20"/>
          <w:lang w:val="pt"/>
        </w:rPr>
        <w:br/>
      </w:r>
      <w:r w:rsidRPr="002856FD">
        <w:rPr>
          <w:rFonts w:ascii="Noto Sans" w:hAnsi="Noto Sans" w:cs="Noto Sans"/>
          <w:sz w:val="20"/>
          <w:szCs w:val="20"/>
          <w:lang w:val="pt"/>
        </w:rPr>
        <w:br/>
        <w:t xml:space="preserve">A Domino tornou-se uma divisão independente da Brother Industries Ltd. a 11 de junho de 2015. </w:t>
      </w:r>
      <w:r w:rsidRPr="002856FD">
        <w:rPr>
          <w:rFonts w:ascii="Noto Sans" w:hAnsi="Noto Sans" w:cs="Noto Sans"/>
          <w:sz w:val="20"/>
          <w:szCs w:val="20"/>
          <w:lang w:val="pt"/>
        </w:rPr>
        <w:br/>
      </w:r>
      <w:r w:rsidRPr="002856FD">
        <w:rPr>
          <w:rFonts w:ascii="Noto Sans" w:hAnsi="Noto Sans" w:cs="Noto Sans"/>
          <w:sz w:val="20"/>
          <w:szCs w:val="20"/>
          <w:lang w:val="pt"/>
        </w:rPr>
        <w:br/>
        <w:t>Para obter mais informações sobre a Domino,</w:t>
      </w:r>
      <w:r w:rsidRPr="002856FD">
        <w:rPr>
          <w:rFonts w:ascii="Noto Sans" w:hAnsi="Noto Sans" w:cs="Noto Sans"/>
          <w:sz w:val="20"/>
          <w:szCs w:val="20"/>
          <w:lang w:val="pt"/>
        </w:rPr>
        <w:br/>
        <w:t xml:space="preserve">visite </w:t>
      </w:r>
      <w:hyperlink r:id="rId11" w:history="1">
        <w:r w:rsidRPr="002856FD">
          <w:rPr>
            <w:rStyle w:val="Hyperlink"/>
            <w:rFonts w:ascii="Noto Sans" w:hAnsi="Noto Sans" w:cs="Noto Sans"/>
            <w:sz w:val="20"/>
            <w:szCs w:val="20"/>
            <w:lang w:val="pt"/>
          </w:rPr>
          <w:t>www.domino-printing.com</w:t>
        </w:r>
      </w:hyperlink>
      <w:r w:rsidRPr="002856FD">
        <w:rPr>
          <w:rFonts w:ascii="Noto Sans" w:hAnsi="Noto Sans" w:cs="Noto Sans"/>
          <w:sz w:val="20"/>
          <w:szCs w:val="20"/>
          <w:lang w:val="pt"/>
        </w:rPr>
        <w:t xml:space="preserve"> </w:t>
      </w:r>
      <w:r w:rsidRPr="002856FD">
        <w:rPr>
          <w:rFonts w:ascii="Noto Sans" w:hAnsi="Noto Sans" w:cs="Noto Sans"/>
          <w:sz w:val="20"/>
          <w:szCs w:val="20"/>
          <w:lang w:val="pt"/>
        </w:rPr>
        <w:br/>
      </w:r>
      <w:r w:rsidRPr="002856FD">
        <w:rPr>
          <w:rFonts w:ascii="Noto Sans" w:hAnsi="Noto Sans" w:cs="Noto Sans"/>
          <w:sz w:val="20"/>
          <w:szCs w:val="20"/>
          <w:lang w:val="pt"/>
        </w:rPr>
        <w:br/>
      </w:r>
      <w:r w:rsidRPr="002856FD">
        <w:rPr>
          <w:rFonts w:ascii="Noto Sans" w:hAnsi="Noto Sans" w:cs="Noto Sans"/>
          <w:b/>
          <w:bCs/>
          <w:sz w:val="20"/>
          <w:szCs w:val="20"/>
          <w:lang w:val="pt"/>
        </w:rPr>
        <w:t>Deverá contactar:</w:t>
      </w:r>
      <w:r w:rsidRPr="002856FD">
        <w:rPr>
          <w:rFonts w:ascii="Noto Sans" w:hAnsi="Noto Sans" w:cs="Noto Sans"/>
          <w:sz w:val="20"/>
          <w:szCs w:val="20"/>
          <w:lang w:val="pt"/>
        </w:rPr>
        <w:br/>
      </w:r>
      <w:r w:rsidRPr="002856FD">
        <w:rPr>
          <w:rFonts w:ascii="Noto Sans" w:hAnsi="Noto Sans" w:cs="Noto Sans"/>
          <w:sz w:val="20"/>
          <w:szCs w:val="20"/>
          <w:lang w:val="pt"/>
        </w:rPr>
        <w:br/>
      </w:r>
      <w:r w:rsidRPr="0085521E">
        <w:rPr>
          <w:rFonts w:ascii="Noto Sans" w:hAnsi="Noto Sans" w:cs="Noto Sans"/>
          <w:sz w:val="20"/>
          <w:szCs w:val="20"/>
          <w:lang w:val="pt"/>
        </w:rPr>
        <w:t>Jade Taylor-Salazar</w:t>
      </w:r>
      <w:r>
        <w:rPr>
          <w:rFonts w:ascii="Noto Sans" w:hAnsi="Noto Sans" w:cs="Noto Sans"/>
          <w:sz w:val="20"/>
          <w:szCs w:val="20"/>
          <w:lang w:val="pt"/>
        </w:rPr>
        <w:br/>
      </w:r>
      <w:r w:rsidRPr="002856FD">
        <w:rPr>
          <w:rFonts w:ascii="Noto Sans" w:hAnsi="Noto Sans" w:cs="Noto Sans"/>
          <w:sz w:val="20"/>
          <w:szCs w:val="20"/>
          <w:lang w:val="pt"/>
        </w:rPr>
        <w:t xml:space="preserve">PR and Content Manager </w:t>
      </w:r>
      <w:r w:rsidRPr="002856FD">
        <w:rPr>
          <w:rFonts w:ascii="Noto Sans" w:hAnsi="Noto Sans" w:cs="Noto Sans"/>
          <w:sz w:val="20"/>
          <w:szCs w:val="20"/>
          <w:lang w:val="pt"/>
        </w:rPr>
        <w:br/>
        <w:t xml:space="preserve">Domino Printing Sciences </w:t>
      </w:r>
      <w:r w:rsidRPr="002856FD">
        <w:rPr>
          <w:rFonts w:ascii="Noto Sans" w:hAnsi="Noto Sans" w:cs="Noto Sans"/>
          <w:sz w:val="20"/>
          <w:szCs w:val="20"/>
          <w:lang w:val="pt"/>
        </w:rPr>
        <w:br/>
        <w:t>Tel.: +44 (0) 1954 778 780</w:t>
      </w:r>
      <w:r w:rsidRPr="002856FD">
        <w:rPr>
          <w:rFonts w:ascii="Noto Sans" w:hAnsi="Noto Sans" w:cs="Noto Sans"/>
          <w:sz w:val="20"/>
          <w:szCs w:val="20"/>
          <w:lang w:val="pt"/>
        </w:rPr>
        <w:br/>
      </w:r>
      <w:hyperlink r:id="rId12" w:history="1">
        <w:r w:rsidRPr="0085521E">
          <w:rPr>
            <w:rStyle w:val="Hyperlink"/>
            <w:rFonts w:ascii="Noto Sans" w:hAnsi="Noto Sans" w:cs="Noto Sans"/>
            <w:sz w:val="20"/>
            <w:szCs w:val="20"/>
            <w:lang w:val="pt"/>
          </w:rPr>
          <w:t>Jade.Taylor-Salazar@domino-uk.com</w:t>
        </w:r>
      </w:hyperlink>
      <w:r w:rsidRPr="0085521E">
        <w:rPr>
          <w:rFonts w:ascii="Noto Sans" w:hAnsi="Noto Sans" w:cs="Noto Sans"/>
          <w:sz w:val="20"/>
          <w:szCs w:val="20"/>
          <w:lang w:val="pt"/>
        </w:rPr>
        <w:t xml:space="preserve"> </w:t>
      </w:r>
      <w:r>
        <w:rPr>
          <w:rFonts w:ascii="Noto Sans" w:hAnsi="Noto Sans" w:cs="Noto Sans"/>
          <w:sz w:val="20"/>
          <w:szCs w:val="20"/>
          <w:lang w:val="pt"/>
        </w:rPr>
        <w:br/>
      </w:r>
      <w:r>
        <w:rPr>
          <w:rFonts w:ascii="Noto Sans" w:hAnsi="Noto Sans" w:cs="Noto Sans"/>
          <w:sz w:val="20"/>
          <w:szCs w:val="20"/>
          <w:lang w:val="pt"/>
        </w:rPr>
        <w:br/>
      </w:r>
      <w:r w:rsidRPr="00A13A74">
        <w:rPr>
          <w:rFonts w:ascii="Noto Sans" w:eastAsiaTheme="minorHAnsi" w:hAnsi="Noto Sans" w:cs="Noto Sans"/>
          <w:sz w:val="20"/>
          <w:szCs w:val="20"/>
          <w:lang w:val="pt-PT"/>
        </w:rPr>
        <w:t>Daniela Ribeiro</w:t>
      </w:r>
      <w:r>
        <w:rPr>
          <w:rFonts w:ascii="Noto Sans" w:eastAsiaTheme="minorHAnsi" w:hAnsi="Noto Sans" w:cs="Noto Sans"/>
          <w:sz w:val="20"/>
          <w:szCs w:val="20"/>
          <w:lang w:val="pt-PT"/>
        </w:rPr>
        <w:br/>
      </w:r>
      <w:r w:rsidRPr="00A13A74">
        <w:rPr>
          <w:rFonts w:ascii="Noto Sans" w:eastAsiaTheme="minorHAnsi" w:hAnsi="Noto Sans" w:cs="Noto Sans"/>
          <w:sz w:val="20"/>
          <w:szCs w:val="20"/>
          <w:lang w:val="pt-PT"/>
        </w:rPr>
        <w:t>Marketing and Communications Executive</w:t>
      </w:r>
      <w:r>
        <w:rPr>
          <w:rFonts w:ascii="Noto Sans" w:eastAsiaTheme="minorHAnsi" w:hAnsi="Noto Sans" w:cs="Noto Sans"/>
          <w:sz w:val="20"/>
          <w:szCs w:val="20"/>
          <w:lang w:val="pt-PT"/>
        </w:rPr>
        <w:br/>
      </w:r>
      <w:r w:rsidRPr="00A13A74">
        <w:rPr>
          <w:rFonts w:ascii="Noto Sans" w:eastAsiaTheme="minorHAnsi" w:hAnsi="Noto Sans" w:cs="Noto Sans"/>
          <w:sz w:val="20"/>
          <w:szCs w:val="20"/>
          <w:lang w:val="pt-PT"/>
        </w:rPr>
        <w:t>Domino Portugal</w:t>
      </w:r>
      <w:r>
        <w:rPr>
          <w:rFonts w:ascii="Noto Sans" w:eastAsiaTheme="minorHAnsi" w:hAnsi="Noto Sans" w:cs="Noto Sans"/>
          <w:sz w:val="20"/>
          <w:szCs w:val="20"/>
          <w:lang w:val="pt-PT"/>
        </w:rPr>
        <w:br/>
      </w:r>
      <w:r w:rsidRPr="00A13A74">
        <w:rPr>
          <w:rFonts w:ascii="Noto Sans" w:eastAsiaTheme="minorHAnsi" w:hAnsi="Noto Sans" w:cs="Noto Sans"/>
          <w:sz w:val="20"/>
          <w:szCs w:val="20"/>
          <w:lang w:val="pt-PT"/>
        </w:rPr>
        <w:lastRenderedPageBreak/>
        <w:t>Tel.: +351 919866148</w:t>
      </w:r>
      <w:r>
        <w:rPr>
          <w:rFonts w:ascii="Noto Sans" w:eastAsiaTheme="minorHAnsi" w:hAnsi="Noto Sans" w:cs="Noto Sans"/>
          <w:sz w:val="20"/>
          <w:szCs w:val="20"/>
          <w:lang w:val="pt-PT"/>
        </w:rPr>
        <w:br/>
      </w:r>
      <w:hyperlink r:id="rId13" w:history="1">
        <w:r w:rsidRPr="00A13A74">
          <w:rPr>
            <w:rStyle w:val="Hyperlink"/>
            <w:rFonts w:ascii="Noto Sans" w:eastAsiaTheme="minorHAnsi" w:hAnsi="Noto Sans" w:cs="Noto Sans"/>
            <w:sz w:val="20"/>
            <w:szCs w:val="20"/>
            <w:lang w:val="pt-PT"/>
          </w:rPr>
          <w:t>Daniela.Ribeiro@domino-portugal.com</w:t>
        </w:r>
      </w:hyperlink>
      <w:r>
        <w:rPr>
          <w:rFonts w:ascii="Noto Sans" w:eastAsiaTheme="minorHAnsi" w:hAnsi="Noto Sans" w:cs="Noto Sans"/>
          <w:sz w:val="22"/>
          <w:lang w:val="pt-PT"/>
        </w:rPr>
        <w:t xml:space="preserve"> </w:t>
      </w:r>
    </w:p>
    <w:p w14:paraId="7770688F" w14:textId="77777777" w:rsidR="0037433E" w:rsidRPr="00A13A74" w:rsidRDefault="0037433E" w:rsidP="0037433E">
      <w:pPr>
        <w:spacing w:after="160"/>
        <w:rPr>
          <w:rFonts w:ascii="Noto Sans" w:eastAsiaTheme="minorHAnsi" w:hAnsi="Noto Sans" w:cs="Noto Sans"/>
          <w:color w:val="0D0D0D" w:themeColor="text1" w:themeTint="F2"/>
          <w:sz w:val="20"/>
          <w:szCs w:val="20"/>
          <w:lang w:val="pt-PT"/>
        </w:rPr>
      </w:pPr>
    </w:p>
    <w:bookmarkEnd w:id="1"/>
    <w:p w14:paraId="4F5845A4" w14:textId="77777777" w:rsidR="0037433E" w:rsidRPr="0041190A" w:rsidRDefault="0037433E" w:rsidP="00583EFB">
      <w:pPr>
        <w:rPr>
          <w:rFonts w:ascii="Noto Sans" w:hAnsi="Noto Sans" w:cs="Noto Sans"/>
          <w:sz w:val="20"/>
          <w:szCs w:val="20"/>
        </w:rPr>
      </w:pPr>
    </w:p>
    <w:p w14:paraId="712DB134" w14:textId="77777777" w:rsidR="00583EFB" w:rsidRPr="0041190A" w:rsidRDefault="00583EFB" w:rsidP="00DE40B4">
      <w:pPr>
        <w:rPr>
          <w:rFonts w:ascii="Noto Sans" w:hAnsi="Noto Sans" w:cs="Noto Sans"/>
          <w:sz w:val="20"/>
          <w:szCs w:val="20"/>
        </w:rPr>
      </w:pPr>
    </w:p>
    <w:p w14:paraId="4C096135" w14:textId="77777777" w:rsidR="000360FB" w:rsidRPr="0041190A" w:rsidRDefault="000360FB" w:rsidP="00DE40B4">
      <w:pPr>
        <w:rPr>
          <w:rFonts w:ascii="Noto Sans" w:hAnsi="Noto Sans" w:cs="Noto Sans"/>
          <w:sz w:val="20"/>
          <w:szCs w:val="20"/>
        </w:rPr>
      </w:pPr>
    </w:p>
    <w:p w14:paraId="5578067E" w14:textId="44FBB366" w:rsidR="00DE40B4" w:rsidRPr="0041190A" w:rsidRDefault="00DE40B4" w:rsidP="00DE40B4">
      <w:pPr>
        <w:rPr>
          <w:rFonts w:ascii="Noto Sans" w:hAnsi="Noto Sans" w:cs="Noto Sans"/>
          <w:sz w:val="20"/>
          <w:szCs w:val="20"/>
        </w:rPr>
      </w:pPr>
    </w:p>
    <w:p w14:paraId="613F8DDB" w14:textId="77777777" w:rsidR="00DE40B4" w:rsidRPr="0041190A" w:rsidRDefault="00DE40B4" w:rsidP="00DE40B4">
      <w:pPr>
        <w:rPr>
          <w:rFonts w:ascii="Noto Sans" w:hAnsi="Noto Sans" w:cs="Noto Sans"/>
          <w:sz w:val="20"/>
          <w:szCs w:val="20"/>
        </w:rPr>
      </w:pPr>
    </w:p>
    <w:sectPr w:rsidR="00DE40B4" w:rsidRPr="0041190A" w:rsidSect="00C01297">
      <w:headerReference w:type="default" r:id="rId14"/>
      <w:pgSz w:w="11900" w:h="16840"/>
      <w:pgMar w:top="572" w:right="1800" w:bottom="1440" w:left="1800" w:header="34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A05E" w14:textId="77777777" w:rsidR="006D359E" w:rsidRDefault="006D359E">
      <w:r>
        <w:separator/>
      </w:r>
    </w:p>
  </w:endnote>
  <w:endnote w:type="continuationSeparator" w:id="0">
    <w:p w14:paraId="13CFE724" w14:textId="77777777" w:rsidR="006D359E" w:rsidRDefault="006D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C88D" w14:textId="77777777" w:rsidR="006D359E" w:rsidRDefault="006D359E">
      <w:r>
        <w:separator/>
      </w:r>
    </w:p>
  </w:footnote>
  <w:footnote w:type="continuationSeparator" w:id="0">
    <w:p w14:paraId="72A19E13" w14:textId="77777777" w:rsidR="006D359E" w:rsidRDefault="006D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56DF" w14:textId="77777777" w:rsidR="00C01297" w:rsidRDefault="00C01297">
    <w:pPr>
      <w:pStyle w:val="Header"/>
    </w:pPr>
    <w:r>
      <w:rPr>
        <w:noProof/>
        <w:lang w:val="pt-PT"/>
      </w:rPr>
      <w:drawing>
        <wp:anchor distT="0" distB="0" distL="114300" distR="114300" simplePos="0" relativeHeight="251659264" behindDoc="0" locked="0" layoutInCell="1" allowOverlap="1" wp14:anchorId="74F22870" wp14:editId="09063A0A">
          <wp:simplePos x="0" y="0"/>
          <wp:positionH relativeFrom="column">
            <wp:posOffset>-952500</wp:posOffset>
          </wp:positionH>
          <wp:positionV relativeFrom="paragraph">
            <wp:posOffset>11430</wp:posOffset>
          </wp:positionV>
          <wp:extent cx="1752600" cy="69088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1752600" cy="690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8794D6" w14:textId="77777777" w:rsidR="00C01297" w:rsidRDefault="00C01297">
    <w:pPr>
      <w:pStyle w:val="Header"/>
    </w:pPr>
  </w:p>
  <w:p w14:paraId="026597E8" w14:textId="77777777" w:rsidR="00C01297" w:rsidRDefault="00C01297">
    <w:pPr>
      <w:pStyle w:val="Header"/>
    </w:pPr>
  </w:p>
  <w:p w14:paraId="0E8161AC" w14:textId="77777777" w:rsidR="00C01297" w:rsidRDefault="00C012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97"/>
    <w:rsid w:val="000360FB"/>
    <w:rsid w:val="000968DA"/>
    <w:rsid w:val="000A399B"/>
    <w:rsid w:val="000B3D24"/>
    <w:rsid w:val="00131F13"/>
    <w:rsid w:val="001C5EB3"/>
    <w:rsid w:val="00215BF4"/>
    <w:rsid w:val="00235281"/>
    <w:rsid w:val="00314B1E"/>
    <w:rsid w:val="0037433E"/>
    <w:rsid w:val="003830E5"/>
    <w:rsid w:val="003D4B89"/>
    <w:rsid w:val="0041190A"/>
    <w:rsid w:val="00455234"/>
    <w:rsid w:val="00485766"/>
    <w:rsid w:val="004F5E1A"/>
    <w:rsid w:val="00583EFB"/>
    <w:rsid w:val="0060520F"/>
    <w:rsid w:val="006D359E"/>
    <w:rsid w:val="006D7303"/>
    <w:rsid w:val="00736AB4"/>
    <w:rsid w:val="00805146"/>
    <w:rsid w:val="0081384D"/>
    <w:rsid w:val="0083756D"/>
    <w:rsid w:val="008F1D4F"/>
    <w:rsid w:val="009D765C"/>
    <w:rsid w:val="00B175AA"/>
    <w:rsid w:val="00C01297"/>
    <w:rsid w:val="00CD67B9"/>
    <w:rsid w:val="00D542C0"/>
    <w:rsid w:val="00D561BA"/>
    <w:rsid w:val="00DE40B4"/>
    <w:rsid w:val="00E3103E"/>
    <w:rsid w:val="00F03C0C"/>
    <w:rsid w:val="00F2625F"/>
    <w:rsid w:val="00FB14A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659C"/>
  <w15:chartTrackingRefBased/>
  <w15:docId w15:val="{535191F0-F128-4A4E-8C93-2BBB82A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297"/>
    <w:pPr>
      <w:spacing w:after="0" w:line="240"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C01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2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2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2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2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297"/>
    <w:rPr>
      <w:rFonts w:eastAsiaTheme="majorEastAsia" w:cstheme="majorBidi"/>
      <w:color w:val="272727" w:themeColor="text1" w:themeTint="D8"/>
    </w:rPr>
  </w:style>
  <w:style w:type="paragraph" w:styleId="Title">
    <w:name w:val="Title"/>
    <w:basedOn w:val="Normal"/>
    <w:next w:val="Normal"/>
    <w:link w:val="TitleChar"/>
    <w:uiPriority w:val="10"/>
    <w:qFormat/>
    <w:rsid w:val="00C012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297"/>
    <w:pPr>
      <w:spacing w:before="160"/>
      <w:jc w:val="center"/>
    </w:pPr>
    <w:rPr>
      <w:i/>
      <w:iCs/>
      <w:color w:val="404040" w:themeColor="text1" w:themeTint="BF"/>
    </w:rPr>
  </w:style>
  <w:style w:type="character" w:customStyle="1" w:styleId="QuoteChar">
    <w:name w:val="Quote Char"/>
    <w:basedOn w:val="DefaultParagraphFont"/>
    <w:link w:val="Quote"/>
    <w:uiPriority w:val="29"/>
    <w:rsid w:val="00C01297"/>
    <w:rPr>
      <w:i/>
      <w:iCs/>
      <w:color w:val="404040" w:themeColor="text1" w:themeTint="BF"/>
    </w:rPr>
  </w:style>
  <w:style w:type="paragraph" w:styleId="ListParagraph">
    <w:name w:val="List Paragraph"/>
    <w:basedOn w:val="Normal"/>
    <w:uiPriority w:val="34"/>
    <w:qFormat/>
    <w:rsid w:val="00C01297"/>
    <w:pPr>
      <w:ind w:left="720"/>
      <w:contextualSpacing/>
    </w:pPr>
  </w:style>
  <w:style w:type="character" w:styleId="IntenseEmphasis">
    <w:name w:val="Intense Emphasis"/>
    <w:basedOn w:val="DefaultParagraphFont"/>
    <w:uiPriority w:val="21"/>
    <w:qFormat/>
    <w:rsid w:val="00C01297"/>
    <w:rPr>
      <w:i/>
      <w:iCs/>
      <w:color w:val="0F4761" w:themeColor="accent1" w:themeShade="BF"/>
    </w:rPr>
  </w:style>
  <w:style w:type="paragraph" w:styleId="IntenseQuote">
    <w:name w:val="Intense Quote"/>
    <w:basedOn w:val="Normal"/>
    <w:next w:val="Normal"/>
    <w:link w:val="IntenseQuoteChar"/>
    <w:uiPriority w:val="30"/>
    <w:qFormat/>
    <w:rsid w:val="00C01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297"/>
    <w:rPr>
      <w:i/>
      <w:iCs/>
      <w:color w:val="0F4761" w:themeColor="accent1" w:themeShade="BF"/>
    </w:rPr>
  </w:style>
  <w:style w:type="character" w:styleId="IntenseReference">
    <w:name w:val="Intense Reference"/>
    <w:basedOn w:val="DefaultParagraphFont"/>
    <w:uiPriority w:val="32"/>
    <w:qFormat/>
    <w:rsid w:val="00C01297"/>
    <w:rPr>
      <w:b/>
      <w:bCs/>
      <w:smallCaps/>
      <w:color w:val="0F4761" w:themeColor="accent1" w:themeShade="BF"/>
      <w:spacing w:val="5"/>
    </w:rPr>
  </w:style>
  <w:style w:type="paragraph" w:styleId="Header">
    <w:name w:val="header"/>
    <w:basedOn w:val="Normal"/>
    <w:link w:val="HeaderChar"/>
    <w:uiPriority w:val="99"/>
    <w:unhideWhenUsed/>
    <w:rsid w:val="00C01297"/>
    <w:pPr>
      <w:tabs>
        <w:tab w:val="center" w:pos="4513"/>
        <w:tab w:val="right" w:pos="9026"/>
      </w:tabs>
    </w:pPr>
  </w:style>
  <w:style w:type="character" w:customStyle="1" w:styleId="HeaderChar">
    <w:name w:val="Header Char"/>
    <w:basedOn w:val="DefaultParagraphFont"/>
    <w:link w:val="Header"/>
    <w:uiPriority w:val="99"/>
    <w:rsid w:val="00C01297"/>
    <w:rPr>
      <w:rFonts w:eastAsiaTheme="minorEastAsia"/>
      <w:kern w:val="0"/>
      <w:lang w:val="en-US" w:eastAsia="ja-JP"/>
      <w14:ligatures w14:val="none"/>
    </w:rPr>
  </w:style>
  <w:style w:type="paragraph" w:customStyle="1" w:styleId="Default">
    <w:name w:val="Default"/>
    <w:rsid w:val="00C01297"/>
    <w:pPr>
      <w:autoSpaceDE w:val="0"/>
      <w:autoSpaceDN w:val="0"/>
      <w:adjustRightInd w:val="0"/>
      <w:spacing w:after="0" w:line="240" w:lineRule="auto"/>
    </w:pPr>
    <w:rPr>
      <w:rFonts w:ascii="Calibri" w:eastAsia="Calibri" w:hAnsi="Calibri" w:cs="Calibri"/>
      <w:color w:val="000000"/>
      <w:kern w:val="0"/>
      <w:lang w:val="fr-FR"/>
      <w14:ligatures w14:val="none"/>
    </w:rPr>
  </w:style>
  <w:style w:type="character" w:styleId="Hyperlink">
    <w:name w:val="Hyperlink"/>
    <w:basedOn w:val="DefaultParagraphFont"/>
    <w:uiPriority w:val="99"/>
    <w:unhideWhenUsed/>
    <w:rsid w:val="00C01297"/>
    <w:rPr>
      <w:color w:val="467886" w:themeColor="hyperlink"/>
      <w:u w:val="single"/>
    </w:rPr>
  </w:style>
  <w:style w:type="character" w:styleId="CommentReference">
    <w:name w:val="annotation reference"/>
    <w:basedOn w:val="DefaultParagraphFont"/>
    <w:uiPriority w:val="99"/>
    <w:semiHidden/>
    <w:unhideWhenUsed/>
    <w:rsid w:val="00C01297"/>
    <w:rPr>
      <w:sz w:val="16"/>
      <w:szCs w:val="16"/>
    </w:rPr>
  </w:style>
  <w:style w:type="paragraph" w:styleId="CommentText">
    <w:name w:val="annotation text"/>
    <w:basedOn w:val="Normal"/>
    <w:link w:val="CommentTextChar"/>
    <w:uiPriority w:val="99"/>
    <w:unhideWhenUsed/>
    <w:rsid w:val="00C01297"/>
    <w:rPr>
      <w:sz w:val="20"/>
      <w:szCs w:val="20"/>
    </w:rPr>
  </w:style>
  <w:style w:type="character" w:customStyle="1" w:styleId="CommentTextChar">
    <w:name w:val="Comment Text Char"/>
    <w:basedOn w:val="DefaultParagraphFont"/>
    <w:link w:val="CommentText"/>
    <w:uiPriority w:val="99"/>
    <w:rsid w:val="00C01297"/>
    <w:rPr>
      <w:rFonts w:eastAsiaTheme="minorEastAsia"/>
      <w:kern w:val="0"/>
      <w:sz w:val="20"/>
      <w:szCs w:val="20"/>
      <w:lang w:val="en-US" w:eastAsia="ja-JP"/>
      <w14:ligatures w14:val="none"/>
    </w:rPr>
  </w:style>
  <w:style w:type="character" w:styleId="UnresolvedMention">
    <w:name w:val="Unresolved Mention"/>
    <w:basedOn w:val="DefaultParagraphFont"/>
    <w:uiPriority w:val="99"/>
    <w:semiHidden/>
    <w:unhideWhenUsed/>
    <w:rsid w:val="0081384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40B4"/>
    <w:rPr>
      <w:b/>
      <w:bCs/>
    </w:rPr>
  </w:style>
  <w:style w:type="character" w:customStyle="1" w:styleId="CommentSubjectChar">
    <w:name w:val="Comment Subject Char"/>
    <w:basedOn w:val="CommentTextChar"/>
    <w:link w:val="CommentSubject"/>
    <w:uiPriority w:val="99"/>
    <w:semiHidden/>
    <w:rsid w:val="00DE40B4"/>
    <w:rPr>
      <w:rFonts w:eastAsiaTheme="minorEastAsia"/>
      <w:b/>
      <w:bCs/>
      <w:kern w:val="0"/>
      <w:sz w:val="20"/>
      <w:szCs w:val="20"/>
      <w:lang w:val="en-US" w:eastAsia="ja-JP"/>
      <w14:ligatures w14:val="none"/>
    </w:rPr>
  </w:style>
  <w:style w:type="paragraph" w:styleId="Revision">
    <w:name w:val="Revision"/>
    <w:hidden/>
    <w:uiPriority w:val="99"/>
    <w:semiHidden/>
    <w:rsid w:val="00235281"/>
    <w:pPr>
      <w:spacing w:after="0" w:line="240" w:lineRule="auto"/>
    </w:pPr>
    <w:rPr>
      <w:rFonts w:eastAsiaTheme="minorEastAsia"/>
      <w:kern w:val="0"/>
      <w:lang w:val="en-US" w:eastAsia="ja-JP"/>
      <w14:ligatures w14:val="none"/>
    </w:rPr>
  </w:style>
  <w:style w:type="character" w:styleId="Mention">
    <w:name w:val="Mention"/>
    <w:basedOn w:val="DefaultParagraphFont"/>
    <w:uiPriority w:val="99"/>
    <w:unhideWhenUsed/>
    <w:rsid w:val="00F262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pt-pt/news-and-events/2026/a-domino-lanca-o-laser-uv-ux360i-para-embalagens-sustentaveis-de-alta-velocidade?utm_medium=non-paid&amp;utm_source=onlinepublication&amp;utm_content=interpack-post-show-review-pr-pt&amp;utm_campaign=2026-int-pt-global-pr-cm-fy26-q1" TargetMode="External"/><Relationship Id="rId13" Type="http://schemas.openxmlformats.org/officeDocument/2006/relationships/hyperlink" Target="mailto:Daniela.Ribeiro@domino-portugal.com" TargetMode="External"/><Relationship Id="rId3" Type="http://schemas.openxmlformats.org/officeDocument/2006/relationships/webSettings" Target="webSettings.xml"/><Relationship Id="rId7" Type="http://schemas.openxmlformats.org/officeDocument/2006/relationships/hyperlink" Target="https://www.domino-printing.com/pt-pt/news-and-events/2026/domino-apresenta-cabeca-de-impressao-gx-series-pro-apoiar-transicao-da-industria-na-codificacao-2d?utm_medium=non-paid&amp;utm_source=onlinepublication&amp;utm_content=interpack-post-show-review-pr-pt&amp;utm_campaign=2026-int-pt-global-pr-cm-fy26-q1" TargetMode="External"/><Relationship Id="rId12" Type="http://schemas.openxmlformats.org/officeDocument/2006/relationships/hyperlink" Target="mailto:Jade.Taylor-Salazar@domino-uk.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pt-pt/home.aspx?utm_medium=non-paid&amp;utm_source=onlinepublication&amp;utm_content=interpack-post-show-review-pr-pt&amp;utm_campaign=2026-int-pt-global-pr-cm-fy26-q1" TargetMode="External"/><Relationship Id="rId11" Type="http://schemas.openxmlformats.org/officeDocument/2006/relationships/hyperlink" Target="http://www.domino-printing.p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domino-printing.com/pt-pt/news-and-events/news.aspx?utm_medium=non-paid&amp;utm_source=onlinepublication&amp;utm_content=interpack-post-show-review-pr-pt&amp;utm_campaign=2026-int-pt-global-pr-cm-fy26-q1" TargetMode="External"/><Relationship Id="rId4" Type="http://schemas.openxmlformats.org/officeDocument/2006/relationships/footnotes" Target="footnotes.xml"/><Relationship Id="rId9" Type="http://schemas.openxmlformats.org/officeDocument/2006/relationships/hyperlink" Target="https://www.domino-printing.com/pt-pt/products/pallet-labelling?utm_medium=non-paid&amp;utm_source=onlinepublication&amp;utm_content=interpack-post-show-review-pr-pt&amp;utm_campaign=2026-int-pt-global-pr-cm-fy26-q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2026-05-29T13:09:00Z</dcterms:created>
  <dcterms:modified xsi:type="dcterms:W3CDTF">2026-05-29T13:09:00Z</dcterms:modified>
</cp:coreProperties>
</file>