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20ED7" w:rsidRPr="00FE0B09" w:rsidRDefault="00320ED7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0E98F86E" w14:textId="77777777" w:rsidR="00FE0B09" w:rsidRPr="00FE0B09" w:rsidRDefault="00FE0B09" w:rsidP="00FE0B09">
      <w:pPr>
        <w:pStyle w:val="mb-4"/>
        <w:spacing w:before="0" w:beforeAutospacing="0" w:after="240" w:afterAutospacing="0" w:line="420" w:lineRule="atLeast"/>
        <w:jc w:val="center"/>
        <w:rPr>
          <w:rFonts w:ascii="Arial" w:hAnsi="Arial" w:cs="Arial"/>
          <w:b/>
          <w:bCs/>
        </w:rPr>
      </w:pPr>
      <w:r w:rsidRPr="00FE0B09">
        <w:rPr>
          <w:rFonts w:ascii="Arial" w:hAnsi="Arial" w:cs="Arial"/>
          <w:b/>
          <w:bCs/>
        </w:rPr>
        <w:t>Chiarezza sulla sostenibilità: metriche e standard per la logistica</w:t>
      </w:r>
    </w:p>
    <w:p w14:paraId="1D7F5407" w14:textId="77777777" w:rsidR="00FE0B09" w:rsidRPr="00FE0B09" w:rsidRDefault="00FE0B09" w:rsidP="00FE0B09">
      <w:pPr>
        <w:pStyle w:val="mb-4"/>
        <w:spacing w:before="0" w:beforeAutospacing="0" w:after="240" w:afterAutospacing="0" w:line="420" w:lineRule="atLeast"/>
        <w:rPr>
          <w:rFonts w:ascii="Arial" w:hAnsi="Arial" w:cs="Arial"/>
          <w:i/>
          <w:iCs/>
          <w:sz w:val="20"/>
          <w:szCs w:val="20"/>
        </w:rPr>
      </w:pPr>
      <w:r w:rsidRPr="00FE0B09">
        <w:rPr>
          <w:rFonts w:ascii="Arial" w:hAnsi="Arial" w:cs="Arial"/>
          <w:i/>
          <w:iCs/>
          <w:sz w:val="20"/>
          <w:szCs w:val="20"/>
        </w:rPr>
        <w:t xml:space="preserve">A cura di Gabriele Bavera, </w:t>
      </w:r>
      <w:proofErr w:type="spellStart"/>
      <w:r w:rsidRPr="00FE0B09">
        <w:rPr>
          <w:rFonts w:ascii="Arial" w:hAnsi="Arial" w:cs="Arial"/>
          <w:i/>
          <w:iCs/>
          <w:sz w:val="20"/>
          <w:szCs w:val="20"/>
        </w:rPr>
        <w:t>Managing</w:t>
      </w:r>
      <w:proofErr w:type="spellEnd"/>
      <w:r w:rsidRPr="00FE0B09">
        <w:rPr>
          <w:rFonts w:ascii="Arial" w:hAnsi="Arial" w:cs="Arial"/>
          <w:i/>
          <w:iCs/>
          <w:sz w:val="20"/>
          <w:szCs w:val="20"/>
        </w:rPr>
        <w:t xml:space="preserve"> Director di Spring GDS Italia</w:t>
      </w:r>
    </w:p>
    <w:p w14:paraId="3CE13CF1" w14:textId="77777777" w:rsidR="00587F01" w:rsidRPr="00C51EBC" w:rsidRDefault="00587F01" w:rsidP="00C51EBC">
      <w:pPr>
        <w:spacing w:line="420" w:lineRule="atLeast"/>
        <w:jc w:val="both"/>
        <w:rPr>
          <w:rFonts w:ascii="Arial" w:hAnsi="Arial" w:cs="Arial"/>
          <w:sz w:val="21"/>
          <w:szCs w:val="21"/>
        </w:rPr>
      </w:pPr>
      <w:r w:rsidRPr="00587F01">
        <w:rPr>
          <w:rFonts w:ascii="Arial" w:hAnsi="Arial" w:cs="Arial"/>
          <w:sz w:val="21"/>
          <w:szCs w:val="21"/>
        </w:rPr>
        <w:t>La sostenibilità nella logistica ricopre ormai un posto fisso nelle presentazioni aziendali, ma molto meno nelle decisioni quotidiane. Il motivo è semplice: spesso non è una questione di volontà, ma di leggibilità. Se non esistono metriche chiare e criteri trasparenti, il rischio è che la sostenibilità resti confinata al linguaggio del marketing: dichiarazioni corrette, magari sincere, ma difficili da verificare, confrontare e soprattutto integrare nei processi. È qui che la comunicazione smette di essere un esercizio narrativo e diventa infrastruttura: rendere misurabile ciò che altrimenti rimane opinabile. </w:t>
      </w:r>
      <w:r w:rsidRPr="00C51EBC">
        <w:rPr>
          <w:rFonts w:ascii="Arial" w:hAnsi="Arial" w:cs="Arial"/>
          <w:sz w:val="21"/>
          <w:szCs w:val="21"/>
        </w:rPr>
        <w:t>In altre parole, la sostenibilità non può più essere una dichiarazione d’intenti, ma un criterio operativo, guidato da metriche chiare e condivise.</w:t>
      </w:r>
    </w:p>
    <w:p w14:paraId="26C8AC54" w14:textId="77777777" w:rsidR="00587F01" w:rsidRPr="00C51EBC" w:rsidRDefault="00587F01" w:rsidP="00C51EBC">
      <w:pPr>
        <w:spacing w:line="420" w:lineRule="atLeast"/>
        <w:jc w:val="both"/>
        <w:rPr>
          <w:rFonts w:ascii="Arial" w:hAnsi="Arial" w:cs="Arial"/>
          <w:sz w:val="21"/>
          <w:szCs w:val="21"/>
        </w:rPr>
      </w:pPr>
    </w:p>
    <w:p w14:paraId="27EBB11C" w14:textId="0411C6AD" w:rsidR="00587F01" w:rsidRPr="00C51EBC" w:rsidRDefault="00587F01" w:rsidP="00C51EBC">
      <w:pPr>
        <w:spacing w:line="420" w:lineRule="atLeast"/>
        <w:jc w:val="both"/>
        <w:rPr>
          <w:rFonts w:ascii="Arial" w:hAnsi="Arial" w:cs="Arial"/>
          <w:sz w:val="21"/>
          <w:szCs w:val="21"/>
        </w:rPr>
      </w:pPr>
      <w:r w:rsidRPr="00C51EBC">
        <w:rPr>
          <w:rFonts w:ascii="Arial" w:hAnsi="Arial" w:cs="Arial"/>
          <w:sz w:val="21"/>
          <w:szCs w:val="21"/>
        </w:rPr>
        <w:t xml:space="preserve">Secondo il Customer </w:t>
      </w:r>
      <w:proofErr w:type="spellStart"/>
      <w:r w:rsidRPr="00C51EBC">
        <w:rPr>
          <w:rFonts w:ascii="Arial" w:hAnsi="Arial" w:cs="Arial"/>
          <w:sz w:val="21"/>
          <w:szCs w:val="21"/>
        </w:rPr>
        <w:t>Satisfaction</w:t>
      </w:r>
      <w:proofErr w:type="spellEnd"/>
      <w:r w:rsidRPr="00C51EBC">
        <w:rPr>
          <w:rFonts w:ascii="Arial" w:hAnsi="Arial" w:cs="Arial"/>
          <w:sz w:val="21"/>
          <w:szCs w:val="21"/>
        </w:rPr>
        <w:t xml:space="preserve"> Study del 2025 di Spring GDS, per il 65% dei clienti è fondamentale avere un partner logistico sostenibile, e ciò significa che la sostenibilità è diventata un vero e proprio criterio di scelta. Questo conferma che non è più un plus reputazionale, ma un requisito che incide sulle valutazioni dei partner e sulle decisioni di procurement. Ma perché si concretizzi e non resti solo un’intenzione, deve essere supportata da dati, metodi e standard che la rendano leggibile per chi deve valutare, confrontare e rendicontare.</w:t>
      </w:r>
    </w:p>
    <w:p w14:paraId="7F4C239B" w14:textId="77777777" w:rsidR="00587F01" w:rsidRPr="00C51EBC" w:rsidRDefault="00587F01" w:rsidP="00C51EBC">
      <w:pPr>
        <w:spacing w:line="420" w:lineRule="atLeast"/>
        <w:jc w:val="both"/>
        <w:rPr>
          <w:rFonts w:ascii="Arial" w:hAnsi="Arial" w:cs="Arial"/>
          <w:sz w:val="21"/>
          <w:szCs w:val="21"/>
        </w:rPr>
      </w:pPr>
    </w:p>
    <w:p w14:paraId="17F6448F" w14:textId="77777777" w:rsidR="00587F01" w:rsidRPr="00C51EBC" w:rsidRDefault="00587F01" w:rsidP="00C51EBC">
      <w:pPr>
        <w:spacing w:line="420" w:lineRule="atLeast"/>
        <w:jc w:val="both"/>
        <w:rPr>
          <w:rFonts w:ascii="Arial" w:hAnsi="Arial" w:cs="Arial"/>
          <w:sz w:val="21"/>
          <w:szCs w:val="21"/>
        </w:rPr>
      </w:pPr>
      <w:r w:rsidRPr="00C51EBC">
        <w:rPr>
          <w:rFonts w:ascii="Arial" w:hAnsi="Arial" w:cs="Arial"/>
          <w:sz w:val="21"/>
          <w:szCs w:val="21"/>
        </w:rPr>
        <w:t xml:space="preserve">Per rendere la sostenibilità realmente comprensibile non basta raccontare iniziative, ma serve chiarire dove si concentrano le emissioni e con quali strumenti esse vengono misurate. Il primo Impact Report parte proprio da qui, rendendo esplicito un dato strutturale del modello asset-light: la maggior parte dell’impatto è nello Scope 3, in particolare nel trasporto esternalizzato. Nel 2025, secondo il report, trasporto e distribuzione a monte hanno rappresentato circa il 75% delle emissioni complessive, pari a 14.383 tonnellate di </w:t>
      </w:r>
      <w:proofErr w:type="spellStart"/>
      <w:r w:rsidRPr="00C51EBC">
        <w:rPr>
          <w:rFonts w:ascii="Arial" w:hAnsi="Arial" w:cs="Arial"/>
          <w:sz w:val="21"/>
          <w:szCs w:val="21"/>
        </w:rPr>
        <w:t>CO</w:t>
      </w:r>
      <w:r w:rsidRPr="00C51EBC">
        <w:rPr>
          <w:rFonts w:ascii="Cambria Math" w:hAnsi="Cambria Math" w:cs="Cambria Math"/>
          <w:sz w:val="21"/>
          <w:szCs w:val="21"/>
        </w:rPr>
        <w:t>₂</w:t>
      </w:r>
      <w:r w:rsidRPr="00C51EBC">
        <w:rPr>
          <w:rFonts w:ascii="Arial" w:hAnsi="Arial" w:cs="Arial"/>
          <w:sz w:val="21"/>
          <w:szCs w:val="21"/>
        </w:rPr>
        <w:t>e</w:t>
      </w:r>
      <w:proofErr w:type="spellEnd"/>
      <w:r w:rsidRPr="00C51EBC">
        <w:rPr>
          <w:rFonts w:ascii="Arial" w:hAnsi="Arial" w:cs="Arial"/>
          <w:sz w:val="21"/>
          <w:szCs w:val="21"/>
        </w:rPr>
        <w:t>. È un passaggio cruciale perché, quando l’impatto si genera soprattutto fuori dal perimetro diretto, la credibilità dipende dalla capacità di lavorare con partner e fornitori lungo l’intera catena del valore, adottando criteri condivisi e una rendicontazione solida.</w:t>
      </w:r>
    </w:p>
    <w:p w14:paraId="1E4A5757" w14:textId="77777777" w:rsidR="00587F01" w:rsidRPr="00C51EBC" w:rsidRDefault="00587F01" w:rsidP="00C51EBC">
      <w:pPr>
        <w:spacing w:line="420" w:lineRule="atLeast"/>
        <w:jc w:val="both"/>
        <w:rPr>
          <w:rFonts w:ascii="Arial" w:hAnsi="Arial" w:cs="Arial"/>
          <w:sz w:val="21"/>
          <w:szCs w:val="21"/>
        </w:rPr>
      </w:pPr>
    </w:p>
    <w:p w14:paraId="5DB0DD11" w14:textId="19B8D7C6" w:rsidR="00587F01" w:rsidRPr="00C51EBC" w:rsidRDefault="00587F01" w:rsidP="00C51EBC">
      <w:pPr>
        <w:spacing w:line="420" w:lineRule="atLeast"/>
        <w:jc w:val="both"/>
        <w:rPr>
          <w:rFonts w:ascii="Arial" w:hAnsi="Arial" w:cs="Arial"/>
          <w:sz w:val="21"/>
          <w:szCs w:val="21"/>
        </w:rPr>
      </w:pPr>
      <w:r w:rsidRPr="00C51EBC">
        <w:rPr>
          <w:rFonts w:ascii="Arial" w:hAnsi="Arial" w:cs="Arial"/>
          <w:sz w:val="21"/>
          <w:szCs w:val="21"/>
        </w:rPr>
        <w:t xml:space="preserve">Nel 2025 la parola chiave non è stata solo ridurre, ma rendere le riduzioni attribuibili e verificabili, soprattutto dove l’impatto è più difficile da governare. Nel trasporto aereo, per esempio, il </w:t>
      </w:r>
      <w:proofErr w:type="spellStart"/>
      <w:r w:rsidRPr="00C51EBC">
        <w:rPr>
          <w:rFonts w:ascii="Arial" w:hAnsi="Arial" w:cs="Arial"/>
          <w:sz w:val="21"/>
          <w:szCs w:val="21"/>
        </w:rPr>
        <w:t>Sustainable</w:t>
      </w:r>
      <w:proofErr w:type="spellEnd"/>
      <w:r w:rsidRPr="00C51EBC">
        <w:rPr>
          <w:rFonts w:ascii="Arial" w:hAnsi="Arial" w:cs="Arial"/>
          <w:sz w:val="21"/>
          <w:szCs w:val="21"/>
        </w:rPr>
        <w:t xml:space="preserve"> Aviation Fuel può abbattere le emissioni lungo il ciclo di vita fino all’80% rispetto al jet </w:t>
      </w:r>
      <w:proofErr w:type="spellStart"/>
      <w:r w:rsidRPr="00C51EBC">
        <w:rPr>
          <w:rFonts w:ascii="Arial" w:hAnsi="Arial" w:cs="Arial"/>
          <w:sz w:val="21"/>
          <w:szCs w:val="21"/>
        </w:rPr>
        <w:t>fuel</w:t>
      </w:r>
      <w:proofErr w:type="spellEnd"/>
      <w:r w:rsidRPr="00C51EBC">
        <w:rPr>
          <w:rFonts w:ascii="Arial" w:hAnsi="Arial" w:cs="Arial"/>
          <w:sz w:val="21"/>
          <w:szCs w:val="21"/>
        </w:rPr>
        <w:t xml:space="preserve"> convenzionale, </w:t>
      </w:r>
      <w:r w:rsidRPr="00C51EBC">
        <w:rPr>
          <w:rFonts w:ascii="Arial" w:hAnsi="Arial" w:cs="Arial"/>
          <w:sz w:val="21"/>
          <w:szCs w:val="21"/>
        </w:rPr>
        <w:lastRenderedPageBreak/>
        <w:t xml:space="preserve">ma la sua adozione resta frenata da costi e disponibilità. Per questo, abbiamo introdotto un modello Book &amp; Claim: consente ai clienti di sostenere l’utilizzo di SAF anche senza legarlo al singolo volo che trasporta la spedizione, e di ricevere riduzioni certificate che possono essere riportate nel proprio Scope 3. È un esempio dell’approccio pragmatico che stiamo portando avanti: soluzioni applicabili che trasformano la sostenibilità in un meccanismo </w:t>
      </w:r>
      <w:r w:rsidR="00221CEF" w:rsidRPr="00C51EBC">
        <w:rPr>
          <w:rFonts w:ascii="Arial" w:hAnsi="Arial" w:cs="Arial"/>
          <w:sz w:val="21"/>
          <w:szCs w:val="21"/>
        </w:rPr>
        <w:t xml:space="preserve">quantificabile e verificabile, </w:t>
      </w:r>
      <w:r w:rsidRPr="00C51EBC">
        <w:rPr>
          <w:rFonts w:ascii="Arial" w:hAnsi="Arial" w:cs="Arial"/>
          <w:sz w:val="21"/>
          <w:szCs w:val="21"/>
        </w:rPr>
        <w:t>non in un concetto astratto.</w:t>
      </w:r>
    </w:p>
    <w:p w14:paraId="5C60E926" w14:textId="77777777" w:rsidR="00587F01" w:rsidRPr="00C51EBC" w:rsidRDefault="00587F01" w:rsidP="00C51EBC">
      <w:pPr>
        <w:spacing w:line="420" w:lineRule="atLeast"/>
        <w:jc w:val="both"/>
        <w:rPr>
          <w:rFonts w:ascii="Arial" w:hAnsi="Arial" w:cs="Arial"/>
          <w:sz w:val="21"/>
          <w:szCs w:val="21"/>
        </w:rPr>
      </w:pPr>
    </w:p>
    <w:p w14:paraId="1E57C7D4" w14:textId="7CBFEC3B" w:rsidR="00587F01" w:rsidRPr="00C51EBC" w:rsidRDefault="00587F01" w:rsidP="00C51EBC">
      <w:pPr>
        <w:pStyle w:val="mb-4"/>
        <w:spacing w:before="0" w:beforeAutospacing="0" w:after="240" w:afterAutospacing="0" w:line="420" w:lineRule="atLeast"/>
        <w:jc w:val="both"/>
      </w:pPr>
      <w:r w:rsidRPr="00C51EBC">
        <w:rPr>
          <w:rFonts w:ascii="Arial" w:hAnsi="Arial" w:cs="Arial"/>
          <w:sz w:val="21"/>
          <w:szCs w:val="21"/>
        </w:rPr>
        <w:t xml:space="preserve">La stessa logica vale per la parte dati, che è ancora spesso la più sottovalutata. Nel 2025 abbiamo </w:t>
      </w:r>
      <w:r w:rsidR="00595BCA" w:rsidRPr="00C51EBC">
        <w:rPr>
          <w:rFonts w:ascii="Arial" w:hAnsi="Arial" w:cs="Arial"/>
          <w:sz w:val="21"/>
          <w:szCs w:val="21"/>
        </w:rPr>
        <w:t>implementato</w:t>
      </w:r>
      <w:r w:rsidRPr="00C51EBC">
        <w:rPr>
          <w:rFonts w:ascii="Arial" w:hAnsi="Arial" w:cs="Arial"/>
          <w:sz w:val="21"/>
          <w:szCs w:val="21"/>
        </w:rPr>
        <w:t xml:space="preserve"> uno strumento di misurazione che collega i dati di spedizione al motore di calcolo </w:t>
      </w:r>
      <w:proofErr w:type="spellStart"/>
      <w:r w:rsidRPr="00C51EBC">
        <w:rPr>
          <w:rFonts w:ascii="Arial" w:hAnsi="Arial" w:cs="Arial"/>
          <w:sz w:val="21"/>
          <w:szCs w:val="21"/>
        </w:rPr>
        <w:t>EcoTransIT</w:t>
      </w:r>
      <w:proofErr w:type="spellEnd"/>
      <w:r w:rsidRPr="00C51EBC">
        <w:rPr>
          <w:rFonts w:ascii="Arial" w:hAnsi="Arial" w:cs="Arial"/>
          <w:sz w:val="21"/>
          <w:szCs w:val="21"/>
        </w:rPr>
        <w:t>, e produce reportistica basata su standard riconosciuti come ISO 14083 e GLEC Framework. L’obiettivo è passare da stime aggregate a indicatori più granulari in modo da rendere i numeri confrontabili nel tempo e utilizzabili nei percorsi di rendicontazione. Nel corso dell’anno sono stati consegnati ai clienti oltre 400 report trimestrali sulle emissioni. </w:t>
      </w:r>
      <w:r w:rsidR="00221CEF" w:rsidRPr="00C51EBC">
        <w:rPr>
          <w:rFonts w:ascii="Arial" w:hAnsi="Arial" w:cs="Arial"/>
          <w:sz w:val="21"/>
          <w:szCs w:val="21"/>
        </w:rPr>
        <w:t>Solo dati affidabili e standard condivisi e riconosciuti permettono di integrare la sostenibilità nelle decisioni aziendali e di trasformarla in uno strumento di gestione.</w:t>
      </w:r>
    </w:p>
    <w:p w14:paraId="409EC94E" w14:textId="77777777" w:rsidR="00587F01" w:rsidRPr="00C51EBC" w:rsidRDefault="00587F01" w:rsidP="00C51EBC">
      <w:pPr>
        <w:spacing w:line="420" w:lineRule="atLeast"/>
        <w:jc w:val="both"/>
        <w:rPr>
          <w:rFonts w:ascii="Arial" w:hAnsi="Arial" w:cs="Arial"/>
          <w:sz w:val="21"/>
          <w:szCs w:val="21"/>
        </w:rPr>
      </w:pPr>
      <w:r w:rsidRPr="00C51EBC">
        <w:rPr>
          <w:rFonts w:ascii="Arial" w:hAnsi="Arial" w:cs="Arial"/>
          <w:sz w:val="21"/>
          <w:szCs w:val="21"/>
        </w:rPr>
        <w:t xml:space="preserve">Infine, c’è un ambito in cui leggibilità significa anche semplicità operativa: la circolarità. Nel report riportiamo l’adozione di 8.000 pallet box riutilizzabili in polipropilene in sostituzione di imballaggi monouso, con una stima interna di fino a 2.000 tonnellate di </w:t>
      </w:r>
      <w:proofErr w:type="spellStart"/>
      <w:r w:rsidRPr="00C51EBC">
        <w:rPr>
          <w:rFonts w:ascii="Arial" w:hAnsi="Arial" w:cs="Arial"/>
          <w:sz w:val="21"/>
          <w:szCs w:val="21"/>
        </w:rPr>
        <w:t>CO</w:t>
      </w:r>
      <w:r w:rsidRPr="00C51EBC">
        <w:rPr>
          <w:rFonts w:ascii="Cambria Math" w:hAnsi="Cambria Math" w:cs="Cambria Math"/>
          <w:sz w:val="21"/>
          <w:szCs w:val="21"/>
        </w:rPr>
        <w:t>₂</w:t>
      </w:r>
      <w:proofErr w:type="gramStart"/>
      <w:r w:rsidRPr="00C51EBC">
        <w:rPr>
          <w:rFonts w:ascii="Arial" w:hAnsi="Arial" w:cs="Arial"/>
          <w:sz w:val="21"/>
          <w:szCs w:val="21"/>
        </w:rPr>
        <w:t>e</w:t>
      </w:r>
      <w:proofErr w:type="spellEnd"/>
      <w:proofErr w:type="gramEnd"/>
      <w:r w:rsidRPr="00C51EBC">
        <w:rPr>
          <w:rFonts w:ascii="Arial" w:hAnsi="Arial" w:cs="Arial"/>
          <w:sz w:val="21"/>
          <w:szCs w:val="21"/>
        </w:rPr>
        <w:t xml:space="preserve"> evitate ogni anno. Allo stesso tempo, iniziative operative come l’introduzione di soluzioni riutilizzabili dimostrano che anche interventi concreti sulla supply chain possono generare benefici rilevanti e scalabili. Il filo conduttore rimane lo stesso: quando la sostenibilità diventa misurabile, diventa anche più facile da discutere, comparare e, soprattutto, compiere una scelta.</w:t>
      </w:r>
    </w:p>
    <w:p w14:paraId="0641F1FB" w14:textId="77777777" w:rsidR="00730A26" w:rsidRPr="00730A26" w:rsidRDefault="00730A26" w:rsidP="00730A2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0000012" w14:textId="77777777" w:rsidR="00320ED7" w:rsidRDefault="00320ED7">
      <w:pPr>
        <w:spacing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217D019B" w14:textId="77777777" w:rsidR="007D2049" w:rsidRDefault="007D2049" w:rsidP="007D204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  <w:color w:val="000000"/>
          <w:sz w:val="18"/>
          <w:szCs w:val="18"/>
        </w:rPr>
        <w:t>A proposito di Spring GDS</w:t>
      </w:r>
      <w:r>
        <w:rPr>
          <w:rStyle w:val="eop"/>
          <w:rFonts w:ascii="Arial" w:eastAsiaTheme="majorEastAsia" w:hAnsi="Arial" w:cs="Arial"/>
          <w:color w:val="000000"/>
          <w:sz w:val="18"/>
          <w:szCs w:val="18"/>
        </w:rPr>
        <w:t> </w:t>
      </w:r>
    </w:p>
    <w:p w14:paraId="53B34923" w14:textId="77777777" w:rsidR="007D2049" w:rsidRDefault="007D2049" w:rsidP="007D204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color w:val="000000"/>
          <w:sz w:val="18"/>
          <w:szCs w:val="18"/>
        </w:rPr>
        <w:t>Spring GDS, parte del gruppo </w:t>
      </w:r>
      <w:proofErr w:type="spellStart"/>
      <w:r>
        <w:rPr>
          <w:rStyle w:val="normaltextrun"/>
          <w:rFonts w:ascii="Arial" w:eastAsiaTheme="majorEastAsia" w:hAnsi="Arial" w:cs="Arial"/>
          <w:color w:val="000000"/>
          <w:sz w:val="18"/>
          <w:szCs w:val="18"/>
        </w:rPr>
        <w:t>PostNL</w:t>
      </w:r>
      <w:proofErr w:type="spellEnd"/>
      <w:r>
        <w:rPr>
          <w:rStyle w:val="normaltextrun"/>
          <w:rFonts w:ascii="Arial" w:eastAsiaTheme="majorEastAsia" w:hAnsi="Arial" w:cs="Arial"/>
          <w:color w:val="000000"/>
          <w:sz w:val="18"/>
          <w:szCs w:val="18"/>
        </w:rPr>
        <w:t>, è uno dei principali operatori di servizi logistici, specializzato in soluzioni per il commercio elettronico e spedizioni internazionali, con oltre 20 hub operativi distribuiti su tre continenti. Spring GDS, divisione del gruppo POSTNL, collabora con più di 230 partner logistici internazionali, permettendo ai </w:t>
      </w:r>
      <w:proofErr w:type="spellStart"/>
      <w:r>
        <w:rPr>
          <w:rStyle w:val="normaltextrun"/>
          <w:rFonts w:ascii="Arial" w:eastAsiaTheme="majorEastAsia" w:hAnsi="Arial" w:cs="Arial"/>
          <w:color w:val="000000"/>
          <w:sz w:val="18"/>
          <w:szCs w:val="18"/>
        </w:rPr>
        <w:t>merchant</w:t>
      </w:r>
      <w:proofErr w:type="spellEnd"/>
      <w:r>
        <w:rPr>
          <w:rStyle w:val="normaltextrun"/>
          <w:rFonts w:ascii="Arial" w:eastAsiaTheme="majorEastAsia" w:hAnsi="Arial" w:cs="Arial"/>
          <w:color w:val="000000"/>
          <w:sz w:val="18"/>
          <w:szCs w:val="18"/>
        </w:rPr>
        <w:t> e-commerce di raggiungere 190 destinazioni in tutto il mondo.</w:t>
      </w:r>
      <w:r>
        <w:rPr>
          <w:rStyle w:val="eop"/>
          <w:rFonts w:ascii="Arial" w:eastAsiaTheme="majorEastAsia" w:hAnsi="Arial" w:cs="Arial"/>
          <w:color w:val="000000"/>
          <w:sz w:val="18"/>
          <w:szCs w:val="18"/>
        </w:rPr>
        <w:t> </w:t>
      </w:r>
    </w:p>
    <w:p w14:paraId="2009958A" w14:textId="77777777" w:rsidR="007D2049" w:rsidRDefault="007D2049" w:rsidP="007D204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43EE8FA5">
        <w:rPr>
          <w:rStyle w:val="normaltextrun"/>
          <w:rFonts w:ascii="Arial" w:eastAsiaTheme="majorEastAsia" w:hAnsi="Arial" w:cs="Arial"/>
          <w:color w:val="000000" w:themeColor="text1"/>
          <w:sz w:val="18"/>
          <w:szCs w:val="18"/>
        </w:rPr>
        <w:t>Sul fronte della sostenibilità, Spring GDS si impegna ad utilizzare il carburante HVO100 su tutta la rete stradale europea: un diesel rinnovabile introdotto dal 2024 che consente di ridurre le emissioni di CO</w:t>
      </w:r>
      <w:r w:rsidRPr="43EE8FA5">
        <w:rPr>
          <w:rStyle w:val="normaltextrun"/>
          <w:rFonts w:ascii="Cambria Math" w:eastAsiaTheme="majorEastAsia" w:hAnsi="Cambria Math" w:cs="Segoe UI"/>
          <w:color w:val="000000" w:themeColor="text1"/>
          <w:sz w:val="18"/>
          <w:szCs w:val="18"/>
        </w:rPr>
        <w:t>₂</w:t>
      </w:r>
      <w:r w:rsidRPr="43EE8FA5">
        <w:rPr>
          <w:rStyle w:val="normaltextrun"/>
          <w:rFonts w:ascii="Arial" w:eastAsiaTheme="majorEastAsia" w:hAnsi="Arial" w:cs="Arial"/>
          <w:color w:val="000000" w:themeColor="text1"/>
          <w:sz w:val="18"/>
          <w:szCs w:val="18"/>
        </w:rPr>
        <w:t> fino al 90%. Inoltre, l’azienda impiega SAF (</w:t>
      </w:r>
      <w:proofErr w:type="spellStart"/>
      <w:r w:rsidRPr="43EE8FA5">
        <w:rPr>
          <w:rStyle w:val="normaltextrun"/>
          <w:rFonts w:ascii="Arial" w:eastAsiaTheme="majorEastAsia" w:hAnsi="Arial" w:cs="Arial"/>
          <w:color w:val="000000" w:themeColor="text1"/>
          <w:sz w:val="18"/>
          <w:szCs w:val="18"/>
        </w:rPr>
        <w:t>Sustainable</w:t>
      </w:r>
      <w:proofErr w:type="spellEnd"/>
      <w:r w:rsidRPr="43EE8FA5">
        <w:rPr>
          <w:rStyle w:val="normaltextrun"/>
          <w:rFonts w:ascii="Arial" w:eastAsiaTheme="majorEastAsia" w:hAnsi="Arial" w:cs="Arial"/>
          <w:color w:val="000000" w:themeColor="text1"/>
          <w:sz w:val="18"/>
          <w:szCs w:val="18"/>
        </w:rPr>
        <w:t> Aviation Fuel) per abbattere le emissioni di CO</w:t>
      </w:r>
      <w:r w:rsidRPr="43EE8FA5">
        <w:rPr>
          <w:rStyle w:val="normaltextrun"/>
          <w:rFonts w:ascii="Cambria Math" w:eastAsiaTheme="majorEastAsia" w:hAnsi="Cambria Math" w:cs="Segoe UI"/>
          <w:color w:val="000000" w:themeColor="text1"/>
          <w:sz w:val="18"/>
          <w:szCs w:val="18"/>
        </w:rPr>
        <w:t>₂</w:t>
      </w:r>
      <w:r w:rsidRPr="43EE8FA5">
        <w:rPr>
          <w:rStyle w:val="normaltextrun"/>
          <w:rFonts w:ascii="Arial" w:eastAsiaTheme="majorEastAsia" w:hAnsi="Arial" w:cs="Arial"/>
          <w:color w:val="000000" w:themeColor="text1"/>
          <w:sz w:val="18"/>
          <w:szCs w:val="18"/>
        </w:rPr>
        <w:t> del trasporto aereo fino all’80% durante l’intero ciclo di vita. Queste iniziative aiutano direttamente i clienti a ridurre le emissioni Scope 3 e rafforzano l’impegno di Spring GDS verso soluzioni di spedizione internazionale sempre più responsabili dal punto di vista ambientale.</w:t>
      </w:r>
      <w:r w:rsidRPr="43EE8FA5">
        <w:rPr>
          <w:rStyle w:val="eop"/>
          <w:rFonts w:ascii="Arial" w:eastAsiaTheme="majorEastAsia" w:hAnsi="Arial" w:cs="Arial"/>
          <w:color w:val="000000" w:themeColor="text1"/>
          <w:sz w:val="18"/>
          <w:szCs w:val="18"/>
        </w:rPr>
        <w:t> </w:t>
      </w:r>
    </w:p>
    <w:p w14:paraId="643C8D84" w14:textId="1C6A0FEE" w:rsidR="43EE8FA5" w:rsidRDefault="43EE8FA5" w:rsidP="43EE8FA5">
      <w:pPr>
        <w:pStyle w:val="paragraph"/>
        <w:spacing w:before="0" w:beforeAutospacing="0" w:after="0" w:afterAutospacing="0"/>
        <w:jc w:val="both"/>
        <w:rPr>
          <w:rStyle w:val="normaltextrun"/>
          <w:rFonts w:ascii="Arial" w:eastAsiaTheme="majorEastAsia" w:hAnsi="Arial" w:cs="Arial"/>
          <w:b/>
          <w:bCs/>
          <w:color w:val="000000" w:themeColor="text1"/>
          <w:sz w:val="18"/>
          <w:szCs w:val="18"/>
        </w:rPr>
      </w:pPr>
    </w:p>
    <w:p w14:paraId="5236D510" w14:textId="36694AD9" w:rsidR="007D2049" w:rsidRDefault="007D2049" w:rsidP="43EE8FA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43EE8FA5">
        <w:rPr>
          <w:rStyle w:val="normaltextrun"/>
          <w:rFonts w:ascii="Arial" w:eastAsiaTheme="majorEastAsia" w:hAnsi="Arial" w:cs="Arial"/>
          <w:b/>
          <w:bCs/>
          <w:color w:val="000000" w:themeColor="text1"/>
          <w:sz w:val="18"/>
          <w:szCs w:val="18"/>
        </w:rPr>
        <w:t>Contatti</w:t>
      </w:r>
      <w:r w:rsidRPr="43EE8FA5">
        <w:rPr>
          <w:rStyle w:val="normaltextrun"/>
          <w:rFonts w:ascii="Arial" w:eastAsiaTheme="majorEastAsia" w:hAnsi="Arial" w:cs="Arial"/>
          <w:color w:val="000000" w:themeColor="text1"/>
          <w:sz w:val="18"/>
          <w:szCs w:val="18"/>
        </w:rPr>
        <w:t> </w:t>
      </w:r>
      <w:r w:rsidRPr="43EE8FA5">
        <w:rPr>
          <w:rStyle w:val="eop"/>
          <w:rFonts w:ascii="Arial" w:eastAsiaTheme="majorEastAsia" w:hAnsi="Arial" w:cs="Arial"/>
          <w:color w:val="000000" w:themeColor="text1"/>
          <w:sz w:val="18"/>
          <w:szCs w:val="18"/>
        </w:rPr>
        <w:t> </w:t>
      </w:r>
      <w:r w:rsidRPr="43EE8FA5">
        <w:rPr>
          <w:rStyle w:val="eop"/>
          <w:rFonts w:ascii="Arial" w:eastAsiaTheme="majorEastAsia" w:hAnsi="Arial" w:cs="Arial"/>
          <w:sz w:val="18"/>
          <w:szCs w:val="18"/>
        </w:rPr>
        <w:t> </w:t>
      </w:r>
    </w:p>
    <w:p w14:paraId="1C98B9AE" w14:textId="77777777" w:rsidR="007D2049" w:rsidRDefault="007D2049" w:rsidP="007D204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  <w:sz w:val="18"/>
          <w:szCs w:val="18"/>
          <w:lang w:val="en-US"/>
        </w:rPr>
        <w:t>TEAM LEWIS</w:t>
      </w:r>
      <w:r>
        <w:rPr>
          <w:rStyle w:val="normaltextrun"/>
          <w:rFonts w:ascii="Arial" w:eastAsiaTheme="majorEastAsia" w:hAnsi="Arial" w:cs="Arial"/>
          <w:sz w:val="18"/>
          <w:szCs w:val="18"/>
          <w:lang w:val="en-US"/>
        </w:rPr>
        <w:t> </w:t>
      </w:r>
      <w:r>
        <w:rPr>
          <w:rStyle w:val="eop"/>
          <w:rFonts w:ascii="Arial" w:eastAsiaTheme="majorEastAsia" w:hAnsi="Arial" w:cs="Arial"/>
          <w:sz w:val="18"/>
          <w:szCs w:val="18"/>
        </w:rPr>
        <w:t> </w:t>
      </w:r>
    </w:p>
    <w:p w14:paraId="2A180D26" w14:textId="77777777" w:rsidR="007D2049" w:rsidRDefault="007D2049" w:rsidP="007D204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sz w:val="18"/>
          <w:szCs w:val="18"/>
          <w:lang w:val="en-US"/>
        </w:rPr>
        <w:t> </w:t>
      </w:r>
      <w:r>
        <w:rPr>
          <w:rStyle w:val="eop"/>
          <w:rFonts w:ascii="Arial" w:eastAsiaTheme="majorEastAsia" w:hAnsi="Arial" w:cs="Arial"/>
          <w:sz w:val="18"/>
          <w:szCs w:val="18"/>
        </w:rPr>
        <w:t> </w:t>
      </w:r>
    </w:p>
    <w:p w14:paraId="77BD2279" w14:textId="77777777" w:rsidR="007D2049" w:rsidRDefault="007D2049" w:rsidP="007D204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sz w:val="18"/>
          <w:szCs w:val="18"/>
          <w:lang w:val="en-US"/>
        </w:rPr>
        <w:t>Alessandro Zambetti / Sofia Leoni </w:t>
      </w:r>
      <w:r>
        <w:rPr>
          <w:rStyle w:val="eop"/>
          <w:rFonts w:ascii="Arial" w:eastAsiaTheme="majorEastAsia" w:hAnsi="Arial" w:cs="Arial"/>
          <w:sz w:val="18"/>
          <w:szCs w:val="18"/>
        </w:rPr>
        <w:t> </w:t>
      </w:r>
    </w:p>
    <w:p w14:paraId="2DE07A96" w14:textId="77777777" w:rsidR="007D2049" w:rsidRDefault="007D2049" w:rsidP="007D204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hyperlink r:id="rId11" w:tgtFrame="_blank" w:history="1">
        <w:r>
          <w:rPr>
            <w:rStyle w:val="normaltextrun"/>
            <w:rFonts w:ascii="Arial" w:eastAsiaTheme="majorEastAsia" w:hAnsi="Arial" w:cs="Arial"/>
            <w:color w:val="0000FF"/>
            <w:sz w:val="18"/>
            <w:szCs w:val="18"/>
            <w:u w:val="single"/>
            <w:lang w:val="en-US"/>
          </w:rPr>
          <w:t>springgdsitaly@teamlewis.com</w:t>
        </w:r>
      </w:hyperlink>
      <w:r>
        <w:rPr>
          <w:rStyle w:val="normaltextrun"/>
          <w:rFonts w:ascii="Arial" w:eastAsiaTheme="majorEastAsia" w:hAnsi="Arial" w:cs="Arial"/>
          <w:sz w:val="18"/>
          <w:szCs w:val="18"/>
          <w:lang w:val="en-US"/>
        </w:rPr>
        <w:t>  </w:t>
      </w:r>
      <w:r>
        <w:rPr>
          <w:rStyle w:val="eop"/>
          <w:rFonts w:ascii="Arial" w:eastAsiaTheme="majorEastAsia" w:hAnsi="Arial" w:cs="Arial"/>
          <w:sz w:val="18"/>
          <w:szCs w:val="18"/>
        </w:rPr>
        <w:t> </w:t>
      </w:r>
    </w:p>
    <w:p w14:paraId="2D98B1E7" w14:textId="48FA8296" w:rsidR="007D2049" w:rsidRPr="00587F01" w:rsidRDefault="007D2049" w:rsidP="00587F0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sz w:val="18"/>
          <w:szCs w:val="18"/>
          <w:lang w:val="en-US"/>
        </w:rPr>
        <w:t>Cel: +39 3389241387</w:t>
      </w:r>
      <w:r>
        <w:rPr>
          <w:rStyle w:val="eop"/>
          <w:rFonts w:ascii="Arial" w:eastAsiaTheme="majorEastAsia" w:hAnsi="Arial" w:cs="Arial"/>
          <w:sz w:val="18"/>
          <w:szCs w:val="18"/>
        </w:rPr>
        <w:t> </w:t>
      </w:r>
    </w:p>
    <w:sectPr w:rsidR="007D2049" w:rsidRPr="00587F01" w:rsidSect="008528F3">
      <w:headerReference w:type="default" r:id="rId12"/>
      <w:pgSz w:w="11906" w:h="16838"/>
      <w:pgMar w:top="1417" w:right="1134" w:bottom="1134" w:left="1134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4050A" w14:textId="77777777" w:rsidR="009058A9" w:rsidRDefault="009058A9" w:rsidP="008528F3">
      <w:r>
        <w:separator/>
      </w:r>
    </w:p>
  </w:endnote>
  <w:endnote w:type="continuationSeparator" w:id="0">
    <w:p w14:paraId="53B658CE" w14:textId="77777777" w:rsidR="009058A9" w:rsidRDefault="009058A9" w:rsidP="00852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9C3FE62-04E5-BC4A-AF7C-EE69A0127D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CFD3ED2-B989-6349-A115-DDC5B86DCFFF}"/>
    <w:embedBold r:id="rId3" w:fontKey="{95B63C0B-D5D6-E847-8300-4F172C701C04}"/>
    <w:embedItalic r:id="rId4" w:fontKey="{0A372A34-2253-F94F-899D-85D92543D300}"/>
  </w:font>
  <w:font w:name="Noto Sans Symbols">
    <w:panose1 w:val="020B0604020202020204"/>
    <w:charset w:val="00"/>
    <w:family w:val="auto"/>
    <w:pitch w:val="default"/>
    <w:embedRegular r:id="rId5" w:fontKey="{1CC82688-E78E-914A-B5A1-A86FD50E965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C7999F6-FE4C-7749-B5B1-E33CEE8BC9C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9BFAE87-39BC-EA49-BC23-9004AFB76B81}"/>
    <w:embedBold r:id="rId8" w:fontKey="{E06DBC5D-7A86-F84B-9FC6-FCDA94A3C260}"/>
    <w:embedItalic r:id="rId9" w:fontKey="{C138CD5E-8EBE-684B-A6D0-A6B1EB42842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ABF6E3A-B8AA-CD4B-A78D-110FC8A302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63DE3130-C16A-B742-AB5C-D47A9200788F}"/>
    <w:embedBold r:id="rId12" w:fontKey="{6873EA63-6D50-1446-9309-9DB2209D7369}"/>
    <w:embedItalic r:id="rId13" w:fontKey="{7798E40B-B413-BE4E-AF0B-706CD7CF344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D42C1491-BFDE-914B-BDC9-0BEF8D8EBF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16EAB1D4-0AAC-9D44-B572-561C6665CD25}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C5D5B" w14:textId="77777777" w:rsidR="009058A9" w:rsidRDefault="009058A9" w:rsidP="008528F3">
      <w:r>
        <w:separator/>
      </w:r>
    </w:p>
  </w:footnote>
  <w:footnote w:type="continuationSeparator" w:id="0">
    <w:p w14:paraId="6A5ADCD0" w14:textId="77777777" w:rsidR="009058A9" w:rsidRDefault="009058A9" w:rsidP="008528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2DE32" w14:textId="462398AF" w:rsidR="008528F3" w:rsidRDefault="008528F3" w:rsidP="008528F3">
    <w:pPr>
      <w:pStyle w:val="Intestazione"/>
      <w:jc w:val="right"/>
    </w:pPr>
    <w:r>
      <w:rPr>
        <w:noProof/>
      </w:rPr>
      <w:drawing>
        <wp:inline distT="0" distB="0" distL="0" distR="0" wp14:anchorId="2D17829B" wp14:editId="4F097609">
          <wp:extent cx="488950" cy="760730"/>
          <wp:effectExtent l="0" t="0" r="6350" b="1270"/>
          <wp:docPr id="1887439055" name="Immagine 1" descr="Immagine che contiene schermata, Policromia, Elementi grafici, sfocatur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7439055" name="Immagine 1" descr="Immagine che contiene schermata, Policromia, Elementi grafici, sfocatur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60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2908C0"/>
    <w:multiLevelType w:val="multilevel"/>
    <w:tmpl w:val="B9F6B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A677AE3"/>
    <w:multiLevelType w:val="multilevel"/>
    <w:tmpl w:val="1D8CDF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5B148F3"/>
    <w:multiLevelType w:val="multilevel"/>
    <w:tmpl w:val="A75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05416647">
    <w:abstractNumId w:val="1"/>
  </w:num>
  <w:num w:numId="2" w16cid:durableId="959917694">
    <w:abstractNumId w:val="2"/>
  </w:num>
  <w:num w:numId="3" w16cid:durableId="1873882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ED7"/>
    <w:rsid w:val="00036329"/>
    <w:rsid w:val="00043292"/>
    <w:rsid w:val="0008383E"/>
    <w:rsid w:val="000C7312"/>
    <w:rsid w:val="00162823"/>
    <w:rsid w:val="001B4C79"/>
    <w:rsid w:val="00221CEF"/>
    <w:rsid w:val="00223A68"/>
    <w:rsid w:val="00256331"/>
    <w:rsid w:val="00320ED7"/>
    <w:rsid w:val="003F1638"/>
    <w:rsid w:val="00487520"/>
    <w:rsid w:val="00495DFF"/>
    <w:rsid w:val="00521F69"/>
    <w:rsid w:val="0053594F"/>
    <w:rsid w:val="00587F01"/>
    <w:rsid w:val="00595BCA"/>
    <w:rsid w:val="00726A46"/>
    <w:rsid w:val="00730A26"/>
    <w:rsid w:val="00743BA2"/>
    <w:rsid w:val="00782F98"/>
    <w:rsid w:val="007A176F"/>
    <w:rsid w:val="007A7885"/>
    <w:rsid w:val="007B0007"/>
    <w:rsid w:val="007D2049"/>
    <w:rsid w:val="008528F3"/>
    <w:rsid w:val="009058A9"/>
    <w:rsid w:val="009B225A"/>
    <w:rsid w:val="00A30CCB"/>
    <w:rsid w:val="00A31490"/>
    <w:rsid w:val="00B34AF3"/>
    <w:rsid w:val="00C51EBC"/>
    <w:rsid w:val="00DF02AD"/>
    <w:rsid w:val="00E72909"/>
    <w:rsid w:val="00FB3DC8"/>
    <w:rsid w:val="00FE0B09"/>
    <w:rsid w:val="0293F75C"/>
    <w:rsid w:val="12502F7C"/>
    <w:rsid w:val="1FE87570"/>
    <w:rsid w:val="2D1BA5C4"/>
    <w:rsid w:val="43EE8FA5"/>
    <w:rsid w:val="620F2001"/>
    <w:rsid w:val="6B15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A425"/>
  <w15:docId w15:val="{90C8E6DC-2D30-D44E-B631-FF2388129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1CEF"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  <w:lang w:val="en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  <w:lang w:val="en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  <w:lang w:val="en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  <w:lang w:val="en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  <w:lang w:val="en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  <w:lang w:val="en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A2E84"/>
    <w:pPr>
      <w:keepNext/>
      <w:keepLines/>
      <w:spacing w:before="40"/>
      <w:outlineLvl w:val="6"/>
    </w:pPr>
    <w:rPr>
      <w:rFonts w:ascii="Calibri" w:eastAsiaTheme="majorEastAsia" w:hAnsi="Calibri" w:cstheme="majorBidi"/>
      <w:color w:val="595959" w:themeColor="text1" w:themeTint="A6"/>
      <w:lang w:val="en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A2E84"/>
    <w:pPr>
      <w:keepNext/>
      <w:keepLines/>
      <w:outlineLvl w:val="7"/>
    </w:pPr>
    <w:rPr>
      <w:rFonts w:ascii="Calibri" w:eastAsiaTheme="majorEastAsia" w:hAnsi="Calibri" w:cstheme="majorBidi"/>
      <w:i/>
      <w:iCs/>
      <w:color w:val="272727" w:themeColor="text1" w:themeTint="D8"/>
      <w:lang w:val="en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A2E84"/>
    <w:pPr>
      <w:keepNext/>
      <w:keepLines/>
      <w:outlineLvl w:val="8"/>
    </w:pPr>
    <w:rPr>
      <w:rFonts w:ascii="Calibri" w:eastAsiaTheme="majorEastAsia" w:hAnsi="Calibri" w:cstheme="majorBidi"/>
      <w:color w:val="272727" w:themeColor="text1" w:themeTint="D8"/>
      <w:lang w:val="e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/>
    </w:pPr>
    <w:rPr>
      <w:rFonts w:ascii="Calibri" w:eastAsia="Calibri" w:hAnsi="Calibri" w:cs="Calibri"/>
      <w:sz w:val="56"/>
      <w:szCs w:val="56"/>
      <w:lang w:val="e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A2E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A2E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A2E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A2E84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A2E84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A2E8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A2E8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A2E8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A2E84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2A2E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A2E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A2E84"/>
    <w:pPr>
      <w:spacing w:before="160" w:after="160"/>
      <w:jc w:val="center"/>
    </w:pPr>
    <w:rPr>
      <w:rFonts w:ascii="Calibri" w:eastAsia="Calibri" w:hAnsi="Calibri" w:cs="Calibri"/>
      <w:i/>
      <w:iCs/>
      <w:color w:val="404040" w:themeColor="text1" w:themeTint="BF"/>
      <w:lang w:val="en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A2E8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A2E84"/>
    <w:pPr>
      <w:ind w:left="720"/>
      <w:contextualSpacing/>
    </w:pPr>
    <w:rPr>
      <w:rFonts w:ascii="Calibri" w:eastAsia="Calibri" w:hAnsi="Calibri" w:cs="Calibri"/>
      <w:lang w:val="en"/>
    </w:rPr>
  </w:style>
  <w:style w:type="character" w:styleId="Enfasiintensa">
    <w:name w:val="Intense Emphasis"/>
    <w:basedOn w:val="Carpredefinitoparagrafo"/>
    <w:uiPriority w:val="21"/>
    <w:qFormat/>
    <w:rsid w:val="002A2E84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A2E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Calibri" w:eastAsia="Calibri" w:hAnsi="Calibri" w:cs="Calibri"/>
      <w:i/>
      <w:iCs/>
      <w:color w:val="2F5496" w:themeColor="accent1" w:themeShade="BF"/>
      <w:lang w:val="en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A2E84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A2E84"/>
    <w:rPr>
      <w:b/>
      <w:bCs/>
      <w:smallCaps/>
      <w:color w:val="2F5496" w:themeColor="accent1" w:themeShade="BF"/>
      <w:spacing w:val="5"/>
    </w:rPr>
  </w:style>
  <w:style w:type="paragraph" w:styleId="Revisione">
    <w:name w:val="Revision"/>
    <w:hidden/>
    <w:uiPriority w:val="99"/>
    <w:semiHidden/>
    <w:rsid w:val="00154085"/>
  </w:style>
  <w:style w:type="paragraph" w:styleId="NormaleWeb">
    <w:name w:val="Normal (Web)"/>
    <w:basedOn w:val="Normale"/>
    <w:uiPriority w:val="99"/>
    <w:semiHidden/>
    <w:unhideWhenUsed/>
    <w:rsid w:val="00CF5647"/>
    <w:pPr>
      <w:spacing w:before="100" w:beforeAutospacing="1" w:after="100" w:afterAutospacing="1"/>
    </w:pPr>
    <w:rPr>
      <w:lang w:val="en" w:eastAsia="es-ES_tradnl"/>
    </w:rPr>
  </w:style>
  <w:style w:type="character" w:styleId="Enfasigrassetto">
    <w:name w:val="Strong"/>
    <w:basedOn w:val="Carpredefinitoparagrafo"/>
    <w:uiPriority w:val="22"/>
    <w:qFormat/>
    <w:rsid w:val="00CF5647"/>
    <w:rPr>
      <w:b/>
      <w:bCs/>
    </w:rPr>
  </w:style>
  <w:style w:type="character" w:customStyle="1" w:styleId="relative">
    <w:name w:val="relative"/>
    <w:basedOn w:val="Carpredefinitoparagrafo"/>
    <w:rsid w:val="00CF5647"/>
  </w:style>
  <w:style w:type="paragraph" w:customStyle="1" w:styleId="not-prose">
    <w:name w:val="not-prose"/>
    <w:basedOn w:val="Normale"/>
    <w:rsid w:val="00CF5647"/>
    <w:pPr>
      <w:spacing w:before="100" w:beforeAutospacing="1" w:after="100" w:afterAutospacing="1"/>
    </w:pPr>
    <w:rPr>
      <w:lang w:val="en" w:eastAsia="es-ES_tradnl"/>
    </w:rPr>
  </w:style>
  <w:style w:type="character" w:styleId="Rimandocommento">
    <w:name w:val="annotation reference"/>
    <w:basedOn w:val="Carpredefinitoparagrafo"/>
    <w:uiPriority w:val="99"/>
    <w:semiHidden/>
    <w:unhideWhenUsed/>
    <w:rsid w:val="00E64AF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64AFC"/>
    <w:rPr>
      <w:rFonts w:ascii="Calibri" w:eastAsia="Calibri" w:hAnsi="Calibri" w:cs="Calibri"/>
      <w:sz w:val="20"/>
      <w:szCs w:val="20"/>
      <w:lang w:val="e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64AF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4AF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4AFC"/>
    <w:rPr>
      <w:b/>
      <w:bCs/>
      <w:sz w:val="20"/>
      <w:szCs w:val="20"/>
    </w:rPr>
  </w:style>
  <w:style w:type="character" w:styleId="Menzione">
    <w:name w:val="Mention"/>
    <w:basedOn w:val="Carpredefinitoparagrafo"/>
    <w:uiPriority w:val="99"/>
    <w:unhideWhenUsed/>
    <w:rsid w:val="001F6359"/>
    <w:rPr>
      <w:color w:val="2B579A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  <w:lang w:val="en"/>
    </w:rPr>
  </w:style>
  <w:style w:type="paragraph" w:customStyle="1" w:styleId="mb-4">
    <w:name w:val="mb-4"/>
    <w:basedOn w:val="Normale"/>
    <w:rsid w:val="007A7885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7A7885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8528F3"/>
    <w:pPr>
      <w:tabs>
        <w:tab w:val="center" w:pos="4819"/>
        <w:tab w:val="right" w:pos="9638"/>
      </w:tabs>
    </w:pPr>
    <w:rPr>
      <w:rFonts w:ascii="Calibri" w:eastAsia="Calibri" w:hAnsi="Calibri" w:cs="Calibri"/>
      <w:lang w:val="e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28F3"/>
  </w:style>
  <w:style w:type="paragraph" w:styleId="Pidipagina">
    <w:name w:val="footer"/>
    <w:basedOn w:val="Normale"/>
    <w:link w:val="PidipaginaCarattere"/>
    <w:uiPriority w:val="99"/>
    <w:unhideWhenUsed/>
    <w:rsid w:val="008528F3"/>
    <w:pPr>
      <w:tabs>
        <w:tab w:val="center" w:pos="4819"/>
        <w:tab w:val="right" w:pos="9638"/>
      </w:tabs>
    </w:pPr>
    <w:rPr>
      <w:rFonts w:ascii="Calibri" w:eastAsia="Calibri" w:hAnsi="Calibri" w:cs="Calibri"/>
      <w:lang w:val="e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28F3"/>
  </w:style>
  <w:style w:type="paragraph" w:customStyle="1" w:styleId="paragraph">
    <w:name w:val="paragraph"/>
    <w:basedOn w:val="Normale"/>
    <w:rsid w:val="007D2049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7D2049"/>
  </w:style>
  <w:style w:type="character" w:customStyle="1" w:styleId="eop">
    <w:name w:val="eop"/>
    <w:basedOn w:val="Carpredefinitoparagrafo"/>
    <w:rsid w:val="007D2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ringgdsitaly@teamlewis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e9XYykankTt2LzwivMZT9FJIwA==">CgMxLjA4AGouChRzdWdnZXN0Lnc0Zmx6dzJvOWNtbRIWVmFsZW50aW5hIE5lcmkgU2VybmVyaWouChRzdWdnZXN0Lmo3ZzFucXc2aXM4chIWVmFsZW50aW5hIE5lcmkgU2VybmVyaXIhMTVLREF5UUVXRTRjTlZoQmhHb3BHcTlaZTQyRFNFbzBr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8DE3B323240A4EA9A53B35B386FC99" ma:contentTypeVersion="9" ma:contentTypeDescription="Create a new document." ma:contentTypeScope="" ma:versionID="5b7177d8b97f5186d7afe7e868ee8b15">
  <xsd:schema xmlns:xsd="http://www.w3.org/2001/XMLSchema" xmlns:xs="http://www.w3.org/2001/XMLSchema" xmlns:p="http://schemas.microsoft.com/office/2006/metadata/properties" xmlns:ns2="12e5f8c0-cee7-4117-a260-6fb1ed4d85b9" xmlns:ns3="A87D7C33-8333-4D1D-BB0D-C1892D6FE7A1" xmlns:ns4="a87d7c33-8333-4d1d-bb0d-c1892d6fe7a1" targetNamespace="http://schemas.microsoft.com/office/2006/metadata/properties" ma:root="true" ma:fieldsID="2ddca3eacd1cf0dfe11cd348e9ac3c6e" ns2:_="" ns3:_="" ns4:_="">
    <xsd:import namespace="12e5f8c0-cee7-4117-a260-6fb1ed4d85b9"/>
    <xsd:import namespace="A87D7C33-8333-4D1D-BB0D-C1892D6FE7A1"/>
    <xsd:import namespace="a87d7c33-8333-4d1d-bb0d-c1892d6fe7a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4:MediaServiceSearchProperties" minOccurs="0"/>
                <xsd:element ref="ns4:MediaServiceDateTaken" minOccurs="0"/>
                <xsd:element ref="ns4:lcf76f155ced4ddcb4097134ff3c332f" minOccurs="0"/>
                <xsd:element ref="ns2:TaxCatchAll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5f8c0-cee7-4117-a260-6fb1ed4d85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AA0F219-ECF2-467E-B329-BAD8397E72ED}" ma:internalName="TaxCatchAll" ma:showField="CatchAllData" ma:web="{b66562d1-f9fb-4181-b4fe-1fd8ffca88a2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D7C33-8333-4D1D-BB0D-C1892D6FE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d7c33-8333-4d1d-bb0d-c1892d6fe7a1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1031204-b4c4-4586-a21d-e39fdc9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7d7c33-8333-4d1d-bb0d-c1892d6fe7a1">
      <Terms xmlns="http://schemas.microsoft.com/office/infopath/2007/PartnerControls"/>
    </lcf76f155ced4ddcb4097134ff3c332f>
    <TaxCatchAll xmlns="12e5f8c0-cee7-4117-a260-6fb1ed4d85b9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7E1C3C-2EDA-4423-821F-6E4E88F900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e5f8c0-cee7-4117-a260-6fb1ed4d85b9"/>
    <ds:schemaRef ds:uri="A87D7C33-8333-4D1D-BB0D-C1892D6FE7A1"/>
    <ds:schemaRef ds:uri="a87d7c33-8333-4d1d-bb0d-c1892d6fe7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5A116C-B29B-43F6-A9E7-3EDFB5DF14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F0C7FE-571D-4808-8AB3-575A5A2B7D3F}">
  <ds:schemaRefs>
    <ds:schemaRef ds:uri="http://schemas.microsoft.com/office/2006/metadata/properties"/>
    <ds:schemaRef ds:uri="http://schemas.microsoft.com/office/infopath/2007/PartnerControls"/>
    <ds:schemaRef ds:uri="a87d7c33-8333-4d1d-bb0d-c1892d6fe7a1"/>
    <ds:schemaRef ds:uri="12e5f8c0-cee7-4117-a260-6fb1ed4d85b9"/>
  </ds:schemaRefs>
</ds:datastoreItem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835</Words>
  <Characters>4894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Stracquadanio</dc:creator>
  <cp:lastModifiedBy>Alessandro Zambetti</cp:lastModifiedBy>
  <cp:revision>5</cp:revision>
  <dcterms:created xsi:type="dcterms:W3CDTF">2026-05-22T17:31:00Z</dcterms:created>
  <dcterms:modified xsi:type="dcterms:W3CDTF">2026-05-28T10:02:00Z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0x0101006B8DE3B323240A4EA9A53B35B386FC99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docLang">
    <vt:lpwstr>en</vt:lpwstr>
  </property>
</Properties>
</file>