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5E2DF" w14:textId="1B2DC667" w:rsidR="008063BD" w:rsidRDefault="008063BD" w:rsidP="008063BD">
      <w:pPr>
        <w:spacing w:after="0" w:line="600" w:lineRule="exact"/>
        <w:ind w:right="-141"/>
        <w:jc w:val="center"/>
        <w:rPr>
          <w:b/>
          <w:bCs/>
          <w:noProof/>
          <w:sz w:val="56"/>
          <w:szCs w:val="56"/>
          <w:lang w:val="en-GB"/>
          <w14:textFill>
            <w14:gradFill>
              <w14:gsLst>
                <w14:gs w14:pos="0">
                  <w14:schemeClr w14:val="accent4"/>
                </w14:gs>
                <w14:gs w14:pos="50000">
                  <w14:schemeClr w14:val="accent5"/>
                </w14:gs>
                <w14:gs w14:pos="100000">
                  <w14:schemeClr w14:val="accent1"/>
                </w14:gs>
              </w14:gsLst>
              <w14:lin w14:ang="10800000" w14:scaled="0"/>
            </w14:gradFill>
          </w14:textFill>
        </w:rPr>
      </w:pPr>
    </w:p>
    <w:p w14:paraId="0047D5A3" w14:textId="788D80ED" w:rsidR="00A21195" w:rsidRPr="006E7908" w:rsidRDefault="00A21195" w:rsidP="008063BD">
      <w:pPr>
        <w:spacing w:after="0" w:line="600" w:lineRule="exact"/>
        <w:ind w:right="-141"/>
        <w:jc w:val="center"/>
        <w:rPr>
          <w:b/>
          <w:bCs/>
          <w:noProof/>
          <w:sz w:val="56"/>
          <w:szCs w:val="56"/>
          <w:lang w:val="en-GB"/>
          <w14:textFill>
            <w14:gradFill>
              <w14:gsLst>
                <w14:gs w14:pos="0">
                  <w14:schemeClr w14:val="accent4"/>
                </w14:gs>
                <w14:gs w14:pos="50000">
                  <w14:schemeClr w14:val="accent5"/>
                </w14:gs>
                <w14:gs w14:pos="100000">
                  <w14:schemeClr w14:val="accent1"/>
                </w14:gs>
              </w14:gsLst>
              <w14:lin w14:ang="10800000" w14:scaled="0"/>
            </w14:gradFill>
          </w14:textFill>
        </w:rPr>
      </w:pPr>
    </w:p>
    <w:p w14:paraId="489587E1" w14:textId="0BCB735C" w:rsidR="00A21195" w:rsidRDefault="00A21195" w:rsidP="00A21195">
      <w:pPr>
        <w:jc w:val="cente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pPr>
      <w:r>
        <w:rPr>
          <w:b/>
          <w:bCs/>
          <w:noProof/>
          <w:sz w:val="56"/>
          <w:szCs w:val="56"/>
          <w:lang w:val="en-GB"/>
        </w:rPr>
        <w:drawing>
          <wp:inline distT="0" distB="0" distL="0" distR="0" wp14:anchorId="7ECB1563" wp14:editId="1715543C">
            <wp:extent cx="6029960" cy="3014980"/>
            <wp:effectExtent l="0" t="0" r="8890" b="0"/>
            <wp:docPr id="12533936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3623" name="Obraz 12533936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29960" cy="3014980"/>
                    </a:xfrm>
                    <a:prstGeom prst="rect">
                      <a:avLst/>
                    </a:prstGeom>
                  </pic:spPr>
                </pic:pic>
              </a:graphicData>
            </a:graphic>
          </wp:inline>
        </w:drawing>
      </w:r>
    </w:p>
    <w:p w14:paraId="150B5720" w14:textId="2280F722" w:rsidR="00E72762" w:rsidRDefault="00E72762" w:rsidP="00E72762">
      <w:pPr>
        <w:jc w:val="center"/>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pPr>
      <w:r w:rsidRPr="00E72762">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Saint</w:t>
      </w:r>
      <w:r w:rsidR="003A385B">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w:t>
      </w:r>
      <w:r w:rsidRPr="00E72762">
        <w:rPr>
          <w:rFonts w:asciiTheme="majorHAnsi" w:eastAsiaTheme="majorEastAsia" w:hAnsiTheme="majorHAnsi" w:cs="Arial (Headings)"/>
          <w:b/>
          <w:caps/>
          <w:noProof/>
          <w:color w:val="219CDC" w:themeColor="accent5"/>
          <w:sz w:val="40"/>
          <w:szCs w:val="40"/>
          <w:lang w:val="pl-PL"/>
          <w14:textFill>
            <w14:gradFill>
              <w14:gsLst>
                <w14:gs w14:pos="50000">
                  <w14:schemeClr w14:val="accent5"/>
                </w14:gs>
                <w14:gs w14:pos="0">
                  <w14:schemeClr w14:val="accent1"/>
                </w14:gs>
                <w14:gs w14:pos="100000">
                  <w14:schemeClr w14:val="accent4"/>
                </w14:gs>
              </w14:gsLst>
              <w14:lin w14:ang="0" w14:scaled="0"/>
            </w14:gradFill>
          </w14:textFill>
        </w:rPr>
        <w:t>Gobain prezentuje pierwsze na rynku kompendium do analizy akustycznej w projektowaniu</w:t>
      </w:r>
    </w:p>
    <w:p w14:paraId="541E5845" w14:textId="3F861FB8" w:rsidR="00E72762" w:rsidRDefault="00E72762" w:rsidP="00FD3F98">
      <w:pPr>
        <w:jc w:val="both"/>
        <w:rPr>
          <w:rFonts w:asciiTheme="majorHAnsi" w:eastAsiaTheme="majorEastAsia" w:hAnsiTheme="majorHAnsi" w:cstheme="majorBidi"/>
          <w:b/>
          <w:bCs/>
          <w:noProof/>
          <w:color w:val="17428C" w:themeColor="accent1"/>
          <w:szCs w:val="26"/>
          <w:lang w:val="pl-PL"/>
        </w:rPr>
      </w:pPr>
      <w:r w:rsidRPr="00E72762">
        <w:rPr>
          <w:rFonts w:asciiTheme="majorHAnsi" w:eastAsiaTheme="majorEastAsia" w:hAnsiTheme="majorHAnsi" w:cstheme="majorBidi"/>
          <w:b/>
          <w:bCs/>
          <w:noProof/>
          <w:color w:val="17428C" w:themeColor="accent1"/>
          <w:szCs w:val="26"/>
          <w:lang w:val="pl-PL"/>
        </w:rPr>
        <w:t>Saint</w:t>
      </w:r>
      <w:r w:rsidR="003A385B">
        <w:rPr>
          <w:rFonts w:asciiTheme="majorHAnsi" w:eastAsiaTheme="majorEastAsia" w:hAnsiTheme="majorHAnsi" w:cstheme="majorBidi"/>
          <w:b/>
          <w:bCs/>
          <w:noProof/>
          <w:color w:val="17428C" w:themeColor="accent1"/>
          <w:szCs w:val="26"/>
          <w:lang w:val="pl-PL"/>
        </w:rPr>
        <w:t>-</w:t>
      </w:r>
      <w:r w:rsidRPr="00E72762">
        <w:rPr>
          <w:rFonts w:asciiTheme="majorHAnsi" w:eastAsiaTheme="majorEastAsia" w:hAnsiTheme="majorHAnsi" w:cstheme="majorBidi"/>
          <w:b/>
          <w:bCs/>
          <w:noProof/>
          <w:color w:val="17428C" w:themeColor="accent1"/>
          <w:szCs w:val="26"/>
          <w:lang w:val="pl-PL"/>
        </w:rPr>
        <w:t xml:space="preserve">Gobain wprowadza na rynek „Analizę akustyczną. Kompendium projektowania” – praktyczny, kompleksowy przewodnik stworzony z myślą o architektach i projektantach. Publikacja stanowi odpowiedź na rosnącą rolę akustyki w procesie projektowym, porządkuje aktualne wymagania prawne i przekłada je na konkretne decyzje </w:t>
      </w:r>
      <w:r w:rsidR="00B708F7">
        <w:rPr>
          <w:rFonts w:asciiTheme="majorHAnsi" w:eastAsiaTheme="majorEastAsia" w:hAnsiTheme="majorHAnsi" w:cstheme="majorBidi"/>
          <w:b/>
          <w:bCs/>
          <w:noProof/>
          <w:color w:val="17428C" w:themeColor="accent1"/>
          <w:szCs w:val="26"/>
          <w:lang w:val="pl-PL"/>
        </w:rPr>
        <w:t>dotyczące kształtowania przestrzeni</w:t>
      </w:r>
      <w:r w:rsidRPr="00E72762">
        <w:rPr>
          <w:rFonts w:asciiTheme="majorHAnsi" w:eastAsiaTheme="majorEastAsia" w:hAnsiTheme="majorHAnsi" w:cstheme="majorBidi"/>
          <w:b/>
          <w:bCs/>
          <w:noProof/>
          <w:color w:val="17428C" w:themeColor="accent1"/>
          <w:szCs w:val="26"/>
          <w:lang w:val="pl-PL"/>
        </w:rPr>
        <w:t>.</w:t>
      </w:r>
    </w:p>
    <w:p w14:paraId="7E7E7E56" w14:textId="5CEA3C50" w:rsidR="00E72762" w:rsidRDefault="00E72762" w:rsidP="00FD3F98">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 xml:space="preserve">Obowiązujące od 1 sierpnia 2024 r. przepisy wprowadziły konieczność przygotowania analizy akustycznej jako elementu projektu technicznego, co znacząco zmienia podejście do </w:t>
      </w:r>
      <w:r w:rsidR="00B708F7">
        <w:rPr>
          <w:rFonts w:asciiTheme="majorHAnsi" w:eastAsiaTheme="majorEastAsia" w:hAnsiTheme="majorHAnsi" w:cstheme="majorBidi"/>
          <w:noProof/>
          <w:color w:val="17428C" w:themeColor="accent1"/>
          <w:szCs w:val="26"/>
          <w:lang w:val="pl-PL"/>
        </w:rPr>
        <w:t>konstruowania</w:t>
      </w:r>
      <w:r w:rsidRPr="00E72762">
        <w:rPr>
          <w:rFonts w:asciiTheme="majorHAnsi" w:eastAsiaTheme="majorEastAsia" w:hAnsiTheme="majorHAnsi" w:cstheme="majorBidi"/>
          <w:noProof/>
          <w:color w:val="17428C" w:themeColor="accent1"/>
          <w:szCs w:val="26"/>
          <w:lang w:val="pl-PL"/>
        </w:rPr>
        <w:t xml:space="preserve"> budynków i zwiększa odpowiedzialność projektantów za komfort akustyczny użytkowników.</w:t>
      </w:r>
    </w:p>
    <w:p w14:paraId="42A3526D" w14:textId="18515301" w:rsidR="00B708F7" w:rsidRDefault="00B708F7" w:rsidP="00B708F7">
      <w:pPr>
        <w:jc w:val="both"/>
        <w:rPr>
          <w:rFonts w:asciiTheme="majorHAnsi" w:eastAsiaTheme="majorEastAsia" w:hAnsiTheme="majorHAnsi" w:cstheme="majorBidi"/>
          <w:b/>
          <w:bCs/>
          <w:noProof/>
          <w:color w:val="67B9B0" w:themeColor="accent4"/>
          <w:szCs w:val="26"/>
          <w:lang w:val="pl-PL"/>
        </w:rPr>
      </w:pPr>
      <w:r w:rsidRPr="00E72762">
        <w:rPr>
          <w:rFonts w:asciiTheme="majorHAnsi" w:eastAsiaTheme="majorEastAsia" w:hAnsiTheme="majorHAnsi" w:cstheme="majorBidi"/>
          <w:b/>
          <w:bCs/>
          <w:noProof/>
          <w:color w:val="67B9B0" w:themeColor="accent4"/>
          <w:szCs w:val="26"/>
          <w:lang w:val="pl-PL"/>
        </w:rPr>
        <w:t>Kompleksowe podejście Saint</w:t>
      </w:r>
      <w:r w:rsidR="00F114DA">
        <w:rPr>
          <w:rFonts w:asciiTheme="majorHAnsi" w:eastAsiaTheme="majorEastAsia" w:hAnsiTheme="majorHAnsi" w:cstheme="majorBidi"/>
          <w:b/>
          <w:bCs/>
          <w:noProof/>
          <w:color w:val="67B9B0" w:themeColor="accent4"/>
          <w:szCs w:val="26"/>
          <w:lang w:val="pl-PL"/>
        </w:rPr>
        <w:t>-</w:t>
      </w:r>
      <w:r w:rsidRPr="00E72762">
        <w:rPr>
          <w:rFonts w:asciiTheme="majorHAnsi" w:eastAsiaTheme="majorEastAsia" w:hAnsiTheme="majorHAnsi" w:cstheme="majorBidi"/>
          <w:b/>
          <w:bCs/>
          <w:noProof/>
          <w:color w:val="67B9B0" w:themeColor="accent4"/>
          <w:szCs w:val="26"/>
          <w:lang w:val="pl-PL"/>
        </w:rPr>
        <w:t>Gobain</w:t>
      </w:r>
    </w:p>
    <w:p w14:paraId="0E9DEFB3" w14:textId="177BB90D" w:rsidR="00B708F7" w:rsidRPr="00E72762" w:rsidRDefault="00B708F7" w:rsidP="00B708F7">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Istotną wartością kompendium jest jego systemowy charakter. Publikacja integruje rozwiązania wielu marek Grupy Saint</w:t>
      </w:r>
      <w:r w:rsidR="003A385B">
        <w:rPr>
          <w:rFonts w:asciiTheme="majorHAnsi" w:eastAsiaTheme="majorEastAsia" w:hAnsiTheme="majorHAnsi" w:cstheme="majorBidi"/>
          <w:noProof/>
          <w:color w:val="17428C" w:themeColor="accent1"/>
          <w:szCs w:val="26"/>
          <w:lang w:val="pl-PL"/>
        </w:rPr>
        <w:t>-</w:t>
      </w:r>
      <w:r w:rsidRPr="00E72762">
        <w:rPr>
          <w:rFonts w:asciiTheme="majorHAnsi" w:eastAsiaTheme="majorEastAsia" w:hAnsiTheme="majorHAnsi" w:cstheme="majorBidi"/>
          <w:noProof/>
          <w:color w:val="17428C" w:themeColor="accent1"/>
          <w:szCs w:val="26"/>
          <w:lang w:val="pl-PL"/>
        </w:rPr>
        <w:t xml:space="preserve">Gobain – od izolacji i suchej zabudowy po szkło i systemy akustyczne. </w:t>
      </w:r>
    </w:p>
    <w:p w14:paraId="5C01602C" w14:textId="0076EE16" w:rsidR="00B708F7" w:rsidRPr="00E72762" w:rsidRDefault="00B708F7" w:rsidP="00B708F7">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 xml:space="preserve">Jak podkreśla </w:t>
      </w:r>
      <w:r w:rsidRPr="00B708F7">
        <w:rPr>
          <w:rFonts w:asciiTheme="majorHAnsi" w:eastAsiaTheme="majorEastAsia" w:hAnsiTheme="majorHAnsi" w:cstheme="majorBidi"/>
          <w:b/>
          <w:bCs/>
          <w:noProof/>
          <w:color w:val="17428C" w:themeColor="accent1"/>
          <w:szCs w:val="26"/>
          <w:lang w:val="pl-PL"/>
        </w:rPr>
        <w:t>Anna Szwed, Dyrektor Generalna Saint</w:t>
      </w:r>
      <w:r w:rsidR="003A385B">
        <w:rPr>
          <w:rFonts w:asciiTheme="majorHAnsi" w:eastAsiaTheme="majorEastAsia" w:hAnsiTheme="majorHAnsi" w:cstheme="majorBidi"/>
          <w:b/>
          <w:bCs/>
          <w:noProof/>
          <w:color w:val="17428C" w:themeColor="accent1"/>
          <w:szCs w:val="26"/>
          <w:lang w:val="pl-PL"/>
        </w:rPr>
        <w:t>-</w:t>
      </w:r>
      <w:r w:rsidRPr="00B708F7">
        <w:rPr>
          <w:rFonts w:asciiTheme="majorHAnsi" w:eastAsiaTheme="majorEastAsia" w:hAnsiTheme="majorHAnsi" w:cstheme="majorBidi"/>
          <w:b/>
          <w:bCs/>
          <w:noProof/>
          <w:color w:val="17428C" w:themeColor="accent1"/>
          <w:szCs w:val="26"/>
          <w:lang w:val="pl-PL"/>
        </w:rPr>
        <w:t>Gobain Solutions i Ecophon Polska</w:t>
      </w:r>
      <w:r w:rsidRPr="00E72762">
        <w:rPr>
          <w:rFonts w:asciiTheme="majorHAnsi" w:eastAsiaTheme="majorEastAsia" w:hAnsiTheme="majorHAnsi" w:cstheme="majorBidi"/>
          <w:noProof/>
          <w:color w:val="17428C" w:themeColor="accent1"/>
          <w:szCs w:val="26"/>
          <w:lang w:val="pl-PL"/>
        </w:rPr>
        <w:t xml:space="preserve">: </w:t>
      </w:r>
      <w:r w:rsidRPr="00B708F7">
        <w:rPr>
          <w:rFonts w:asciiTheme="majorHAnsi" w:eastAsiaTheme="majorEastAsia" w:hAnsiTheme="majorHAnsi" w:cstheme="majorBidi"/>
          <w:i/>
          <w:iCs/>
          <w:noProof/>
          <w:color w:val="17428C" w:themeColor="accent1"/>
          <w:szCs w:val="26"/>
          <w:lang w:val="pl-PL"/>
        </w:rPr>
        <w:t>Akustyka nie powinna być traktowana wyłącznie jako parametr do spełnienia, lecz jako świadoma decyzja projektowa, mająca realne konsekwencje dla przyszłych mieszkańców. Skuteczne spełnienie wymagań akustycznych wynika ze spójnego podejścia do całej przegrody i jej detali. Oznacza świadome łączenie różnych materiałów w kompletne rozwiązania, np. systemy suchej zabudowy, tak aby zapewnić odpowiednie parametry izolacyjności akustycznej.</w:t>
      </w:r>
    </w:p>
    <w:p w14:paraId="1497530C" w14:textId="2AFFC00B" w:rsidR="00FF2CE9" w:rsidRDefault="00B708F7" w:rsidP="00FD3F98">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lastRenderedPageBreak/>
        <w:t xml:space="preserve">Dzięki temu projektanci otrzymują narzędzie, które pozwala nie tylko </w:t>
      </w:r>
      <w:r w:rsidR="00FF2CE9">
        <w:rPr>
          <w:rFonts w:asciiTheme="majorHAnsi" w:eastAsiaTheme="majorEastAsia" w:hAnsiTheme="majorHAnsi" w:cstheme="majorBidi"/>
          <w:noProof/>
          <w:color w:val="17428C" w:themeColor="accent1"/>
          <w:szCs w:val="26"/>
          <w:lang w:val="pl-PL"/>
        </w:rPr>
        <w:t>zapewnić</w:t>
      </w:r>
      <w:r w:rsidR="00FF2CE9" w:rsidRPr="00E72762">
        <w:rPr>
          <w:rFonts w:asciiTheme="majorHAnsi" w:eastAsiaTheme="majorEastAsia" w:hAnsiTheme="majorHAnsi" w:cstheme="majorBidi"/>
          <w:noProof/>
          <w:color w:val="17428C" w:themeColor="accent1"/>
          <w:szCs w:val="26"/>
          <w:lang w:val="pl-PL"/>
        </w:rPr>
        <w:t xml:space="preserve"> </w:t>
      </w:r>
      <w:r w:rsidRPr="00E72762">
        <w:rPr>
          <w:rFonts w:asciiTheme="majorHAnsi" w:eastAsiaTheme="majorEastAsia" w:hAnsiTheme="majorHAnsi" w:cstheme="majorBidi"/>
          <w:noProof/>
          <w:color w:val="17428C" w:themeColor="accent1"/>
          <w:szCs w:val="26"/>
          <w:lang w:val="pl-PL"/>
        </w:rPr>
        <w:t>zgodność</w:t>
      </w:r>
      <w:r>
        <w:rPr>
          <w:rFonts w:asciiTheme="majorHAnsi" w:eastAsiaTheme="majorEastAsia" w:hAnsiTheme="majorHAnsi" w:cstheme="majorBidi"/>
          <w:noProof/>
          <w:color w:val="17428C" w:themeColor="accent1"/>
          <w:szCs w:val="26"/>
          <w:lang w:val="pl-PL"/>
        </w:rPr>
        <w:t xml:space="preserve"> z </w:t>
      </w:r>
      <w:r w:rsidRPr="00E72762">
        <w:rPr>
          <w:rFonts w:asciiTheme="majorHAnsi" w:eastAsiaTheme="majorEastAsia" w:hAnsiTheme="majorHAnsi" w:cstheme="majorBidi"/>
          <w:noProof/>
          <w:color w:val="17428C" w:themeColor="accent1"/>
          <w:szCs w:val="26"/>
          <w:lang w:val="pl-PL"/>
        </w:rPr>
        <w:t>przepisami, ale również świadomie kształtować komfort akustyczny przestrzeni – w sposób spójny i możliwy do wdrożenia.</w:t>
      </w:r>
    </w:p>
    <w:p w14:paraId="3FBDAB82" w14:textId="77777777" w:rsidR="00E72762" w:rsidRDefault="00E72762" w:rsidP="000D264E">
      <w:pPr>
        <w:jc w:val="both"/>
        <w:rPr>
          <w:rFonts w:asciiTheme="majorHAnsi" w:eastAsiaTheme="majorEastAsia" w:hAnsiTheme="majorHAnsi" w:cstheme="majorBidi"/>
          <w:b/>
          <w:bCs/>
          <w:noProof/>
          <w:color w:val="67B9B0" w:themeColor="accent4"/>
          <w:szCs w:val="26"/>
          <w:lang w:val="pl-PL"/>
        </w:rPr>
      </w:pPr>
      <w:r w:rsidRPr="00E72762">
        <w:rPr>
          <w:rFonts w:asciiTheme="majorHAnsi" w:eastAsiaTheme="majorEastAsia" w:hAnsiTheme="majorHAnsi" w:cstheme="majorBidi"/>
          <w:b/>
          <w:bCs/>
          <w:noProof/>
          <w:color w:val="67B9B0" w:themeColor="accent4"/>
          <w:szCs w:val="26"/>
          <w:lang w:val="pl-PL"/>
        </w:rPr>
        <w:t>Pierwsze takie kompendium na rynku</w:t>
      </w:r>
    </w:p>
    <w:p w14:paraId="2EC641AB" w14:textId="77777777" w:rsidR="00E72762" w:rsidRPr="00E72762"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Dotychczas architekci nie dysponowali jednym, spójnym opracowaniem, które łączyłoby wymagania prawne, wiedzę inżynierską oraz praktyczne rozwiązania materiałowe. „Analiza akustyczna. Kompendium projektowania” powstała właśnie po to, aby tę lukę wypełnić.</w:t>
      </w:r>
    </w:p>
    <w:p w14:paraId="593CDE3A" w14:textId="6AE93E80" w:rsidR="0095351F"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 xml:space="preserve">Kompendium wyjaśnia, czym w świetle obowiązujących przepisów jest analiza akustyczna i jakie elementy musi zawierać, aby spełniała wymagania </w:t>
      </w:r>
      <w:r w:rsidRPr="00964172">
        <w:rPr>
          <w:rFonts w:asciiTheme="majorHAnsi" w:eastAsiaTheme="majorEastAsia" w:hAnsiTheme="majorHAnsi" w:cstheme="majorBidi"/>
          <w:i/>
          <w:iCs/>
          <w:noProof/>
          <w:color w:val="17428C" w:themeColor="accent1"/>
          <w:szCs w:val="26"/>
          <w:lang w:val="pl-PL"/>
        </w:rPr>
        <w:t>Rozporządzenia w sprawie szczegółowego zakresu i formy projektu budowlanego</w:t>
      </w:r>
      <w:r w:rsidRPr="00E72762">
        <w:rPr>
          <w:rFonts w:asciiTheme="majorHAnsi" w:eastAsiaTheme="majorEastAsia" w:hAnsiTheme="majorHAnsi" w:cstheme="majorBidi"/>
          <w:noProof/>
          <w:color w:val="17428C" w:themeColor="accent1"/>
          <w:szCs w:val="26"/>
          <w:lang w:val="pl-PL"/>
        </w:rPr>
        <w:t xml:space="preserve">. Publikacja prowadzi czytelnika krok po kroku przez cały proces – od określenia poziomu hałasu zewnętrznego oddziałującego na budynek, przez obliczanie wymaganej izolacyjności akustycznej </w:t>
      </w:r>
      <w:r w:rsidR="0095351F" w:rsidRPr="0095351F">
        <w:rPr>
          <w:rFonts w:asciiTheme="majorHAnsi" w:eastAsiaTheme="majorEastAsia" w:hAnsiTheme="majorHAnsi" w:cstheme="majorBidi"/>
          <w:noProof/>
          <w:color w:val="17428C" w:themeColor="accent1"/>
          <w:szCs w:val="26"/>
          <w:lang w:val="pl-PL"/>
        </w:rPr>
        <w:t>przegród zewnętrznych oraz dobór rozwiązań dla przegród wewnętrznych</w:t>
      </w:r>
      <w:r w:rsidRPr="00E72762">
        <w:rPr>
          <w:rFonts w:asciiTheme="majorHAnsi" w:eastAsiaTheme="majorEastAsia" w:hAnsiTheme="majorHAnsi" w:cstheme="majorBidi"/>
          <w:noProof/>
          <w:color w:val="17428C" w:themeColor="accent1"/>
          <w:szCs w:val="26"/>
          <w:lang w:val="pl-PL"/>
        </w:rPr>
        <w:t>, aż po ocenę dopuszczalnych poziomów hałasu w pomieszczeniach oraz emisji hałasu do środowiska.</w:t>
      </w:r>
    </w:p>
    <w:p w14:paraId="78B47AFE" w14:textId="1B1654F4" w:rsidR="001D01BB" w:rsidRDefault="001D01BB" w:rsidP="001D01BB">
      <w:pPr>
        <w:jc w:val="center"/>
        <w:rPr>
          <w:rFonts w:asciiTheme="majorHAnsi" w:eastAsiaTheme="majorEastAsia" w:hAnsiTheme="majorHAnsi" w:cstheme="majorBidi"/>
          <w:noProof/>
          <w:color w:val="17428C" w:themeColor="accent1"/>
          <w:szCs w:val="26"/>
          <w:lang w:val="pl-PL"/>
        </w:rPr>
      </w:pPr>
      <w:r>
        <w:rPr>
          <w:rFonts w:asciiTheme="majorHAnsi" w:eastAsiaTheme="majorEastAsia" w:hAnsiTheme="majorHAnsi" w:cstheme="majorBidi"/>
          <w:noProof/>
          <w:color w:val="17428C" w:themeColor="accent1"/>
          <w:szCs w:val="26"/>
          <w:lang w:val="pl-PL"/>
        </w:rPr>
        <w:drawing>
          <wp:inline distT="0" distB="0" distL="0" distR="0" wp14:anchorId="42C5DCB9" wp14:editId="44946FE8">
            <wp:extent cx="3714750" cy="3714750"/>
            <wp:effectExtent l="0" t="0" r="0" b="0"/>
            <wp:docPr id="3474726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2620" name="Obraz 3474726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14750" cy="3714750"/>
                    </a:xfrm>
                    <a:prstGeom prst="rect">
                      <a:avLst/>
                    </a:prstGeom>
                  </pic:spPr>
                </pic:pic>
              </a:graphicData>
            </a:graphic>
          </wp:inline>
        </w:drawing>
      </w:r>
    </w:p>
    <w:p w14:paraId="459C6378" w14:textId="4C164BA6" w:rsidR="00E72762" w:rsidRPr="00E72762"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 xml:space="preserve">Szczególny nacisk położono na praktyczny wymiar opracowania. W </w:t>
      </w:r>
      <w:r w:rsidRPr="00964172">
        <w:rPr>
          <w:rFonts w:asciiTheme="majorHAnsi" w:eastAsiaTheme="majorEastAsia" w:hAnsiTheme="majorHAnsi" w:cstheme="majorBidi"/>
          <w:i/>
          <w:iCs/>
          <w:noProof/>
          <w:color w:val="17428C" w:themeColor="accent1"/>
          <w:szCs w:val="26"/>
          <w:lang w:val="pl-PL"/>
        </w:rPr>
        <w:t>Kompendium</w:t>
      </w:r>
      <w:r w:rsidRPr="00E72762">
        <w:rPr>
          <w:rFonts w:asciiTheme="majorHAnsi" w:eastAsiaTheme="majorEastAsia" w:hAnsiTheme="majorHAnsi" w:cstheme="majorBidi"/>
          <w:noProof/>
          <w:color w:val="17428C" w:themeColor="accent1"/>
          <w:szCs w:val="26"/>
          <w:lang w:val="pl-PL"/>
        </w:rPr>
        <w:t xml:space="preserve"> znalazł</w:t>
      </w:r>
      <w:r w:rsidR="0095351F">
        <w:rPr>
          <w:rFonts w:asciiTheme="majorHAnsi" w:eastAsiaTheme="majorEastAsia" w:hAnsiTheme="majorHAnsi" w:cstheme="majorBidi"/>
          <w:noProof/>
          <w:color w:val="17428C" w:themeColor="accent1"/>
          <w:szCs w:val="26"/>
          <w:lang w:val="pl-PL"/>
        </w:rPr>
        <w:t>y</w:t>
      </w:r>
      <w:r w:rsidRPr="00E72762">
        <w:rPr>
          <w:rFonts w:asciiTheme="majorHAnsi" w:eastAsiaTheme="majorEastAsia" w:hAnsiTheme="majorHAnsi" w:cstheme="majorBidi"/>
          <w:noProof/>
          <w:color w:val="17428C" w:themeColor="accent1"/>
          <w:szCs w:val="26"/>
          <w:lang w:val="pl-PL"/>
        </w:rPr>
        <w:t xml:space="preserve"> się m.in.:</w:t>
      </w:r>
    </w:p>
    <w:p w14:paraId="1BA0CDEF" w14:textId="5992BA37" w:rsidR="00E72762" w:rsidRPr="00E72762" w:rsidRDefault="00E72762" w:rsidP="00E72762">
      <w:pPr>
        <w:pStyle w:val="Akapitzlist"/>
        <w:numPr>
          <w:ilvl w:val="0"/>
          <w:numId w:val="2"/>
        </w:numPr>
        <w:jc w:val="both"/>
        <w:rPr>
          <w:rFonts w:asciiTheme="majorHAnsi" w:eastAsiaTheme="majorEastAsia" w:hAnsiTheme="majorHAnsi" w:cstheme="majorBidi"/>
          <w:noProof/>
          <w:color w:val="17428C" w:themeColor="accent1"/>
          <w:szCs w:val="26"/>
          <w:lang w:val="pl-PL"/>
        </w:rPr>
      </w:pPr>
      <w:r w:rsidRPr="00B708F7">
        <w:rPr>
          <w:rFonts w:asciiTheme="majorHAnsi" w:eastAsiaTheme="majorEastAsia" w:hAnsiTheme="majorHAnsi" w:cstheme="majorBidi"/>
          <w:b/>
          <w:bCs/>
          <w:noProof/>
          <w:color w:val="17428C" w:themeColor="accent1"/>
          <w:szCs w:val="26"/>
          <w:lang w:val="pl-PL"/>
        </w:rPr>
        <w:t>checklista analizy akustycznej</w:t>
      </w:r>
      <w:r w:rsidRPr="00E72762">
        <w:rPr>
          <w:rFonts w:asciiTheme="majorHAnsi" w:eastAsiaTheme="majorEastAsia" w:hAnsiTheme="majorHAnsi" w:cstheme="majorBidi"/>
          <w:noProof/>
          <w:color w:val="17428C" w:themeColor="accent1"/>
          <w:szCs w:val="26"/>
          <w:lang w:val="pl-PL"/>
        </w:rPr>
        <w:t>, która porządkuje strukturę dokumentu i pozwala uniknąć typowych braków formalnych,</w:t>
      </w:r>
    </w:p>
    <w:p w14:paraId="03090D6A" w14:textId="6CFEC35E" w:rsidR="00E72762" w:rsidRPr="00E72762" w:rsidRDefault="00E72762" w:rsidP="00E72762">
      <w:pPr>
        <w:pStyle w:val="Akapitzlist"/>
        <w:numPr>
          <w:ilvl w:val="0"/>
          <w:numId w:val="2"/>
        </w:numPr>
        <w:jc w:val="both"/>
        <w:rPr>
          <w:rFonts w:asciiTheme="majorHAnsi" w:eastAsiaTheme="majorEastAsia" w:hAnsiTheme="majorHAnsi" w:cstheme="majorBidi"/>
          <w:noProof/>
          <w:color w:val="17428C" w:themeColor="accent1"/>
          <w:szCs w:val="26"/>
          <w:lang w:val="pl-PL"/>
        </w:rPr>
      </w:pPr>
      <w:r w:rsidRPr="00B708F7">
        <w:rPr>
          <w:rFonts w:asciiTheme="majorHAnsi" w:eastAsiaTheme="majorEastAsia" w:hAnsiTheme="majorHAnsi" w:cstheme="majorBidi"/>
          <w:b/>
          <w:bCs/>
          <w:noProof/>
          <w:color w:val="17428C" w:themeColor="accent1"/>
          <w:szCs w:val="26"/>
          <w:lang w:val="pl-PL"/>
        </w:rPr>
        <w:t>przykłady obliczeniowe</w:t>
      </w:r>
      <w:r w:rsidRPr="00E72762">
        <w:rPr>
          <w:rFonts w:asciiTheme="majorHAnsi" w:eastAsiaTheme="majorEastAsia" w:hAnsiTheme="majorHAnsi" w:cstheme="majorBidi"/>
          <w:noProof/>
          <w:color w:val="17428C" w:themeColor="accent1"/>
          <w:szCs w:val="26"/>
          <w:lang w:val="pl-PL"/>
        </w:rPr>
        <w:t>, ułatwiające prawidłowe wyznaczanie wskaźników izolacyjności akustycznej,</w:t>
      </w:r>
    </w:p>
    <w:p w14:paraId="0D5448D8" w14:textId="0499E2DD" w:rsidR="00E72762" w:rsidRPr="00E72762" w:rsidRDefault="00E72762" w:rsidP="00E72762">
      <w:pPr>
        <w:pStyle w:val="Akapitzlist"/>
        <w:numPr>
          <w:ilvl w:val="0"/>
          <w:numId w:val="2"/>
        </w:numPr>
        <w:jc w:val="both"/>
        <w:rPr>
          <w:rFonts w:asciiTheme="majorHAnsi" w:eastAsiaTheme="majorEastAsia" w:hAnsiTheme="majorHAnsi" w:cstheme="majorBidi"/>
          <w:noProof/>
          <w:color w:val="17428C" w:themeColor="accent1"/>
          <w:szCs w:val="26"/>
          <w:lang w:val="pl-PL"/>
        </w:rPr>
      </w:pPr>
      <w:r w:rsidRPr="00B708F7">
        <w:rPr>
          <w:rFonts w:asciiTheme="majorHAnsi" w:eastAsiaTheme="majorEastAsia" w:hAnsiTheme="majorHAnsi" w:cstheme="majorBidi"/>
          <w:b/>
          <w:bCs/>
          <w:noProof/>
          <w:color w:val="17428C" w:themeColor="accent1"/>
          <w:szCs w:val="26"/>
          <w:lang w:val="pl-PL"/>
        </w:rPr>
        <w:t>rozdział poświęcony współpracy z akustykiem</w:t>
      </w:r>
      <w:r w:rsidRPr="00E72762">
        <w:rPr>
          <w:rFonts w:asciiTheme="majorHAnsi" w:eastAsiaTheme="majorEastAsia" w:hAnsiTheme="majorHAnsi" w:cstheme="majorBidi"/>
          <w:noProof/>
          <w:color w:val="17428C" w:themeColor="accent1"/>
          <w:szCs w:val="26"/>
          <w:lang w:val="pl-PL"/>
        </w:rPr>
        <w:t>, zawierający wskazówki, jak poprawnie sformułować zapytanie ofertowe oraz jak czytać i weryfikować otrzymane opracowanie,</w:t>
      </w:r>
    </w:p>
    <w:p w14:paraId="553C1254" w14:textId="1EA0F98D" w:rsidR="00E72762" w:rsidRPr="00E72762" w:rsidRDefault="00E72762" w:rsidP="00E72762">
      <w:pPr>
        <w:pStyle w:val="Akapitzlist"/>
        <w:numPr>
          <w:ilvl w:val="0"/>
          <w:numId w:val="2"/>
        </w:numPr>
        <w:jc w:val="both"/>
        <w:rPr>
          <w:rFonts w:asciiTheme="majorHAnsi" w:eastAsiaTheme="majorEastAsia" w:hAnsiTheme="majorHAnsi" w:cstheme="majorBidi"/>
          <w:noProof/>
          <w:color w:val="17428C" w:themeColor="accent1"/>
          <w:szCs w:val="26"/>
          <w:lang w:val="pl-PL"/>
        </w:rPr>
      </w:pPr>
      <w:r w:rsidRPr="00B708F7">
        <w:rPr>
          <w:rFonts w:asciiTheme="majorHAnsi" w:eastAsiaTheme="majorEastAsia" w:hAnsiTheme="majorHAnsi" w:cstheme="majorBidi"/>
          <w:b/>
          <w:bCs/>
          <w:noProof/>
          <w:color w:val="17428C" w:themeColor="accent1"/>
          <w:szCs w:val="26"/>
          <w:lang w:val="pl-PL"/>
        </w:rPr>
        <w:t>zestaw dobrych praktyk projektowych i wykonawczych</w:t>
      </w:r>
      <w:r w:rsidRPr="00E72762">
        <w:rPr>
          <w:rFonts w:asciiTheme="majorHAnsi" w:eastAsiaTheme="majorEastAsia" w:hAnsiTheme="majorHAnsi" w:cstheme="majorBidi"/>
          <w:noProof/>
          <w:color w:val="17428C" w:themeColor="accent1"/>
          <w:szCs w:val="26"/>
          <w:lang w:val="pl-PL"/>
        </w:rPr>
        <w:t>, które pomagają uniknąć błędów skutkujących kosztownymi korektami na etapie realizacji.</w:t>
      </w:r>
    </w:p>
    <w:p w14:paraId="1F783E3F" w14:textId="6F19EBA5" w:rsidR="00E72762" w:rsidRPr="00E72762" w:rsidRDefault="00E72762" w:rsidP="00E72762">
      <w:pPr>
        <w:jc w:val="both"/>
        <w:rPr>
          <w:rFonts w:asciiTheme="majorHAnsi" w:eastAsiaTheme="majorEastAsia" w:hAnsiTheme="majorHAnsi" w:cstheme="majorBidi"/>
          <w:b/>
          <w:bCs/>
          <w:noProof/>
          <w:color w:val="67B9B0" w:themeColor="accent4"/>
          <w:szCs w:val="26"/>
          <w:lang w:val="pl-PL"/>
        </w:rPr>
      </w:pPr>
      <w:r w:rsidRPr="00E72762">
        <w:rPr>
          <w:rFonts w:asciiTheme="majorHAnsi" w:eastAsiaTheme="majorEastAsia" w:hAnsiTheme="majorHAnsi" w:cstheme="majorBidi"/>
          <w:b/>
          <w:bCs/>
          <w:noProof/>
          <w:color w:val="67B9B0" w:themeColor="accent4"/>
          <w:szCs w:val="26"/>
          <w:lang w:val="pl-PL"/>
        </w:rPr>
        <w:lastRenderedPageBreak/>
        <w:t>Narzędzie wspierające projektanta</w:t>
      </w:r>
    </w:p>
    <w:p w14:paraId="23637C8C" w14:textId="494B8DA9" w:rsidR="00B708F7"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Autorzy Kompendium podkreślają, że analiza akustyczna nie powinna być traktowana wyłącznie jako formalny obowiązek wynikający z przepisów. To narzędzie, które – właściwie wykorzystane – pozwala projektować budynki o realnie wyższym komforcie użytkowania i większej przewidywalności efektu.</w:t>
      </w:r>
    </w:p>
    <w:p w14:paraId="3B2D99F7" w14:textId="7F6CBF35" w:rsidR="00E72762" w:rsidRPr="00E72762" w:rsidRDefault="00B708F7"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w:t>
      </w:r>
      <w:r>
        <w:rPr>
          <w:rFonts w:asciiTheme="majorHAnsi" w:eastAsiaTheme="majorEastAsia" w:hAnsiTheme="majorHAnsi" w:cstheme="majorBidi"/>
          <w:noProof/>
          <w:color w:val="17428C" w:themeColor="accent1"/>
          <w:szCs w:val="26"/>
          <w:lang w:val="pl-PL"/>
        </w:rPr>
        <w:t xml:space="preserve"> </w:t>
      </w:r>
      <w:r w:rsidR="00E72762" w:rsidRPr="00B708F7">
        <w:rPr>
          <w:rFonts w:asciiTheme="majorHAnsi" w:eastAsiaTheme="majorEastAsia" w:hAnsiTheme="majorHAnsi" w:cstheme="majorBidi"/>
          <w:i/>
          <w:iCs/>
          <w:noProof/>
          <w:color w:val="17428C" w:themeColor="accent1"/>
          <w:szCs w:val="26"/>
          <w:lang w:val="pl-PL"/>
        </w:rPr>
        <w:t>Analiza nie powinna kończyć się na wskazaniu wartości w decybelach – jej efektem musi być dobór realnych, sprawdzonych rozwiązań materiałowych, które zapewnią spełnienie wymagań normowych oraz trwały komfort akustyczny użytkowników</w:t>
      </w:r>
      <w:r w:rsidR="00E72762" w:rsidRPr="00E72762">
        <w:rPr>
          <w:rFonts w:asciiTheme="majorHAnsi" w:eastAsiaTheme="majorEastAsia" w:hAnsiTheme="majorHAnsi" w:cstheme="majorBidi"/>
          <w:noProof/>
          <w:color w:val="17428C" w:themeColor="accent1"/>
          <w:szCs w:val="26"/>
          <w:lang w:val="pl-PL"/>
        </w:rPr>
        <w:t xml:space="preserve"> – podkreśla </w:t>
      </w:r>
      <w:r w:rsidR="00E72762" w:rsidRPr="00B708F7">
        <w:rPr>
          <w:rFonts w:asciiTheme="majorHAnsi" w:eastAsiaTheme="majorEastAsia" w:hAnsiTheme="majorHAnsi" w:cstheme="majorBidi"/>
          <w:b/>
          <w:bCs/>
          <w:noProof/>
          <w:color w:val="17428C" w:themeColor="accent1"/>
          <w:szCs w:val="26"/>
          <w:lang w:val="pl-PL"/>
        </w:rPr>
        <w:t>Szymon Raćkowski, Menedżer Rozwoju i Doradztwa Technicznego Saint</w:t>
      </w:r>
      <w:r w:rsidR="00F114DA">
        <w:rPr>
          <w:rFonts w:asciiTheme="majorHAnsi" w:eastAsiaTheme="majorEastAsia" w:hAnsiTheme="majorHAnsi" w:cstheme="majorBidi"/>
          <w:b/>
          <w:bCs/>
          <w:noProof/>
          <w:color w:val="17428C" w:themeColor="accent1"/>
          <w:szCs w:val="26"/>
          <w:lang w:val="pl-PL"/>
        </w:rPr>
        <w:t>-</w:t>
      </w:r>
      <w:r w:rsidR="00E72762" w:rsidRPr="00B708F7">
        <w:rPr>
          <w:rFonts w:asciiTheme="majorHAnsi" w:eastAsiaTheme="majorEastAsia" w:hAnsiTheme="majorHAnsi" w:cstheme="majorBidi"/>
          <w:b/>
          <w:bCs/>
          <w:noProof/>
          <w:color w:val="17428C" w:themeColor="accent1"/>
          <w:szCs w:val="26"/>
          <w:lang w:val="pl-PL"/>
        </w:rPr>
        <w:t>Gobain</w:t>
      </w:r>
      <w:r w:rsidR="00E72762" w:rsidRPr="00E72762">
        <w:rPr>
          <w:rFonts w:asciiTheme="majorHAnsi" w:eastAsiaTheme="majorEastAsia" w:hAnsiTheme="majorHAnsi" w:cstheme="majorBidi"/>
          <w:noProof/>
          <w:color w:val="17428C" w:themeColor="accent1"/>
          <w:szCs w:val="26"/>
          <w:lang w:val="pl-PL"/>
        </w:rPr>
        <w:t>.</w:t>
      </w:r>
    </w:p>
    <w:p w14:paraId="5F785AD1" w14:textId="6E2442F2" w:rsidR="00E72762" w:rsidRPr="00E72762"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„Analiza akustyczna. Kompendium Projektowania” to pozycja adresowana do architektów, którzy w nowych realiach prawnych chcą poruszać się pewnie – łącząc wymagania formalne</w:t>
      </w:r>
      <w:r w:rsidR="00B708F7">
        <w:rPr>
          <w:rFonts w:asciiTheme="majorHAnsi" w:eastAsiaTheme="majorEastAsia" w:hAnsiTheme="majorHAnsi" w:cstheme="majorBidi"/>
          <w:noProof/>
          <w:color w:val="17428C" w:themeColor="accent1"/>
          <w:szCs w:val="26"/>
          <w:lang w:val="pl-PL"/>
        </w:rPr>
        <w:t xml:space="preserve"> z </w:t>
      </w:r>
      <w:r w:rsidRPr="00E72762">
        <w:rPr>
          <w:rFonts w:asciiTheme="majorHAnsi" w:eastAsiaTheme="majorEastAsia" w:hAnsiTheme="majorHAnsi" w:cstheme="majorBidi"/>
          <w:noProof/>
          <w:color w:val="17428C" w:themeColor="accent1"/>
          <w:szCs w:val="26"/>
          <w:lang w:val="pl-PL"/>
        </w:rPr>
        <w:t xml:space="preserve">odpowiedzialnym projektowaniem i świadomym kształtowaniem jakości przestrzeni. </w:t>
      </w:r>
    </w:p>
    <w:p w14:paraId="7DE0382C" w14:textId="468754C2" w:rsidR="00E72762"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Integralną częścią Kompendium jest przegląd systemowych rozwiązań produktowych, stanowiących odpowiedź na wymagania akustyczne obowiązujących przepisów. Publikacja prezentuje rozwiązania marek Grupy Saint</w:t>
      </w:r>
      <w:r w:rsidR="00F114DA">
        <w:rPr>
          <w:rFonts w:asciiTheme="majorHAnsi" w:eastAsiaTheme="majorEastAsia" w:hAnsiTheme="majorHAnsi" w:cstheme="majorBidi"/>
          <w:noProof/>
          <w:color w:val="17428C" w:themeColor="accent1"/>
          <w:szCs w:val="26"/>
          <w:lang w:val="pl-PL"/>
        </w:rPr>
        <w:t>-</w:t>
      </w:r>
      <w:r w:rsidRPr="00E72762">
        <w:rPr>
          <w:rFonts w:asciiTheme="majorHAnsi" w:eastAsiaTheme="majorEastAsia" w:hAnsiTheme="majorHAnsi" w:cstheme="majorBidi"/>
          <w:noProof/>
          <w:color w:val="17428C" w:themeColor="accent1"/>
          <w:szCs w:val="26"/>
          <w:lang w:val="pl-PL"/>
        </w:rPr>
        <w:t>Gobain – m.in. ISOVER, RIGIPS, WEBER, ECOPHON, LECA, GLASS, GLASSOLUTIONS, VETROTECH i SWISSPACER – obejmujące systemy ścian działowych i międzylokalowych, stropy i sufity podwieszane, podłogi, elewacje ETICS oraz rozwiązania szklane. Zostały one pokazane nie jako pojedyncze produkty, lecz jako kompletne systemy, których parametry akustyczne są potwierdzone badaniami i możliwe do jednoznacznego ujęcia w dokumentacji projektowej.</w:t>
      </w:r>
    </w:p>
    <w:p w14:paraId="2D14A6A7" w14:textId="77777777" w:rsidR="00E72762" w:rsidRDefault="00E72762" w:rsidP="000D264E">
      <w:pPr>
        <w:jc w:val="both"/>
        <w:rPr>
          <w:rFonts w:asciiTheme="majorHAnsi" w:eastAsiaTheme="majorEastAsia" w:hAnsiTheme="majorHAnsi" w:cstheme="majorBidi"/>
          <w:b/>
          <w:bCs/>
          <w:noProof/>
          <w:color w:val="67B9B0" w:themeColor="accent4"/>
          <w:szCs w:val="26"/>
          <w:lang w:val="pl-PL"/>
        </w:rPr>
      </w:pPr>
      <w:r w:rsidRPr="00E72762">
        <w:rPr>
          <w:rFonts w:asciiTheme="majorHAnsi" w:eastAsiaTheme="majorEastAsia" w:hAnsiTheme="majorHAnsi" w:cstheme="majorBidi"/>
          <w:b/>
          <w:bCs/>
          <w:noProof/>
          <w:color w:val="67B9B0" w:themeColor="accent4"/>
          <w:szCs w:val="26"/>
          <w:lang w:val="pl-PL"/>
        </w:rPr>
        <w:t>Odpowiedź na realne wyzwania projektowe</w:t>
      </w:r>
    </w:p>
    <w:p w14:paraId="37B30BAE" w14:textId="45F69C9D" w:rsidR="00E72762" w:rsidRPr="00E72762"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Wraz ze wzrostem znaczenia jakości życia użytkowników budynków, akustyka staje się jednym</w:t>
      </w:r>
      <w:r w:rsidR="00B708F7">
        <w:rPr>
          <w:rFonts w:asciiTheme="majorHAnsi" w:eastAsiaTheme="majorEastAsia" w:hAnsiTheme="majorHAnsi" w:cstheme="majorBidi"/>
          <w:noProof/>
          <w:color w:val="17428C" w:themeColor="accent1"/>
          <w:szCs w:val="26"/>
          <w:lang w:val="pl-PL"/>
        </w:rPr>
        <w:t xml:space="preserve"> z </w:t>
      </w:r>
      <w:r w:rsidRPr="00E72762">
        <w:rPr>
          <w:rFonts w:asciiTheme="majorHAnsi" w:eastAsiaTheme="majorEastAsia" w:hAnsiTheme="majorHAnsi" w:cstheme="majorBidi"/>
          <w:noProof/>
          <w:color w:val="17428C" w:themeColor="accent1"/>
          <w:szCs w:val="26"/>
          <w:lang w:val="pl-PL"/>
        </w:rPr>
        <w:t>kluczowych elementów projektowania – wpływając nie tylko na komfort, ale również na funkcjonalność i odbiór przestrzeni. Kompendium Saint-Gobain odpowiada na te zmiany, dostarczając uporządkowanej wiedzy oraz praktycznych narzędzi, które wspierają codzienną pracę projektantów.</w:t>
      </w:r>
    </w:p>
    <w:p w14:paraId="6AD3F411" w14:textId="07B70B1C" w:rsidR="00E72762" w:rsidRPr="00E72762" w:rsidRDefault="00E72762" w:rsidP="00E7276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 xml:space="preserve">Publikacja kierowana jest przede wszystkim do architektów, projektantów branżowych, biur projektowych oraz wszystkich uczestników procesu inwestycyjnego, którzy odpowiadają za jakość </w:t>
      </w:r>
      <w:r w:rsidR="00B708F7">
        <w:rPr>
          <w:rFonts w:asciiTheme="majorHAnsi" w:eastAsiaTheme="majorEastAsia" w:hAnsiTheme="majorHAnsi" w:cstheme="majorBidi"/>
          <w:noProof/>
          <w:color w:val="17428C" w:themeColor="accent1"/>
          <w:szCs w:val="26"/>
          <w:lang w:val="pl-PL"/>
        </w:rPr>
        <w:t>wdrażanych</w:t>
      </w:r>
      <w:r w:rsidR="00B708F7" w:rsidRPr="00E72762">
        <w:rPr>
          <w:rFonts w:asciiTheme="majorHAnsi" w:eastAsiaTheme="majorEastAsia" w:hAnsiTheme="majorHAnsi" w:cstheme="majorBidi"/>
          <w:noProof/>
          <w:color w:val="17428C" w:themeColor="accent1"/>
          <w:szCs w:val="26"/>
          <w:lang w:val="pl-PL"/>
        </w:rPr>
        <w:t xml:space="preserve"> </w:t>
      </w:r>
      <w:r w:rsidRPr="00E72762">
        <w:rPr>
          <w:rFonts w:asciiTheme="majorHAnsi" w:eastAsiaTheme="majorEastAsia" w:hAnsiTheme="majorHAnsi" w:cstheme="majorBidi"/>
          <w:noProof/>
          <w:color w:val="17428C" w:themeColor="accent1"/>
          <w:szCs w:val="26"/>
          <w:lang w:val="pl-PL"/>
        </w:rPr>
        <w:t xml:space="preserve">rozwiązań. Jej celem jest nie tylko ułatwienie przygotowania poprawnej analizy akustycznej, ale także wsparcie </w:t>
      </w:r>
      <w:r w:rsidR="00B708F7">
        <w:rPr>
          <w:rFonts w:asciiTheme="majorHAnsi" w:eastAsiaTheme="majorEastAsia" w:hAnsiTheme="majorHAnsi" w:cstheme="majorBidi"/>
          <w:noProof/>
          <w:color w:val="17428C" w:themeColor="accent1"/>
          <w:szCs w:val="26"/>
          <w:lang w:val="pl-PL"/>
        </w:rPr>
        <w:t>specjalistów</w:t>
      </w:r>
      <w:r w:rsidR="00B708F7" w:rsidRPr="00E72762">
        <w:rPr>
          <w:rFonts w:asciiTheme="majorHAnsi" w:eastAsiaTheme="majorEastAsia" w:hAnsiTheme="majorHAnsi" w:cstheme="majorBidi"/>
          <w:noProof/>
          <w:color w:val="17428C" w:themeColor="accent1"/>
          <w:szCs w:val="26"/>
          <w:lang w:val="pl-PL"/>
        </w:rPr>
        <w:t xml:space="preserve"> </w:t>
      </w:r>
      <w:r w:rsidRPr="00E72762">
        <w:rPr>
          <w:rFonts w:asciiTheme="majorHAnsi" w:eastAsiaTheme="majorEastAsia" w:hAnsiTheme="majorHAnsi" w:cstheme="majorBidi"/>
          <w:noProof/>
          <w:color w:val="17428C" w:themeColor="accent1"/>
          <w:szCs w:val="26"/>
          <w:lang w:val="pl-PL"/>
        </w:rPr>
        <w:t>w podejmowaniu świadomych decyzji – od etapu koncepcji po dokumentację techniczną.</w:t>
      </w:r>
    </w:p>
    <w:p w14:paraId="50DAD2F7" w14:textId="109C1580" w:rsidR="00964172" w:rsidRDefault="00E72762" w:rsidP="00964172">
      <w:pPr>
        <w:jc w:val="both"/>
        <w:rPr>
          <w:rFonts w:asciiTheme="majorHAnsi" w:eastAsiaTheme="majorEastAsia" w:hAnsiTheme="majorHAnsi" w:cstheme="majorBidi"/>
          <w:noProof/>
          <w:color w:val="17428C" w:themeColor="accent1"/>
          <w:szCs w:val="26"/>
          <w:lang w:val="pl-PL"/>
        </w:rPr>
      </w:pPr>
      <w:r w:rsidRPr="00E72762">
        <w:rPr>
          <w:rFonts w:asciiTheme="majorHAnsi" w:eastAsiaTheme="majorEastAsia" w:hAnsiTheme="majorHAnsi" w:cstheme="majorBidi"/>
          <w:noProof/>
          <w:color w:val="17428C" w:themeColor="accent1"/>
          <w:szCs w:val="26"/>
          <w:lang w:val="pl-PL"/>
        </w:rPr>
        <w:t>W tym ujęciu analiza akustyczna przestaje być wyłącznie formalnym wymogiem, a staje się narzędziem, pozwalającym łączyć zgodność z przepisami z projektowaniem przestrzeni</w:t>
      </w:r>
      <w:r w:rsidR="00964172">
        <w:rPr>
          <w:rFonts w:asciiTheme="majorHAnsi" w:eastAsiaTheme="majorEastAsia" w:hAnsiTheme="majorHAnsi" w:cstheme="majorBidi"/>
          <w:noProof/>
          <w:color w:val="17428C" w:themeColor="accent1"/>
          <w:szCs w:val="26"/>
          <w:lang w:val="pl-PL"/>
        </w:rPr>
        <w:t xml:space="preserve"> o </w:t>
      </w:r>
      <w:r w:rsidRPr="00E72762">
        <w:rPr>
          <w:rFonts w:asciiTheme="majorHAnsi" w:eastAsiaTheme="majorEastAsia" w:hAnsiTheme="majorHAnsi" w:cstheme="majorBidi"/>
          <w:noProof/>
          <w:color w:val="17428C" w:themeColor="accent1"/>
          <w:szCs w:val="26"/>
          <w:lang w:val="pl-PL"/>
        </w:rPr>
        <w:t>przewidywalnym i mierzalnym komforcie akustycznym.</w:t>
      </w:r>
    </w:p>
    <w:p w14:paraId="219F497A" w14:textId="1375387A" w:rsidR="001D01BB" w:rsidRPr="001D01BB" w:rsidRDefault="001D01BB" w:rsidP="00964172">
      <w:pPr>
        <w:jc w:val="both"/>
        <w:rPr>
          <w:rFonts w:asciiTheme="majorHAnsi" w:eastAsiaTheme="majorEastAsia" w:hAnsiTheme="majorHAnsi" w:cstheme="majorBidi"/>
          <w:b/>
          <w:bCs/>
          <w:noProof/>
          <w:color w:val="17428C" w:themeColor="accent1"/>
          <w:szCs w:val="26"/>
          <w:lang w:val="pl-PL"/>
        </w:rPr>
      </w:pPr>
      <w:r w:rsidRPr="001D01BB">
        <w:rPr>
          <w:rFonts w:asciiTheme="majorHAnsi" w:eastAsiaTheme="majorEastAsia" w:hAnsiTheme="majorHAnsi" w:cstheme="majorBidi"/>
          <w:b/>
          <w:bCs/>
          <w:noProof/>
          <w:color w:val="17428C" w:themeColor="accent1"/>
          <w:szCs w:val="26"/>
          <w:lang w:val="pl-PL"/>
        </w:rPr>
        <w:t>Zapoznaj się z „Analizą akustyczną. Kompendium projektowania”: https://www.rigips.pl/akustyka.</w:t>
      </w:r>
    </w:p>
    <w:p w14:paraId="748E8345" w14:textId="00251841" w:rsidR="0047007D" w:rsidRPr="000D264E" w:rsidRDefault="00D222D6" w:rsidP="0047007D">
      <w:pPr>
        <w:rPr>
          <w:b/>
          <w:bCs/>
          <w:noProof/>
          <w:color w:val="67B9B0" w:themeColor="accent4"/>
          <w:lang w:val="pl-PL"/>
        </w:rPr>
      </w:pPr>
      <w:r w:rsidRPr="000D264E">
        <w:rPr>
          <w:b/>
          <w:bCs/>
          <w:noProof/>
          <w:color w:val="67B9B0" w:themeColor="accent4"/>
          <w:lang w:val="pl-PL"/>
        </w:rPr>
        <w:t xml:space="preserve">O </w:t>
      </w:r>
      <w:r w:rsidR="0047007D" w:rsidRPr="000D264E">
        <w:rPr>
          <w:b/>
          <w:bCs/>
          <w:noProof/>
          <w:color w:val="67B9B0" w:themeColor="accent4"/>
          <w:lang w:val="pl-PL"/>
        </w:rPr>
        <w:t>Saint-Gobain</w:t>
      </w:r>
    </w:p>
    <w:p w14:paraId="788AD941" w14:textId="22FEB012" w:rsidR="0047007D" w:rsidRPr="00D222D6" w:rsidRDefault="00D222D6" w:rsidP="000D264E">
      <w:pPr>
        <w:spacing w:after="240" w:line="240" w:lineRule="auto"/>
        <w:jc w:val="both"/>
        <w:rPr>
          <w:sz w:val="20"/>
          <w:szCs w:val="20"/>
          <w:lang w:val="pl-PL"/>
        </w:rPr>
      </w:pPr>
      <w:bookmarkStart w:id="0" w:name="_Hlk138746447"/>
      <w:r w:rsidRPr="000D264E">
        <w:rPr>
          <w:noProof/>
          <w:color w:val="17428C" w:themeColor="accent1"/>
          <w:lang w:val="pl-PL"/>
        </w:rPr>
        <w:t>Saint-Gobain, światowy lider w dziedzinie lekkiego i zrównoważonego budownictwa, tworzy, produkuje i dystrybuuje materiały oraz usługi dla rynku budowlanego i przemysłowego. Zintegrowane rozwiązania w zakresie renowacji budynków publicznych i prywatnych, lekkiego budownictwa oraz dekarbonizacji budownictwa i przemysłu są opracowywane w procesie ciągłej innowacji i zapewniają zrównoważony rozwój i efektywność. Zobowiązanie Grupy wyrażone jest</w:t>
      </w:r>
      <w:r w:rsidR="000D264E">
        <w:rPr>
          <w:noProof/>
          <w:color w:val="17428C" w:themeColor="accent1"/>
          <w:lang w:val="pl-PL"/>
        </w:rPr>
        <w:t xml:space="preserve"> w </w:t>
      </w:r>
      <w:r w:rsidRPr="000D264E">
        <w:rPr>
          <w:noProof/>
          <w:color w:val="17428C" w:themeColor="accent1"/>
          <w:lang w:val="pl-PL"/>
        </w:rPr>
        <w:t>jej celu nadrzędnym: “MAKING THE WORLD A BETTER HOME”.</w:t>
      </w:r>
      <w:bookmarkEnd w:id="0"/>
    </w:p>
    <w:p w14:paraId="5234F039" w14:textId="5867B95F" w:rsidR="00EC1D65" w:rsidRPr="000D264E" w:rsidRDefault="00EC1D65" w:rsidP="00EC1D65">
      <w:pPr>
        <w:pStyle w:val="Nagwek2"/>
        <w:rPr>
          <w:b/>
          <w:bCs/>
          <w:noProof/>
          <w:lang w:val="pl-PL"/>
        </w:rPr>
      </w:pPr>
      <w:r w:rsidRPr="000D264E">
        <w:rPr>
          <w:b/>
          <w:bCs/>
          <w:noProof/>
          <w:lang w:val="pl-PL"/>
        </w:rPr>
        <w:lastRenderedPageBreak/>
        <w:t>Wartość sprzedaży w 202</w:t>
      </w:r>
      <w:r w:rsidR="000D264E">
        <w:rPr>
          <w:b/>
          <w:bCs/>
          <w:noProof/>
          <w:lang w:val="pl-PL"/>
        </w:rPr>
        <w:t>5</w:t>
      </w:r>
      <w:r w:rsidRPr="000D264E">
        <w:rPr>
          <w:b/>
          <w:bCs/>
          <w:noProof/>
          <w:lang w:val="pl-PL"/>
        </w:rPr>
        <w:t xml:space="preserve"> roku: 4</w:t>
      </w:r>
      <w:r w:rsidR="000D264E">
        <w:rPr>
          <w:b/>
          <w:bCs/>
          <w:noProof/>
          <w:lang w:val="pl-PL"/>
        </w:rPr>
        <w:t>6,5</w:t>
      </w:r>
      <w:r w:rsidRPr="000D264E">
        <w:rPr>
          <w:b/>
          <w:bCs/>
          <w:noProof/>
          <w:lang w:val="pl-PL"/>
        </w:rPr>
        <w:t xml:space="preserve"> mld EUR.</w:t>
      </w:r>
    </w:p>
    <w:p w14:paraId="53F09166" w14:textId="6542A3AB" w:rsidR="00EC1D65" w:rsidRPr="000D264E" w:rsidRDefault="00EC1D65" w:rsidP="00EC1D65">
      <w:pPr>
        <w:pStyle w:val="Nagwek2"/>
        <w:rPr>
          <w:b/>
          <w:bCs/>
          <w:noProof/>
          <w:lang w:val="pl-PL"/>
        </w:rPr>
      </w:pPr>
      <w:r w:rsidRPr="000D264E">
        <w:rPr>
          <w:b/>
          <w:bCs/>
          <w:noProof/>
          <w:lang w:val="pl-PL"/>
        </w:rPr>
        <w:t>16</w:t>
      </w:r>
      <w:r w:rsidR="000D264E">
        <w:rPr>
          <w:b/>
          <w:bCs/>
          <w:noProof/>
          <w:lang w:val="pl-PL"/>
        </w:rPr>
        <w:t>2</w:t>
      </w:r>
      <w:r w:rsidRPr="000D264E">
        <w:rPr>
          <w:b/>
          <w:bCs/>
          <w:noProof/>
          <w:lang w:val="pl-PL"/>
        </w:rPr>
        <w:t xml:space="preserve"> 000 pracowników w </w:t>
      </w:r>
      <w:r w:rsidR="000D264E">
        <w:rPr>
          <w:b/>
          <w:bCs/>
          <w:noProof/>
          <w:lang w:val="pl-PL"/>
        </w:rPr>
        <w:t>80</w:t>
      </w:r>
      <w:r w:rsidRPr="000D264E">
        <w:rPr>
          <w:b/>
          <w:bCs/>
          <w:noProof/>
          <w:lang w:val="pl-PL"/>
        </w:rPr>
        <w:t xml:space="preserve"> krajach.</w:t>
      </w:r>
    </w:p>
    <w:p w14:paraId="399BB5AA" w14:textId="280FC549" w:rsidR="00EC1D65" w:rsidRPr="000D264E" w:rsidRDefault="00EC1D65" w:rsidP="007D6266">
      <w:pPr>
        <w:pStyle w:val="Nagwek2"/>
        <w:rPr>
          <w:b/>
          <w:bCs/>
          <w:noProof/>
          <w:lang w:val="pl-PL"/>
        </w:rPr>
      </w:pPr>
      <w:r w:rsidRPr="000D264E">
        <w:rPr>
          <w:b/>
          <w:bCs/>
          <w:noProof/>
          <w:lang w:val="pl-PL"/>
        </w:rPr>
        <w:t>Firma podjęła zobowiązanie do osiągnięcia neutralności węglowej do 2050 roku.</w:t>
      </w:r>
    </w:p>
    <w:p w14:paraId="2667576A" w14:textId="77777777" w:rsidR="0047007D" w:rsidRPr="000D264E" w:rsidRDefault="0047007D" w:rsidP="0047007D">
      <w:pPr>
        <w:pStyle w:val="Nagwek2"/>
        <w:rPr>
          <w:noProof/>
          <w:lang w:val="pl-PL"/>
        </w:rPr>
      </w:pPr>
    </w:p>
    <w:p w14:paraId="5B9FE5DC" w14:textId="4F50328F" w:rsidR="00D222D6" w:rsidRPr="000D264E" w:rsidRDefault="00D222D6" w:rsidP="00D222D6">
      <w:pPr>
        <w:pStyle w:val="Nagwek2"/>
        <w:spacing w:after="240" w:line="240" w:lineRule="auto"/>
        <w:rPr>
          <w:noProof/>
          <w:lang w:val="pl-PL"/>
        </w:rPr>
      </w:pPr>
      <w:r w:rsidRPr="000D264E">
        <w:rPr>
          <w:noProof/>
          <w:lang w:val="pl-PL"/>
        </w:rPr>
        <w:t xml:space="preserve">Więcej informacji o Saint-Gobain można znaleźć na naszej stronie: </w:t>
      </w:r>
      <w:hyperlink r:id="rId13" w:history="1">
        <w:r w:rsidRPr="000D264E">
          <w:rPr>
            <w:rStyle w:val="Hipercze"/>
            <w:noProof/>
            <w:lang w:val="pl-PL"/>
          </w:rPr>
          <w:t>www.saint-gobain.pl</w:t>
        </w:r>
      </w:hyperlink>
    </w:p>
    <w:p w14:paraId="5553A54E" w14:textId="79B2CE43" w:rsidR="00D222D6" w:rsidRPr="000D264E" w:rsidRDefault="00D222D6" w:rsidP="00D222D6">
      <w:pPr>
        <w:spacing w:after="240" w:line="240" w:lineRule="auto"/>
        <w:rPr>
          <w:b/>
          <w:bCs/>
          <w:noProof/>
          <w:color w:val="67B9B0" w:themeColor="accent4"/>
          <w:lang w:val="pl-PL"/>
        </w:rPr>
      </w:pPr>
      <w:r w:rsidRPr="000D264E">
        <w:rPr>
          <w:b/>
          <w:bCs/>
          <w:noProof/>
          <w:color w:val="67B9B0" w:themeColor="accent4"/>
          <w:lang w:val="pl-PL"/>
        </w:rPr>
        <w:t>Dodatkowe informacje:</w:t>
      </w:r>
    </w:p>
    <w:p w14:paraId="66533E04" w14:textId="77777777" w:rsidR="00E72762" w:rsidRDefault="00D222D6" w:rsidP="00E72762">
      <w:pPr>
        <w:pStyle w:val="Nagwek2"/>
        <w:spacing w:line="240" w:lineRule="auto"/>
        <w:rPr>
          <w:noProof/>
          <w:lang w:val="pl-PL"/>
        </w:rPr>
      </w:pPr>
      <w:r w:rsidRPr="000D264E">
        <w:rPr>
          <w:noProof/>
          <w:lang w:val="pl-PL"/>
        </w:rPr>
        <w:t xml:space="preserve">Michał Ciesielski, </w:t>
      </w:r>
      <w:r w:rsidR="00E72762" w:rsidRPr="000D264E">
        <w:rPr>
          <w:noProof/>
          <w:lang w:val="pl-PL"/>
        </w:rPr>
        <w:t xml:space="preserve">dyrektor marki, komunikacji </w:t>
      </w:r>
      <w:r w:rsidR="00E72762" w:rsidRPr="008C56A2">
        <w:rPr>
          <w:noProof/>
          <w:lang w:val="pl-PL"/>
        </w:rPr>
        <w:t xml:space="preserve">i marketingu strategicznego </w:t>
      </w:r>
    </w:p>
    <w:p w14:paraId="123EAA39" w14:textId="77777777" w:rsidR="00E72762" w:rsidRDefault="00D222D6" w:rsidP="00D222D6">
      <w:pPr>
        <w:pStyle w:val="Nagwek2"/>
        <w:spacing w:line="240" w:lineRule="auto"/>
        <w:rPr>
          <w:noProof/>
          <w:lang w:val="pl-PL"/>
        </w:rPr>
      </w:pPr>
      <w:hyperlink r:id="rId14" w:history="1">
        <w:r w:rsidRPr="000D264E">
          <w:rPr>
            <w:rStyle w:val="Hipercze"/>
            <w:noProof/>
            <w:lang w:val="pl-PL"/>
          </w:rPr>
          <w:t>michal.ciesielski@saint-gobain.com</w:t>
        </w:r>
      </w:hyperlink>
    </w:p>
    <w:p w14:paraId="097211AF" w14:textId="77777777" w:rsidR="00E72762" w:rsidRDefault="00E72762" w:rsidP="00D222D6">
      <w:pPr>
        <w:pStyle w:val="Nagwek2"/>
        <w:spacing w:line="240" w:lineRule="auto"/>
        <w:rPr>
          <w:noProof/>
          <w:lang w:val="pl-PL"/>
        </w:rPr>
      </w:pPr>
    </w:p>
    <w:p w14:paraId="60EDBFE6" w14:textId="09151923" w:rsidR="00D222D6" w:rsidRPr="000D264E" w:rsidRDefault="00D222D6" w:rsidP="00D222D6">
      <w:pPr>
        <w:pStyle w:val="Nagwek2"/>
        <w:spacing w:line="240" w:lineRule="auto"/>
        <w:rPr>
          <w:noProof/>
          <w:lang w:val="pl-PL"/>
        </w:rPr>
      </w:pPr>
      <w:r w:rsidRPr="000D264E">
        <w:rPr>
          <w:noProof/>
          <w:lang w:val="pl-PL"/>
        </w:rPr>
        <w:t>Monika Mazurek-Skrzekowska, kierownik marki i komunikacji</w:t>
      </w:r>
    </w:p>
    <w:p w14:paraId="0B2ACEE5" w14:textId="40C54706" w:rsidR="0047007D" w:rsidRPr="006E7908" w:rsidRDefault="00D222D6" w:rsidP="00D222D6">
      <w:pPr>
        <w:pStyle w:val="Nagwek2"/>
        <w:spacing w:line="240" w:lineRule="auto"/>
        <w:rPr>
          <w:noProof/>
          <w:lang w:val="en-GB"/>
        </w:rPr>
      </w:pPr>
      <w:hyperlink r:id="rId15" w:history="1">
        <w:r w:rsidRPr="00AE42C8">
          <w:rPr>
            <w:rStyle w:val="Hipercze"/>
            <w:noProof/>
            <w:lang w:val="en-GB"/>
          </w:rPr>
          <w:t>monika.mazurek@saint-gobain.com</w:t>
        </w:r>
      </w:hyperlink>
      <w:r>
        <w:rPr>
          <w:noProof/>
          <w:lang w:val="en-GB"/>
        </w:rPr>
        <w:t xml:space="preserve"> </w:t>
      </w:r>
    </w:p>
    <w:sectPr w:rsidR="0047007D" w:rsidRPr="006E7908" w:rsidSect="00741AF9">
      <w:headerReference w:type="default" r:id="rId16"/>
      <w:footerReference w:type="default" r:id="rId17"/>
      <w:headerReference w:type="first" r:id="rId18"/>
      <w:pgSz w:w="11906" w:h="16838" w:code="9"/>
      <w:pgMar w:top="2268" w:right="1276" w:bottom="1134" w:left="1134"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65BF4" w14:textId="77777777" w:rsidR="00C70EAD" w:rsidRDefault="00C70EAD" w:rsidP="000D2398">
      <w:pPr>
        <w:spacing w:after="0" w:line="240" w:lineRule="auto"/>
      </w:pPr>
      <w:r>
        <w:separator/>
      </w:r>
    </w:p>
  </w:endnote>
  <w:endnote w:type="continuationSeparator" w:id="0">
    <w:p w14:paraId="47FA2C0B" w14:textId="77777777" w:rsidR="00C70EAD" w:rsidRDefault="00C70EAD" w:rsidP="000D2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HG Mincho Light J">
    <w:altName w:val="Times New Roman"/>
    <w:panose1 w:val="00000000000000000000"/>
    <w:charset w:val="00"/>
    <w:family w:val="roman"/>
    <w:notTrueType/>
    <w:pitch w:val="default"/>
  </w:font>
  <w:font w:name="Arial (Headings)">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2A01" w14:textId="77777777" w:rsidR="00FD3F98" w:rsidRPr="005F2BFA" w:rsidRDefault="00FD3F98" w:rsidP="00FD3F98">
    <w:pPr>
      <w:pStyle w:val="Nagwek2"/>
      <w:spacing w:line="240" w:lineRule="auto"/>
      <w:jc w:val="center"/>
      <w:rPr>
        <w:b/>
        <w:bCs/>
        <w:noProof/>
        <w:sz w:val="16"/>
        <w:szCs w:val="20"/>
      </w:rPr>
    </w:pPr>
    <w:r>
      <w:rPr>
        <w:b/>
        <w:bCs/>
        <w:noProof/>
        <w:sz w:val="16"/>
        <w:szCs w:val="20"/>
      </w:rPr>
      <w:t xml:space="preserve">Saint-Gobain w Polsce </w:t>
    </w:r>
    <w:r w:rsidRPr="00ED2DBB">
      <w:rPr>
        <w:b/>
        <w:bCs/>
        <w:noProof/>
        <w:sz w:val="16"/>
        <w:szCs w:val="20"/>
        <w:lang w:val="pl-PL"/>
      </w:rPr>
      <w:t>• www.saint-gobain.pl</w:t>
    </w:r>
  </w:p>
  <w:p w14:paraId="7B47FD22" w14:textId="7B026622" w:rsidR="008063BD" w:rsidRPr="00FD3F98" w:rsidRDefault="008063BD" w:rsidP="00FD3F98">
    <w:pPr>
      <w:pStyle w:val="Stopk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B44B2" w14:textId="77777777" w:rsidR="00C70EAD" w:rsidRDefault="00C70EAD" w:rsidP="000D2398">
      <w:pPr>
        <w:spacing w:after="0" w:line="240" w:lineRule="auto"/>
      </w:pPr>
      <w:r>
        <w:separator/>
      </w:r>
    </w:p>
  </w:footnote>
  <w:footnote w:type="continuationSeparator" w:id="0">
    <w:p w14:paraId="03EFC04C" w14:textId="77777777" w:rsidR="00C70EAD" w:rsidRDefault="00C70EAD" w:rsidP="000D23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311B" w14:textId="20E2802E" w:rsidR="006B5242" w:rsidRPr="000D264E" w:rsidRDefault="006F2B82" w:rsidP="006B5242">
    <w:pPr>
      <w:pStyle w:val="Nagwek"/>
      <w:tabs>
        <w:tab w:val="clear" w:pos="4680"/>
        <w:tab w:val="clear" w:pos="9360"/>
        <w:tab w:val="left" w:pos="5745"/>
      </w:tabs>
      <w:ind w:left="-567"/>
      <w:rPr>
        <w:b/>
        <w:bCs/>
        <w:noProof/>
        <w:color w:val="17428C" w:themeColor="accent1"/>
        <w:sz w:val="40"/>
        <w:szCs w:val="40"/>
        <w:lang w:val="pl-PL"/>
      </w:rPr>
    </w:pPr>
    <w:r w:rsidRPr="00B272AB">
      <w:rPr>
        <w:b/>
        <w:bCs/>
        <w:noProof/>
        <w:sz w:val="28"/>
        <w:szCs w:val="28"/>
        <w:lang w:val="en-GB"/>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70528" behindDoc="0" locked="0" layoutInCell="1" allowOverlap="1" wp14:anchorId="2082D494" wp14:editId="15FEF474">
              <wp:simplePos x="0" y="0"/>
              <wp:positionH relativeFrom="page">
                <wp:align>left</wp:align>
              </wp:positionH>
              <wp:positionV relativeFrom="paragraph">
                <wp:posOffset>-361950</wp:posOffset>
              </wp:positionV>
              <wp:extent cx="7559675" cy="10194554"/>
              <wp:effectExtent l="0" t="0" r="3175" b="0"/>
              <wp:wrapNone/>
              <wp:docPr id="755820165" name="Freeform: Shape 1"/>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14="http://schemas.microsoft.com/office/drawing/2010/main" xmlns:pic="http://schemas.openxmlformats.org/drawingml/2006/picture" xmlns:a="http://schemas.openxmlformats.org/drawingml/2006/main">
          <w:pict>
            <v:shape id="Freeform: Shape 1" style="position:absolute;margin-left:0;margin-top:-28.5pt;width:595.25pt;height:802.7pt;z-index:251670528;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0EC16EA2">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E15DCA" w:rsidRPr="00B272AB">
      <w:rPr>
        <w:b/>
        <w:bCs/>
        <w:noProof/>
        <w:color w:val="17428C" w:themeColor="accent1"/>
        <w:sz w:val="40"/>
        <w:szCs w:val="40"/>
        <w:lang w:val="en-GB"/>
      </w:rPr>
      <w:drawing>
        <wp:anchor distT="0" distB="0" distL="114300" distR="114300" simplePos="0" relativeHeight="251666432" behindDoc="0" locked="0" layoutInCell="1" allowOverlap="1" wp14:anchorId="362F3C16" wp14:editId="1E3C54C4">
          <wp:simplePos x="0" y="0"/>
          <wp:positionH relativeFrom="column">
            <wp:posOffset>4309110</wp:posOffset>
          </wp:positionH>
          <wp:positionV relativeFrom="paragraph">
            <wp:posOffset>144780</wp:posOffset>
          </wp:positionV>
          <wp:extent cx="1687830" cy="704215"/>
          <wp:effectExtent l="0" t="0" r="7620" b="635"/>
          <wp:wrapNone/>
          <wp:docPr id="755820163" name="Picture 755820163"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163" name="Picture 755820163"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0D264E" w:rsidRPr="000D264E">
      <w:rPr>
        <w:b/>
        <w:bCs/>
        <w:noProof/>
        <w:color w:val="17428C" w:themeColor="accent1"/>
        <w:sz w:val="40"/>
        <w:szCs w:val="40"/>
        <w:lang w:val="pl-PL"/>
      </w:rPr>
      <w:t>Warszawa</w:t>
    </w:r>
  </w:p>
  <w:p w14:paraId="2F30C3E5" w14:textId="51D59F4B" w:rsidR="00E15DCA" w:rsidRPr="000D264E" w:rsidRDefault="00E15DCA" w:rsidP="006B5242">
    <w:pPr>
      <w:pStyle w:val="Nagwek"/>
      <w:tabs>
        <w:tab w:val="clear" w:pos="4680"/>
        <w:tab w:val="clear" w:pos="9360"/>
        <w:tab w:val="left" w:pos="5745"/>
      </w:tabs>
      <w:ind w:left="-567"/>
      <w:rPr>
        <w:b/>
        <w:bCs/>
        <w:noProof/>
        <w:sz w:val="24"/>
        <w:szCs w:val="24"/>
        <w:lang w:val="pl-PL"/>
        <w14:textFill>
          <w14:gradFill>
            <w14:gsLst>
              <w14:gs w14:pos="0">
                <w14:schemeClr w14:val="accent4"/>
              </w14:gs>
              <w14:gs w14:pos="50000">
                <w14:schemeClr w14:val="accent5"/>
              </w14:gs>
              <w14:gs w14:pos="100000">
                <w14:schemeClr w14:val="accent1"/>
              </w14:gs>
            </w14:gsLst>
            <w14:lin w14:ang="0" w14:scaled="0"/>
          </w14:gradFill>
        </w14:textFill>
      </w:rPr>
    </w:pPr>
  </w:p>
  <w:p w14:paraId="01ECEA0A" w14:textId="114C2DC2" w:rsidR="00B272AB" w:rsidRPr="000D264E" w:rsidRDefault="000D264E" w:rsidP="00B272AB">
    <w:pPr>
      <w:pStyle w:val="Nagwek"/>
      <w:tabs>
        <w:tab w:val="clear" w:pos="4680"/>
        <w:tab w:val="clear" w:pos="9360"/>
        <w:tab w:val="left" w:pos="2025"/>
        <w:tab w:val="left" w:pos="4545"/>
      </w:tabs>
      <w:spacing w:after="120"/>
      <w:ind w:left="-567"/>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pPr>
    <w:r w:rsidRPr="000D264E">
      <w:rPr>
        <w:b/>
        <w:bCs/>
        <w:noProof/>
        <w:sz w:val="28"/>
        <w:szCs w:val="28"/>
        <w:lang w:val="pl-PL"/>
        <w14:textFill>
          <w14:gradFill>
            <w14:gsLst>
              <w14:gs w14:pos="0">
                <w14:schemeClr w14:val="accent4"/>
              </w14:gs>
              <w14:gs w14:pos="50000">
                <w14:schemeClr w14:val="accent5"/>
              </w14:gs>
              <w14:gs w14:pos="100000">
                <w14:schemeClr w14:val="accent1"/>
              </w14:gs>
            </w14:gsLst>
            <w14:lin w14:ang="0" w14:scaled="0"/>
          </w14:gradFill>
        </w14:textFill>
      </w:rPr>
      <w:t>Informacja prasowa</w:t>
    </w:r>
  </w:p>
  <w:p w14:paraId="7475479D" w14:textId="3AFB3BA5" w:rsidR="006B5242" w:rsidRPr="000D264E" w:rsidRDefault="00E72762" w:rsidP="006B5242">
    <w:pPr>
      <w:pStyle w:val="Nagwek"/>
      <w:ind w:left="-567"/>
      <w:rPr>
        <w:lang w:val="pl-PL"/>
      </w:rPr>
    </w:pPr>
    <w:r>
      <w:rPr>
        <w:color w:val="17428C" w:themeColor="accent1"/>
        <w:sz w:val="24"/>
        <w:szCs w:val="24"/>
        <w:lang w:val="pl-PL"/>
      </w:rPr>
      <w:t>2</w:t>
    </w:r>
    <w:r w:rsidR="00964172">
      <w:rPr>
        <w:color w:val="17428C" w:themeColor="accent1"/>
        <w:sz w:val="24"/>
        <w:szCs w:val="24"/>
        <w:lang w:val="pl-PL"/>
      </w:rPr>
      <w:t>8</w:t>
    </w:r>
    <w:r>
      <w:rPr>
        <w:color w:val="17428C" w:themeColor="accent1"/>
        <w:sz w:val="24"/>
        <w:szCs w:val="24"/>
        <w:lang w:val="pl-PL"/>
      </w:rPr>
      <w:t xml:space="preserve"> maja</w:t>
    </w:r>
    <w:r w:rsidR="000D264E" w:rsidRPr="000D264E">
      <w:rPr>
        <w:color w:val="17428C" w:themeColor="accent1"/>
        <w:sz w:val="24"/>
        <w:szCs w:val="24"/>
        <w:lang w:val="pl-PL"/>
      </w:rPr>
      <w:t xml:space="preserve"> 2</w:t>
    </w:r>
    <w:r w:rsidR="000D264E">
      <w:rPr>
        <w:color w:val="17428C" w:themeColor="accent1"/>
        <w:sz w:val="24"/>
        <w:szCs w:val="24"/>
        <w:lang w:val="pl-PL"/>
      </w:rPr>
      <w:t>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1491" w14:textId="601D399D" w:rsidR="00D135D6" w:rsidRPr="008063BD" w:rsidRDefault="003E687E" w:rsidP="00E319CA">
    <w:pPr>
      <w:pStyle w:val="Nagwek"/>
      <w:tabs>
        <w:tab w:val="clear" w:pos="4680"/>
        <w:tab w:val="clear" w:pos="9360"/>
        <w:tab w:val="left" w:pos="5745"/>
      </w:tabs>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Pr>
        <w:b/>
        <w:bCs/>
        <w:noProof/>
        <w:sz w:val="28"/>
        <w:szCs w:val="28"/>
      </w:rPr>
      <w:drawing>
        <wp:anchor distT="0" distB="0" distL="114300" distR="114300" simplePos="0" relativeHeight="251662336" behindDoc="0" locked="0" layoutInCell="1" allowOverlap="1" wp14:anchorId="31D5FF31" wp14:editId="7F2DAB10">
          <wp:simplePos x="0" y="0"/>
          <wp:positionH relativeFrom="column">
            <wp:posOffset>4302286</wp:posOffset>
          </wp:positionH>
          <wp:positionV relativeFrom="paragraph">
            <wp:posOffset>144780</wp:posOffset>
          </wp:positionV>
          <wp:extent cx="1687830" cy="704215"/>
          <wp:effectExtent l="0" t="0" r="7620" b="635"/>
          <wp:wrapNone/>
          <wp:docPr id="755820081" name="Picture 755820081" descr="A logo with a city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20081" name="Picture 755820081" descr="A logo with a city silhouett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7830" cy="704215"/>
                  </a:xfrm>
                  <a:prstGeom prst="rect">
                    <a:avLst/>
                  </a:prstGeom>
                  <a:noFill/>
                  <a:ln>
                    <a:noFill/>
                  </a:ln>
                </pic:spPr>
              </pic:pic>
            </a:graphicData>
          </a:graphic>
        </wp:anchor>
      </w:drawing>
    </w:r>
    <w:r w:rsidR="006F2B82" w:rsidRPr="006F2B82">
      <w:rPr>
        <w:b/>
        <w:bCs/>
        <w:noProof/>
        <w:sz w:val="28"/>
        <w:szCs w:val="28"/>
        <w14:textFill>
          <w14:gradFill>
            <w14:gsLst>
              <w14:gs w14:pos="0">
                <w14:schemeClr w14:val="accent4"/>
              </w14:gs>
              <w14:gs w14:pos="50000">
                <w14:schemeClr w14:val="accent5"/>
              </w14:gs>
              <w14:gs w14:pos="100000">
                <w14:schemeClr w14:val="accent1"/>
              </w14:gs>
            </w14:gsLst>
            <w14:lin w14:ang="0" w14:scaled="0"/>
          </w14:gradFill>
        </w14:textFill>
      </w:rPr>
      <mc:AlternateContent>
        <mc:Choice Requires="wps">
          <w:drawing>
            <wp:anchor distT="0" distB="0" distL="114300" distR="114300" simplePos="0" relativeHeight="251668480" behindDoc="0" locked="0" layoutInCell="1" allowOverlap="1" wp14:anchorId="69556025" wp14:editId="5C3816B2">
              <wp:simplePos x="0" y="0"/>
              <wp:positionH relativeFrom="page">
                <wp:align>left</wp:align>
              </wp:positionH>
              <wp:positionV relativeFrom="paragraph">
                <wp:posOffset>-361950</wp:posOffset>
              </wp:positionV>
              <wp:extent cx="7559675" cy="10194554"/>
              <wp:effectExtent l="0" t="0" r="3175" b="0"/>
              <wp:wrapNone/>
              <wp:docPr id="2" name="Freeform: Shape 1">
                <a:extLst xmlns:a="http://schemas.openxmlformats.org/drawingml/2006/main">
                  <a:ext uri="{FF2B5EF4-FFF2-40B4-BE49-F238E27FC236}">
                    <a16:creationId xmlns:a16="http://schemas.microsoft.com/office/drawing/2014/main" id="{2DE0B375-9CF8-FEE5-7466-F54F61ED7CA8}"/>
                  </a:ext>
                </a:extLst>
              </wp:docPr>
              <wp:cNvGraphicFramePr/>
              <a:graphic xmlns:a="http://schemas.openxmlformats.org/drawingml/2006/main">
                <a:graphicData uri="http://schemas.microsoft.com/office/word/2010/wordprocessingShape">
                  <wps:wsp>
                    <wps:cNvSpPr/>
                    <wps:spPr>
                      <a:xfrm>
                        <a:off x="0" y="0"/>
                        <a:ext cx="7559675" cy="10194554"/>
                      </a:xfrm>
                      <a:custGeom>
                        <a:avLst/>
                        <a:gdLst>
                          <a:gd name="connsiteX0" fmla="*/ 215837 w 7559675"/>
                          <a:gd name="connsiteY0" fmla="*/ 1488141 h 10194554"/>
                          <a:gd name="connsiteX1" fmla="*/ 215837 w 7559675"/>
                          <a:gd name="connsiteY1" fmla="*/ 10152448 h 10194554"/>
                          <a:gd name="connsiteX2" fmla="*/ 0 w 7559675"/>
                          <a:gd name="connsiteY2" fmla="*/ 10194554 h 10194554"/>
                          <a:gd name="connsiteX3" fmla="*/ 0 w 7559675"/>
                          <a:gd name="connsiteY3" fmla="*/ 1603031 h 10194554"/>
                          <a:gd name="connsiteX4" fmla="*/ 0 w 7559675"/>
                          <a:gd name="connsiteY4" fmla="*/ 0 h 10194554"/>
                          <a:gd name="connsiteX5" fmla="*/ 7559675 w 7559675"/>
                          <a:gd name="connsiteY5" fmla="*/ 0 h 10194554"/>
                          <a:gd name="connsiteX6" fmla="*/ 7559675 w 7559675"/>
                          <a:gd name="connsiteY6" fmla="*/ 8719795 h 10194554"/>
                          <a:gd name="connsiteX7" fmla="*/ 7343837 w 7559675"/>
                          <a:gd name="connsiteY7" fmla="*/ 8761901 h 10194554"/>
                          <a:gd name="connsiteX8" fmla="*/ 7343837 w 7559675"/>
                          <a:gd name="connsiteY8" fmla="*/ 215906 h 10194554"/>
                          <a:gd name="connsiteX9" fmla="*/ 2605910 w 7559675"/>
                          <a:gd name="connsiteY9" fmla="*/ 215906 h 10194554"/>
                          <a:gd name="connsiteX10" fmla="*/ 3008625 w 7559675"/>
                          <a:gd name="connsiteY10" fmla="*/ 1541 h 10194554"/>
                          <a:gd name="connsiteX11" fmla="*/ 0 w 7559675"/>
                          <a:gd name="connsiteY11" fmla="*/ 1541 h 10194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559675" h="10194554">
                            <a:moveTo>
                              <a:pt x="215837" y="1488141"/>
                            </a:moveTo>
                            <a:lnTo>
                              <a:pt x="215837" y="10152448"/>
                            </a:lnTo>
                            <a:lnTo>
                              <a:pt x="0" y="10194554"/>
                            </a:lnTo>
                            <a:lnTo>
                              <a:pt x="0" y="1603031"/>
                            </a:lnTo>
                            <a:close/>
                            <a:moveTo>
                              <a:pt x="0" y="0"/>
                            </a:moveTo>
                            <a:lnTo>
                              <a:pt x="7559675" y="0"/>
                            </a:lnTo>
                            <a:lnTo>
                              <a:pt x="7559675" y="8719795"/>
                            </a:lnTo>
                            <a:lnTo>
                              <a:pt x="7343837" y="8761901"/>
                            </a:lnTo>
                            <a:lnTo>
                              <a:pt x="7343837" y="215906"/>
                            </a:lnTo>
                            <a:lnTo>
                              <a:pt x="2605910" y="215906"/>
                            </a:lnTo>
                            <a:lnTo>
                              <a:pt x="3008625" y="1541"/>
                            </a:lnTo>
                            <a:lnTo>
                              <a:pt x="0" y="1541"/>
                            </a:lnTo>
                            <a:close/>
                          </a:path>
                        </a:pathLst>
                      </a:custGeom>
                      <a:gradFill flip="none" rotWithShape="1">
                        <a:gsLst>
                          <a:gs pos="0">
                            <a:schemeClr val="accent4"/>
                          </a:gs>
                          <a:gs pos="50000">
                            <a:schemeClr val="accent5"/>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Freeform: Shape 1" style="position:absolute;margin-left:0;margin-top:-28.5pt;width:595.25pt;height:802.7pt;z-index:251668480;visibility:visible;mso-wrap-style:square;mso-wrap-distance-left:9pt;mso-wrap-distance-top:0;mso-wrap-distance-right:9pt;mso-wrap-distance-bottom:0;mso-position-horizontal:left;mso-position-horizontal-relative:page;mso-position-vertical:absolute;mso-position-vertical-relative:text;v-text-anchor:middle" coordsize="7559675,10194554" o:spid="_x0000_s1026" fillcolor="#67b9b0 [3207]" stroked="f" strokeweight="1pt" path="m215837,1488141r,8664307l,10194554,,1603031,215837,1488141xm,l7559675,r,8719795l7343837,8761901r,-8545995l2605910,215906,3008625,1541,,154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" w14:anchorId="174762A5">
              <v:fill type="gradient" color2="#17428c [3204]" colors="0 #67b9b0;.5 #219cdc;1 #17428c" angle="90" focus="100%" rotate="t"/>
              <v:stroke joinstyle="miter"/>
              <v:path arrowok="t" o:connecttype="custom" o:connectlocs="215837,1488141;215837,10152448;0,10194554;0,1603031;0,0;7559675,0;7559675,8719795;7343837,8761901;7343837,215906;2605910,215906;3008625,1541;0,1541" o:connectangles="0,0,0,0,0,0,0,0,0,0,0,0"/>
              <w10:wrap anchorx="page"/>
            </v:shape>
          </w:pict>
        </mc:Fallback>
      </mc:AlternateContent>
    </w:r>
    <w:r w:rsidR="00D135D6"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COMMUNIQUÉ</w:t>
    </w:r>
    <w:r w:rsidR="00E319CA"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ab/>
    </w:r>
  </w:p>
  <w:p w14:paraId="45258CF2" w14:textId="4151E4D1" w:rsidR="00D135D6" w:rsidRPr="008063BD" w:rsidRDefault="00D135D6" w:rsidP="00D135D6">
    <w:pPr>
      <w:pStyle w:val="Nagwek"/>
      <w:tabs>
        <w:tab w:val="clear" w:pos="4680"/>
        <w:tab w:val="clear" w:pos="9360"/>
        <w:tab w:val="left" w:pos="2025"/>
        <w:tab w:val="left" w:pos="4545"/>
      </w:tabs>
      <w:spacing w:after="120"/>
      <w:ind w:left="-567"/>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pPr>
    <w:r w:rsidRPr="008063BD">
      <w:rPr>
        <w:b/>
        <w:bCs/>
        <w:noProof/>
        <w:sz w:val="28"/>
        <w:szCs w:val="28"/>
        <w:lang w:val="fr-FR"/>
        <w14:textFill>
          <w14:gradFill>
            <w14:gsLst>
              <w14:gs w14:pos="0">
                <w14:schemeClr w14:val="accent4"/>
              </w14:gs>
              <w14:gs w14:pos="50000">
                <w14:schemeClr w14:val="accent5"/>
              </w14:gs>
              <w14:gs w14:pos="100000">
                <w14:schemeClr w14:val="accent1"/>
              </w14:gs>
            </w14:gsLst>
            <w14:lin w14:ang="0" w14:scaled="0"/>
          </w14:gradFill>
        </w14:textFill>
      </w:rPr>
      <w:t>DE PRESSE</w:t>
    </w:r>
  </w:p>
  <w:p w14:paraId="0BCBB615" w14:textId="33567E77" w:rsidR="005D111C" w:rsidRPr="008063BD" w:rsidRDefault="00D135D6" w:rsidP="00D135D6">
    <w:pPr>
      <w:pStyle w:val="Nagwek"/>
      <w:tabs>
        <w:tab w:val="clear" w:pos="4680"/>
        <w:tab w:val="clear" w:pos="9360"/>
        <w:tab w:val="left" w:pos="2025"/>
        <w:tab w:val="left" w:pos="4545"/>
      </w:tabs>
      <w:ind w:left="-567"/>
      <w:rPr>
        <w:lang w:val="fr-FR"/>
      </w:rPr>
    </w:pPr>
    <w:r w:rsidRPr="008063BD">
      <w:rPr>
        <w:color w:val="17428C" w:themeColor="accent1"/>
        <w:sz w:val="24"/>
        <w:szCs w:val="24"/>
        <w:lang w:val="fr-FR"/>
      </w:rPr>
      <w:t>XX Janvier XXXX à XXhXX</w:t>
    </w:r>
    <w:r w:rsidR="007B3273" w:rsidRPr="008063BD">
      <w:rPr>
        <w:lang w:val="fr-FR"/>
      </w:rPr>
      <w:tab/>
    </w:r>
    <w:r w:rsidR="007B3273" w:rsidRPr="008063BD">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C7D35"/>
    <w:multiLevelType w:val="multilevel"/>
    <w:tmpl w:val="67189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834053"/>
    <w:multiLevelType w:val="hybridMultilevel"/>
    <w:tmpl w:val="07DE2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2086182">
    <w:abstractNumId w:val="0"/>
  </w:num>
  <w:num w:numId="2" w16cid:durableId="2081637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985"/>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DF8"/>
    <w:rsid w:val="00002490"/>
    <w:rsid w:val="000464FA"/>
    <w:rsid w:val="00054405"/>
    <w:rsid w:val="00067728"/>
    <w:rsid w:val="000904C6"/>
    <w:rsid w:val="000B6694"/>
    <w:rsid w:val="000C5942"/>
    <w:rsid w:val="000D2286"/>
    <w:rsid w:val="000D2398"/>
    <w:rsid w:val="000D264E"/>
    <w:rsid w:val="000D275F"/>
    <w:rsid w:val="000D445D"/>
    <w:rsid w:val="000D584B"/>
    <w:rsid w:val="000E4C8E"/>
    <w:rsid w:val="00104F98"/>
    <w:rsid w:val="00111786"/>
    <w:rsid w:val="00134056"/>
    <w:rsid w:val="00141A2C"/>
    <w:rsid w:val="00152859"/>
    <w:rsid w:val="00171DDD"/>
    <w:rsid w:val="001950E8"/>
    <w:rsid w:val="001A5369"/>
    <w:rsid w:val="001B4BB0"/>
    <w:rsid w:val="001C5D16"/>
    <w:rsid w:val="001D01BB"/>
    <w:rsid w:val="001D3669"/>
    <w:rsid w:val="001F012E"/>
    <w:rsid w:val="002001CB"/>
    <w:rsid w:val="00265EBC"/>
    <w:rsid w:val="00274ACD"/>
    <w:rsid w:val="00285CDE"/>
    <w:rsid w:val="002B36C2"/>
    <w:rsid w:val="002C0B79"/>
    <w:rsid w:val="002D7BC2"/>
    <w:rsid w:val="00304B3F"/>
    <w:rsid w:val="00314572"/>
    <w:rsid w:val="0031507D"/>
    <w:rsid w:val="003224CF"/>
    <w:rsid w:val="003A3158"/>
    <w:rsid w:val="003A385B"/>
    <w:rsid w:val="003E687E"/>
    <w:rsid w:val="004310BC"/>
    <w:rsid w:val="00460ACD"/>
    <w:rsid w:val="00460CCC"/>
    <w:rsid w:val="00462B52"/>
    <w:rsid w:val="0047007D"/>
    <w:rsid w:val="004D2ACD"/>
    <w:rsid w:val="0050039D"/>
    <w:rsid w:val="0054106F"/>
    <w:rsid w:val="0054661F"/>
    <w:rsid w:val="00566FE6"/>
    <w:rsid w:val="00570217"/>
    <w:rsid w:val="00587873"/>
    <w:rsid w:val="005A7306"/>
    <w:rsid w:val="005B3361"/>
    <w:rsid w:val="005D111C"/>
    <w:rsid w:val="005E10C9"/>
    <w:rsid w:val="005E194F"/>
    <w:rsid w:val="005F2BFA"/>
    <w:rsid w:val="0062613B"/>
    <w:rsid w:val="0063152D"/>
    <w:rsid w:val="006939CA"/>
    <w:rsid w:val="00695384"/>
    <w:rsid w:val="006B5242"/>
    <w:rsid w:val="006B7A90"/>
    <w:rsid w:val="006E7908"/>
    <w:rsid w:val="006F2B82"/>
    <w:rsid w:val="007130CA"/>
    <w:rsid w:val="0073486D"/>
    <w:rsid w:val="00741AF9"/>
    <w:rsid w:val="00786E52"/>
    <w:rsid w:val="0079086A"/>
    <w:rsid w:val="007B3273"/>
    <w:rsid w:val="007D6266"/>
    <w:rsid w:val="008063BD"/>
    <w:rsid w:val="00816182"/>
    <w:rsid w:val="00831006"/>
    <w:rsid w:val="00850238"/>
    <w:rsid w:val="008630D8"/>
    <w:rsid w:val="008C000A"/>
    <w:rsid w:val="0090630E"/>
    <w:rsid w:val="0090778B"/>
    <w:rsid w:val="00926751"/>
    <w:rsid w:val="0095351F"/>
    <w:rsid w:val="009602C3"/>
    <w:rsid w:val="00964172"/>
    <w:rsid w:val="00985EB2"/>
    <w:rsid w:val="00990A67"/>
    <w:rsid w:val="0099271F"/>
    <w:rsid w:val="009F5427"/>
    <w:rsid w:val="00A0551A"/>
    <w:rsid w:val="00A15FB7"/>
    <w:rsid w:val="00A17A4D"/>
    <w:rsid w:val="00A20FAA"/>
    <w:rsid w:val="00A21195"/>
    <w:rsid w:val="00A73B43"/>
    <w:rsid w:val="00AB4AC7"/>
    <w:rsid w:val="00AC408F"/>
    <w:rsid w:val="00AD0AB9"/>
    <w:rsid w:val="00AD7EB6"/>
    <w:rsid w:val="00AE5577"/>
    <w:rsid w:val="00B045FD"/>
    <w:rsid w:val="00B272AB"/>
    <w:rsid w:val="00B31E6E"/>
    <w:rsid w:val="00B708F7"/>
    <w:rsid w:val="00BA19E2"/>
    <w:rsid w:val="00BB2362"/>
    <w:rsid w:val="00BB40E8"/>
    <w:rsid w:val="00BC42DA"/>
    <w:rsid w:val="00BC5A8E"/>
    <w:rsid w:val="00BD4AA8"/>
    <w:rsid w:val="00BF7956"/>
    <w:rsid w:val="00C2038B"/>
    <w:rsid w:val="00C423E1"/>
    <w:rsid w:val="00C42A76"/>
    <w:rsid w:val="00C463AF"/>
    <w:rsid w:val="00C52D8E"/>
    <w:rsid w:val="00C5604B"/>
    <w:rsid w:val="00C70EAD"/>
    <w:rsid w:val="00C7450C"/>
    <w:rsid w:val="00C75B08"/>
    <w:rsid w:val="00C86C52"/>
    <w:rsid w:val="00CA6E59"/>
    <w:rsid w:val="00CE24F5"/>
    <w:rsid w:val="00CE5B53"/>
    <w:rsid w:val="00CE7358"/>
    <w:rsid w:val="00D12B0B"/>
    <w:rsid w:val="00D135D6"/>
    <w:rsid w:val="00D222D6"/>
    <w:rsid w:val="00D350A4"/>
    <w:rsid w:val="00D40E26"/>
    <w:rsid w:val="00D4410F"/>
    <w:rsid w:val="00D7798A"/>
    <w:rsid w:val="00DC1B6C"/>
    <w:rsid w:val="00DE576A"/>
    <w:rsid w:val="00E105D6"/>
    <w:rsid w:val="00E15DCA"/>
    <w:rsid w:val="00E319CA"/>
    <w:rsid w:val="00E72762"/>
    <w:rsid w:val="00E75FB4"/>
    <w:rsid w:val="00E848DB"/>
    <w:rsid w:val="00E8652F"/>
    <w:rsid w:val="00E94DC2"/>
    <w:rsid w:val="00EB17E4"/>
    <w:rsid w:val="00EC1D65"/>
    <w:rsid w:val="00EE46CD"/>
    <w:rsid w:val="00EF5B0F"/>
    <w:rsid w:val="00F114DA"/>
    <w:rsid w:val="00F143E8"/>
    <w:rsid w:val="00F2616C"/>
    <w:rsid w:val="00F32176"/>
    <w:rsid w:val="00F42DF8"/>
    <w:rsid w:val="00F674BB"/>
    <w:rsid w:val="00F823C5"/>
    <w:rsid w:val="00FD1458"/>
    <w:rsid w:val="00FD3F98"/>
    <w:rsid w:val="00FF2C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BD4E0"/>
  <w15:chartTrackingRefBased/>
  <w15:docId w15:val="{603F5327-37CB-454B-9383-2E11043A2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link w:val="Nagwek1Znak"/>
    <w:uiPriority w:val="9"/>
    <w:qFormat/>
    <w:rsid w:val="00C423E1"/>
    <w:pPr>
      <w:keepNext/>
      <w:keepLines/>
      <w:spacing w:before="240" w:after="0"/>
      <w:outlineLvl w:val="0"/>
    </w:pPr>
    <w:rPr>
      <w:rFonts w:asciiTheme="majorHAnsi" w:eastAsiaTheme="majorEastAsia" w:hAnsiTheme="majorHAnsi" w:cstheme="majorBidi"/>
      <w:b/>
      <w:color w:val="17428C" w:themeColor="accent1"/>
      <w:sz w:val="32"/>
      <w:szCs w:val="32"/>
    </w:rPr>
  </w:style>
  <w:style w:type="paragraph" w:styleId="Nagwek2">
    <w:name w:val="heading 2"/>
    <w:aliases w:val="Body text"/>
    <w:basedOn w:val="Normalny"/>
    <w:next w:val="Normalny"/>
    <w:link w:val="Nagwek2Znak"/>
    <w:uiPriority w:val="9"/>
    <w:unhideWhenUsed/>
    <w:qFormat/>
    <w:rsid w:val="008063BD"/>
    <w:pPr>
      <w:keepNext/>
      <w:keepLines/>
      <w:spacing w:after="0" w:line="280" w:lineRule="exact"/>
      <w:jc w:val="both"/>
      <w:outlineLvl w:val="1"/>
    </w:pPr>
    <w:rPr>
      <w:rFonts w:asciiTheme="majorHAnsi" w:eastAsiaTheme="majorEastAsia" w:hAnsiTheme="majorHAnsi" w:cstheme="majorBidi"/>
      <w:color w:val="17428C" w:themeColor="accent1"/>
      <w:szCs w:val="26"/>
      <w:lang w:val="fr-FR"/>
    </w:rPr>
  </w:style>
  <w:style w:type="paragraph" w:styleId="Nagwek3">
    <w:name w:val="heading 3"/>
    <w:basedOn w:val="Normalny"/>
    <w:next w:val="Normalny"/>
    <w:link w:val="Nagwek3Znak"/>
    <w:uiPriority w:val="9"/>
    <w:unhideWhenUsed/>
    <w:rsid w:val="000D2398"/>
    <w:pPr>
      <w:keepNext/>
      <w:keepLines/>
      <w:spacing w:before="40" w:after="0"/>
      <w:outlineLvl w:val="2"/>
    </w:pPr>
    <w:rPr>
      <w:rFonts w:asciiTheme="majorHAnsi" w:eastAsiaTheme="majorEastAsia" w:hAnsiTheme="majorHAnsi" w:cstheme="majorBidi"/>
      <w:color w:val="0B2045"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23E1"/>
    <w:rPr>
      <w:rFonts w:asciiTheme="majorHAnsi" w:eastAsiaTheme="majorEastAsia" w:hAnsiTheme="majorHAnsi" w:cstheme="majorBidi"/>
      <w:b/>
      <w:color w:val="17428C" w:themeColor="accent1"/>
      <w:sz w:val="32"/>
      <w:szCs w:val="32"/>
    </w:rPr>
  </w:style>
  <w:style w:type="character" w:customStyle="1" w:styleId="Nagwek2Znak">
    <w:name w:val="Nagłówek 2 Znak"/>
    <w:aliases w:val="Body text Znak"/>
    <w:basedOn w:val="Domylnaczcionkaakapitu"/>
    <w:link w:val="Nagwek2"/>
    <w:uiPriority w:val="9"/>
    <w:rsid w:val="008063BD"/>
    <w:rPr>
      <w:rFonts w:asciiTheme="majorHAnsi" w:eastAsiaTheme="majorEastAsia" w:hAnsiTheme="majorHAnsi" w:cstheme="majorBidi"/>
      <w:color w:val="17428C" w:themeColor="accent1"/>
      <w:szCs w:val="26"/>
      <w:lang w:val="fr-FR"/>
    </w:rPr>
  </w:style>
  <w:style w:type="paragraph" w:styleId="Nagwek">
    <w:name w:val="header"/>
    <w:basedOn w:val="Normalny"/>
    <w:link w:val="NagwekZnak"/>
    <w:uiPriority w:val="99"/>
    <w:unhideWhenUsed/>
    <w:rsid w:val="000D2398"/>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0D2398"/>
  </w:style>
  <w:style w:type="paragraph" w:styleId="Stopka">
    <w:name w:val="footer"/>
    <w:basedOn w:val="Normalny"/>
    <w:link w:val="StopkaZnak"/>
    <w:uiPriority w:val="99"/>
    <w:unhideWhenUsed/>
    <w:rsid w:val="000D2398"/>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0D2398"/>
  </w:style>
  <w:style w:type="character" w:customStyle="1" w:styleId="Nagwek3Znak">
    <w:name w:val="Nagłówek 3 Znak"/>
    <w:basedOn w:val="Domylnaczcionkaakapitu"/>
    <w:link w:val="Nagwek3"/>
    <w:uiPriority w:val="9"/>
    <w:rsid w:val="000D2398"/>
    <w:rPr>
      <w:rFonts w:asciiTheme="majorHAnsi" w:eastAsiaTheme="majorEastAsia" w:hAnsiTheme="majorHAnsi" w:cstheme="majorBidi"/>
      <w:color w:val="0B2045" w:themeColor="accent1" w:themeShade="7F"/>
      <w:sz w:val="24"/>
      <w:szCs w:val="24"/>
    </w:rPr>
  </w:style>
  <w:style w:type="paragraph" w:customStyle="1" w:styleId="BasicParagraph">
    <w:name w:val="[Basic Paragraph]"/>
    <w:basedOn w:val="Normalny"/>
    <w:uiPriority w:val="99"/>
    <w:rsid w:val="00BB40E8"/>
    <w:pPr>
      <w:autoSpaceDE w:val="0"/>
      <w:autoSpaceDN w:val="0"/>
      <w:adjustRightInd w:val="0"/>
      <w:spacing w:after="0" w:line="288" w:lineRule="auto"/>
      <w:textAlignment w:val="center"/>
    </w:pPr>
    <w:rPr>
      <w:rFonts w:ascii="Minion Pro" w:hAnsi="Minion Pro" w:cs="Minion Pro"/>
      <w:color w:val="000000"/>
      <w:sz w:val="24"/>
      <w:szCs w:val="24"/>
      <w:lang w:val="fr-FR"/>
    </w:rPr>
  </w:style>
  <w:style w:type="character" w:styleId="Numerwiersza">
    <w:name w:val="line number"/>
    <w:basedOn w:val="Domylnaczcionkaakapitu"/>
    <w:uiPriority w:val="99"/>
    <w:semiHidden/>
    <w:unhideWhenUsed/>
    <w:rsid w:val="00E319CA"/>
  </w:style>
  <w:style w:type="character" w:styleId="Hipercze">
    <w:name w:val="Hyperlink"/>
    <w:basedOn w:val="Domylnaczcionkaakapitu"/>
    <w:uiPriority w:val="99"/>
    <w:unhideWhenUsed/>
    <w:rsid w:val="0047007D"/>
    <w:rPr>
      <w:color w:val="CE142E" w:themeColor="hyperlink"/>
      <w:u w:val="single"/>
    </w:rPr>
  </w:style>
  <w:style w:type="character" w:styleId="Nierozpoznanawzmianka">
    <w:name w:val="Unresolved Mention"/>
    <w:basedOn w:val="Domylnaczcionkaakapitu"/>
    <w:uiPriority w:val="99"/>
    <w:semiHidden/>
    <w:unhideWhenUsed/>
    <w:rsid w:val="00D222D6"/>
    <w:rPr>
      <w:color w:val="605E5C"/>
      <w:shd w:val="clear" w:color="auto" w:fill="E1DFDD"/>
    </w:rPr>
  </w:style>
  <w:style w:type="character" w:styleId="Pogrubienie">
    <w:name w:val="Strong"/>
    <w:uiPriority w:val="22"/>
    <w:qFormat/>
    <w:rsid w:val="00EC1D65"/>
    <w:rPr>
      <w:b/>
    </w:rPr>
  </w:style>
  <w:style w:type="paragraph" w:styleId="NormalnyWeb">
    <w:name w:val="Normal (Web)"/>
    <w:basedOn w:val="Normalny"/>
    <w:uiPriority w:val="99"/>
    <w:rsid w:val="00EC1D65"/>
    <w:pPr>
      <w:widowControl w:val="0"/>
      <w:suppressAutoHyphens/>
      <w:spacing w:before="120" w:after="120" w:line="360" w:lineRule="auto"/>
      <w:jc w:val="both"/>
    </w:pPr>
    <w:rPr>
      <w:rFonts w:ascii="Times New Roman" w:eastAsia="HG Mincho Light J" w:hAnsi="Times New Roman" w:cs="Times New Roman"/>
      <w:color w:val="000000"/>
      <w:sz w:val="24"/>
      <w:szCs w:val="24"/>
      <w:lang w:eastAsia="ar-SA"/>
    </w:rPr>
  </w:style>
  <w:style w:type="paragraph" w:styleId="Poprawka">
    <w:name w:val="Revision"/>
    <w:hidden/>
    <w:uiPriority w:val="99"/>
    <w:semiHidden/>
    <w:rsid w:val="000904C6"/>
    <w:pPr>
      <w:spacing w:after="0" w:line="240" w:lineRule="auto"/>
    </w:pPr>
  </w:style>
  <w:style w:type="character" w:styleId="Odwoaniedokomentarza">
    <w:name w:val="annotation reference"/>
    <w:basedOn w:val="Domylnaczcionkaakapitu"/>
    <w:uiPriority w:val="99"/>
    <w:semiHidden/>
    <w:unhideWhenUsed/>
    <w:rsid w:val="000904C6"/>
    <w:rPr>
      <w:sz w:val="16"/>
      <w:szCs w:val="16"/>
    </w:rPr>
  </w:style>
  <w:style w:type="paragraph" w:styleId="Tekstkomentarza">
    <w:name w:val="annotation text"/>
    <w:basedOn w:val="Normalny"/>
    <w:link w:val="TekstkomentarzaZnak"/>
    <w:uiPriority w:val="99"/>
    <w:unhideWhenUsed/>
    <w:rsid w:val="000904C6"/>
    <w:pPr>
      <w:spacing w:line="240" w:lineRule="auto"/>
    </w:pPr>
    <w:rPr>
      <w:sz w:val="20"/>
      <w:szCs w:val="20"/>
    </w:rPr>
  </w:style>
  <w:style w:type="character" w:customStyle="1" w:styleId="TekstkomentarzaZnak">
    <w:name w:val="Tekst komentarza Znak"/>
    <w:basedOn w:val="Domylnaczcionkaakapitu"/>
    <w:link w:val="Tekstkomentarza"/>
    <w:uiPriority w:val="99"/>
    <w:rsid w:val="000904C6"/>
    <w:rPr>
      <w:sz w:val="20"/>
      <w:szCs w:val="20"/>
    </w:rPr>
  </w:style>
  <w:style w:type="paragraph" w:styleId="Tematkomentarza">
    <w:name w:val="annotation subject"/>
    <w:basedOn w:val="Tekstkomentarza"/>
    <w:next w:val="Tekstkomentarza"/>
    <w:link w:val="TematkomentarzaZnak"/>
    <w:uiPriority w:val="99"/>
    <w:semiHidden/>
    <w:unhideWhenUsed/>
    <w:rsid w:val="000904C6"/>
    <w:rPr>
      <w:b/>
      <w:bCs/>
    </w:rPr>
  </w:style>
  <w:style w:type="character" w:customStyle="1" w:styleId="TematkomentarzaZnak">
    <w:name w:val="Temat komentarza Znak"/>
    <w:basedOn w:val="TekstkomentarzaZnak"/>
    <w:link w:val="Tematkomentarza"/>
    <w:uiPriority w:val="99"/>
    <w:semiHidden/>
    <w:rsid w:val="000904C6"/>
    <w:rPr>
      <w:b/>
      <w:bCs/>
      <w:sz w:val="20"/>
      <w:szCs w:val="20"/>
    </w:rPr>
  </w:style>
  <w:style w:type="paragraph" w:styleId="Akapitzlist">
    <w:name w:val="List Paragraph"/>
    <w:basedOn w:val="Normalny"/>
    <w:uiPriority w:val="34"/>
    <w:rsid w:val="00E727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61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int-gobain.pl"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monika.mazurek@saint-gobain.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l.ciesielski@saint-gobai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GB to Word">
      <a:dk1>
        <a:sysClr val="windowText" lastClr="000000"/>
      </a:dk1>
      <a:lt1>
        <a:sysClr val="window" lastClr="FFFFFF"/>
      </a:lt1>
      <a:dk2>
        <a:srgbClr val="3F3F3F"/>
      </a:dk2>
      <a:lt2>
        <a:srgbClr val="FFFFFF"/>
      </a:lt2>
      <a:accent1>
        <a:srgbClr val="17428C"/>
      </a:accent1>
      <a:accent2>
        <a:srgbClr val="CE142E"/>
      </a:accent2>
      <a:accent3>
        <a:srgbClr val="E5531A"/>
      </a:accent3>
      <a:accent4>
        <a:srgbClr val="67B9B0"/>
      </a:accent4>
      <a:accent5>
        <a:srgbClr val="219CDC"/>
      </a:accent5>
      <a:accent6>
        <a:srgbClr val="17428C"/>
      </a:accent6>
      <a:hlink>
        <a:srgbClr val="CE142E"/>
      </a:hlink>
      <a:folHlink>
        <a:srgbClr val="E5531A"/>
      </a:folHlink>
    </a:clrScheme>
    <a:fontScheme name="SGB to word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CDB73DB3F46A4EB699A50866D51C7A" ma:contentTypeVersion="10" ma:contentTypeDescription="Utwórz nowy dokument." ma:contentTypeScope="" ma:versionID="830a37ec3d0e817c577f72310356375c">
  <xsd:schema xmlns:xsd="http://www.w3.org/2001/XMLSchema" xmlns:xs="http://www.w3.org/2001/XMLSchema" xmlns:p="http://schemas.microsoft.com/office/2006/metadata/properties" xmlns:ns2="f7f9057e-7b35-4e8c-b6e9-f0ae99fecf78" xmlns:ns3="1e876612-20a0-4a84-bef3-a221432ae682" targetNamespace="http://schemas.microsoft.com/office/2006/metadata/properties" ma:root="true" ma:fieldsID="f90354498334539d878fe874eea44a5d" ns2:_="" ns3:_="">
    <xsd:import namespace="f7f9057e-7b35-4e8c-b6e9-f0ae99fecf78"/>
    <xsd:import namespace="1e876612-20a0-4a84-bef3-a221432ae68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9057e-7b35-4e8c-b6e9-f0ae99fec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i obrazów" ma:readOnly="false" ma:fieldId="{5cf76f15-5ced-4ddc-b409-7134ff3c332f}" ma:taxonomyMulti="true" ma:sspId="8a8e937e-a000-4b8d-b995-2f10e0fc07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876612-20a0-4a84-bef3-a221432ae68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64e8c27-52ed-4f46-bfbb-c0cad9d4aadf}" ma:internalName="TaxCatchAll" ma:showField="CatchAllData" ma:web="1e876612-20a0-4a84-bef3-a221432a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f9057e-7b35-4e8c-b6e9-f0ae99fecf78">
      <Terms xmlns="http://schemas.microsoft.com/office/infopath/2007/PartnerControls"/>
    </lcf76f155ced4ddcb4097134ff3c332f>
    <TaxCatchAll xmlns="1e876612-20a0-4a84-bef3-a221432ae682" xsi:nil="true"/>
  </documentManagement>
</p:properties>
</file>

<file path=customXml/itemProps1.xml><?xml version="1.0" encoding="utf-8"?>
<ds:datastoreItem xmlns:ds="http://schemas.openxmlformats.org/officeDocument/2006/customXml" ds:itemID="{110CBFE5-15A6-4465-B7BD-C5FC4261DBB0}">
  <ds:schemaRefs>
    <ds:schemaRef ds:uri="http://schemas.openxmlformats.org/officeDocument/2006/bibliography"/>
  </ds:schemaRefs>
</ds:datastoreItem>
</file>

<file path=customXml/itemProps2.xml><?xml version="1.0" encoding="utf-8"?>
<ds:datastoreItem xmlns:ds="http://schemas.openxmlformats.org/officeDocument/2006/customXml" ds:itemID="{076604C2-A2BE-401E-8BF7-1C1B748F54AD}">
  <ds:schemaRefs>
    <ds:schemaRef ds:uri="http://schemas.microsoft.com/sharepoint/v3/contenttype/forms"/>
  </ds:schemaRefs>
</ds:datastoreItem>
</file>

<file path=customXml/itemProps3.xml><?xml version="1.0" encoding="utf-8"?>
<ds:datastoreItem xmlns:ds="http://schemas.openxmlformats.org/officeDocument/2006/customXml" ds:itemID="{6C4A08A9-C8BC-4169-B8AF-8AEE21196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9057e-7b35-4e8c-b6e9-f0ae99fecf78"/>
    <ds:schemaRef ds:uri="1e876612-20a0-4a84-bef3-a221432ae6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AAF291-C320-4D55-A0C0-D879C6ABC5CB}">
  <ds:schemaRefs>
    <ds:schemaRef ds:uri="http://schemas.microsoft.com/office/2006/metadata/properties"/>
    <ds:schemaRef ds:uri="http://schemas.microsoft.com/office/infopath/2007/PartnerControls"/>
    <ds:schemaRef ds:uri="f7f9057e-7b35-4e8c-b6e9-f0ae99fecf78"/>
    <ds:schemaRef ds:uri="1e876612-20a0-4a84-bef3-a221432ae682"/>
  </ds:schemaRefs>
</ds:datastoreItem>
</file>

<file path=docMetadata/LabelInfo.xml><?xml version="1.0" encoding="utf-8"?>
<clbl:labelList xmlns:clbl="http://schemas.microsoft.com/office/2020/mipLabelMetadata">
  <clbl:label id="{ced06422-c515-4a4e-a1f2-e6a0c0200eae}" enabled="1" method="Standard" siteId="{e339bd4b-2e3b-4035-a452-2112d502f2ff}" removed="0"/>
</clbl:labelList>
</file>

<file path=docProps/app.xml><?xml version="1.0" encoding="utf-8"?>
<Properties xmlns="http://schemas.openxmlformats.org/officeDocument/2006/extended-properties" xmlns:vt="http://schemas.openxmlformats.org/officeDocument/2006/docPropsVTypes">
  <Template>Normal</Template>
  <TotalTime>31</TotalTime>
  <Pages>4</Pages>
  <Words>993</Words>
  <Characters>5963</Characters>
  <Application>Microsoft Office Word</Application>
  <DocSecurity>0</DocSecurity>
  <Lines>49</Lines>
  <Paragraphs>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Pokeslide</dc:creator>
  <cp:keywords/>
  <dc:description/>
  <cp:lastModifiedBy>Tower Group 2</cp:lastModifiedBy>
  <cp:revision>3</cp:revision>
  <cp:lastPrinted>2023-08-04T05:04:00Z</cp:lastPrinted>
  <dcterms:created xsi:type="dcterms:W3CDTF">2026-05-27T15:13:00Z</dcterms:created>
  <dcterms:modified xsi:type="dcterms:W3CDTF">2026-05-28T08:08:00Z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2023-08-03T12:58:00Z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e2aaf951-d1f1-4a61-9ac5-f5e5c1df91a8</vt:lpwstr>
  </property>
  <property fmtid="{D5CDD505-2E9C-101B-9397-08002B2CF9AE}" pid="8" name="MSIP_Label_ced06422-c515-4a4e-a1f2-e6a0c0200eae_ContentBits">
    <vt:lpwstr>0</vt:lpwstr>
  </property>
  <property fmtid="{D5CDD505-2E9C-101B-9397-08002B2CF9AE}" pid="9" name="ContentTypeId">
    <vt:lpwstr>0x01010018CDB73DB3F46A4EB699A50866D51C7A</vt:lpwstr>
  </property>
</Properties>
</file>