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/>
      </w:pPr>
      <w:bookmarkStart w:colFirst="0" w:colLast="0" w:name="_k64v46o3m5zs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Jak biznes, finanse i technologia wspólnie zmieniają rynek żywności roślinnej? New Food Forum 2026 o przyszłości systemu żywnościowego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jc w:val="both"/>
        <w:rPr>
          <w:sz w:val="22"/>
          <w:szCs w:val="22"/>
        </w:rPr>
      </w:pPr>
      <w:bookmarkStart w:colFirst="0" w:colLast="0" w:name="_7tv9ma9hhx02" w:id="1"/>
      <w:bookmarkEnd w:id="1"/>
      <w:r w:rsidDel="00000000" w:rsidR="00000000" w:rsidRPr="00000000">
        <w:rPr>
          <w:sz w:val="22"/>
          <w:szCs w:val="22"/>
          <w:rtl w:val="0"/>
        </w:rPr>
        <w:t xml:space="preserve">12 maja w Centrum Nauki Kopernik odbyło się New Food Forum 2026 organizowane przez Fundację ProVeg – jedno z najważniejszych wydarzeń B2B poświęconych przyszłości rynku żywności roślinnej i transformacji systemu żywnościowego w Polsce.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Tegoroczna edycja zgromadziła przedstawicieli biznesu, handlu, sektora finansowego, administracji publicznej, startupów foodtech, organizacji międzynarodowych oraz ekspertów rynku żywności, którzy wspólnie dyskutowali o kierunku zmian w branży spożywczej. Na scenie New Food Forum 2026 wystąpili z kolei eksperci reprezentujący różne obszary rynku – od instytucji finansowych i firm badawczych, po sektor foodtech, produkcję i handel.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W centrum debat podczas New Food Forum 2026 znalazły się kwestie bezpieczeństwa żywnościowego, transformacji białkowej, dekarbonizacji łańcuchów dostaw, innowacji produktowych oraz rosnącego znaczenia danych konsumenckich i regulacji w podejmowaniu decyzji biznesowych. 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80" w:lineRule="auto"/>
        <w:jc w:val="both"/>
        <w:rPr>
          <w:b w:val="1"/>
          <w:bCs w:val="1"/>
          <w:sz w:val="30"/>
          <w:szCs w:val="30"/>
        </w:rPr>
      </w:pPr>
      <w:bookmarkStart w:colFirst="0" w:colLast="0" w:name="_tigkec552i72" w:id="2"/>
      <w:bookmarkEnd w:id="2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Forum, które przekłada rozmowy na działania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Tegoroczna edycja New Food Forum pokazała, że kluczowym elementem transformacji rynku żywności staje się dziś współpraca międzysektorowa i przekładanie dyskusji na konkretne i mierzalne działania.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– Transformacja systemu żywnościowego nie wydarzy się wyłącznie w jednym sektorze i nie będzie efektem pojedynczej innowacji. Potrzebna jest współpraca między producentami, handlem, inwestorami, administracją i nauką. Tegoroczne New Food Forum pokazało, że rynek coraz lepiej rozumie tę zależność i jest gotowy rozmawiać już nie tylko o kierunku zmian, ale przede wszystkim o konkretnych rozwiązaniach, partnerstwach i wdrożeniach. Szczególnie cenne było dla nas to, że uczestnicy podkreślali praktyczny wymiar wydarzenia – od danych i analiz rynkowych po możliwość nawiązania relacji, które mogą przełożyć się na konkretne działania – mówi</w:t>
      </w:r>
      <w:r w:rsidDel="00000000" w:rsidR="00000000" w:rsidRPr="00000000">
        <w:rPr>
          <w:b w:val="1"/>
          <w:bCs w:val="1"/>
          <w:rtl w:val="0"/>
        </w:rPr>
        <w:t xml:space="preserve"> Katarzyna Płaza, Project Manager i koordynatorka New Food Forum z Fundacji ProVeg.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Różnorodne grono uczestników zapewniło wielowymiarową dyskusję, łączącą perspektywę biznesu, finansów, technologii i sektora publicznego, co pozwoliło na szersze spojrzenie na wyzwania stojące przed systemem żywnościowym.</w:t>
      </w:r>
    </w:p>
    <w:p w:rsidR="00000000" w:rsidDel="00000000" w:rsidP="00000000" w:rsidRDefault="00000000" w:rsidRPr="00000000" w14:paraId="0000000A">
      <w:pPr>
        <w:pStyle w:val="Heading1"/>
        <w:jc w:val="both"/>
        <w:rPr>
          <w:b w:val="1"/>
          <w:bCs w:val="1"/>
          <w:sz w:val="30"/>
          <w:szCs w:val="30"/>
        </w:rPr>
      </w:pPr>
      <w:bookmarkStart w:colFirst="0" w:colLast="0" w:name="_a10naan7qhp9" w:id="3"/>
      <w:bookmarkEnd w:id="3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Jak zmienia się sektor spożywczy?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Uczestnicy konferencji podkreślali, że segment produktów roślinnych znajduje się nadal na etapie budowania dojrzałości rynkowej, m.in. w obszarze skalowania, akceptacji konsumenckiej i konkurencyjności kosztowej. Postępujące zmiany klimatyczne, zmieniające się preferencje konsumentów, potrzeba zwiększania odporności systemów żywnościowych oraz nowe regulacje sprawiają, że firmy stają przed koniecznością redefinicji swoich strategii rozwoju.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– Obecny spadek „hype’u” w branży produktów roślinnych to nie jest kryzys. Sprzedaż pozostaje stabilna, a niektóre kategorie notują wzrosty. Aby jednak wprowadzić nasz sektor na kolejny poziom, musimy przejść od entuzjazmu do działań systemowych. Potrzebujemy wspierającej legislacji i mocniejszego zaangażowania sieci handlowych oraz sektora foodservice. New Food Forum coraz wyraźniej pełni rolę miejsca, gdzie spotykają się różne ogniwa rynku i wspólnie definiują, jak będzie wyglądał przyszły system żywnościowy – od produkcji i handlu po regulacje, inwestycje i innowacje technologiczne – podkreśla </w:t>
      </w:r>
      <w:r w:rsidDel="00000000" w:rsidR="00000000" w:rsidRPr="00000000">
        <w:rPr>
          <w:b w:val="1"/>
          <w:bCs w:val="1"/>
          <w:rtl w:val="0"/>
        </w:rPr>
        <w:t xml:space="preserve">Marcin Tischner, Senior Strategic Manager w Fundacji ProVeg.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Podczas czterech scen tematycznych – Inspire, Trends, Growth oraz Advocacy – eksperci i praktycy rynku analizowali najważniejsze wyzwania stojące przed branżą spożywczą oraz prezentowali rozwiązania wdrażane już dziś przez firmy i instytucje w Polsce i Europie.</w:t>
      </w:r>
    </w:p>
    <w:p w:rsidR="00000000" w:rsidDel="00000000" w:rsidP="00000000" w:rsidRDefault="00000000" w:rsidRPr="00000000" w14:paraId="0000000E">
      <w:pPr>
        <w:pStyle w:val="Heading1"/>
        <w:jc w:val="both"/>
        <w:rPr>
          <w:b w:val="1"/>
          <w:bCs w:val="1"/>
          <w:sz w:val="30"/>
          <w:szCs w:val="30"/>
        </w:rPr>
      </w:pPr>
      <w:bookmarkStart w:colFirst="0" w:colLast="0" w:name="_4ggtiwxoay9e" w:id="4"/>
      <w:bookmarkEnd w:id="4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Praktyczny wymiar transformacji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Integralną częścią New Food Forum były warsztaty i case studies, które pozwoliły uczestnikom przejść od wymiany doświadczeń do rozmów o realnych wdrożeniach i kierunkach rozwoju rynku. Ważnym elementem programu były warsztaty poświęcone wypracowaniu rekomendacji dla bardziej zrównoważonego systemu żywnościowego w Polsce. Spotkanie przedstawicieli różnych sektorów potwierdziło rosnące znaczenie współpracy w transformacji rynku żywności.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New Food Forum po raz kolejny stało się miejscem, w którym spotkały się różne perspektywy rynku żywności – od biznesu i inwestorów, przez handel i sektor publiczny, po startupy oraz ekspertów branżowych. Organizatorzy podkreślają, że właśnie takie międzysektorowe rozmowy będą w najbliższych latach kluczowe dla dalszego rozwoju innowacji i transformacji systemu żywnościowego w Polsce i Europie.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Partnerzy New Food Forum 2026: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Partnerzy Główni: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BNP Paribas</w:t>
        </w:r>
      </w:hyperlink>
      <w:r w:rsidDel="00000000" w:rsidR="00000000" w:rsidRPr="00000000">
        <w:rPr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Ambasada Królestwa Niderlandów w Polsce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Partnerzy Merytoryczni: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NielsenIQ</w:t>
        </w:r>
      </w:hyperlink>
      <w:r w:rsidDel="00000000" w:rsidR="00000000" w:rsidRPr="00000000">
        <w:rPr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Mintel</w:t>
        </w:r>
      </w:hyperlink>
      <w:r w:rsidDel="00000000" w:rsidR="00000000" w:rsidRPr="00000000">
        <w:rPr>
          <w:rtl w:val="0"/>
        </w:rPr>
        <w:t xml:space="preserve">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Polski Związek Producentów Żywności Roślinnej</w:t>
        </w:r>
      </w:hyperlink>
      <w:r w:rsidDel="00000000" w:rsidR="00000000" w:rsidRPr="00000000">
        <w:rPr>
          <w:rtl w:val="0"/>
        </w:rPr>
        <w:t xml:space="preserve">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Zielony Wrocław</w:t>
        </w:r>
      </w:hyperlink>
      <w:r w:rsidDel="00000000" w:rsidR="00000000" w:rsidRPr="00000000">
        <w:rPr>
          <w:rtl w:val="0"/>
        </w:rPr>
        <w:t xml:space="preserve">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Miasto Wrocław</w:t>
        </w:r>
      </w:hyperlink>
      <w:r w:rsidDel="00000000" w:rsidR="00000000" w:rsidRPr="00000000">
        <w:rPr>
          <w:rtl w:val="0"/>
        </w:rPr>
        <w:t xml:space="preserve">,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Projekt FoodCIRCUS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Partnerzy Wspierający: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Advalue Engaged</w:t>
        </w:r>
      </w:hyperlink>
      <w:r w:rsidDel="00000000" w:rsidR="00000000" w:rsidRPr="00000000">
        <w:rPr>
          <w:rtl w:val="0"/>
        </w:rPr>
        <w:t xml:space="preserve">,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BENEO</w:t>
        </w:r>
      </w:hyperlink>
      <w:r w:rsidDel="00000000" w:rsidR="00000000" w:rsidRPr="00000000">
        <w:rPr>
          <w:rtl w:val="0"/>
        </w:rPr>
        <w:t xml:space="preserve">,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Azelis</w:t>
        </w:r>
      </w:hyperlink>
      <w:r w:rsidDel="00000000" w:rsidR="00000000" w:rsidRPr="00000000">
        <w:rPr>
          <w:rtl w:val="0"/>
        </w:rPr>
        <w:t xml:space="preserve">,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Meatless</w:t>
        </w:r>
      </w:hyperlink>
      <w:r w:rsidDel="00000000" w:rsidR="00000000" w:rsidRPr="00000000">
        <w:rPr>
          <w:rtl w:val="0"/>
        </w:rPr>
        <w:t xml:space="preserve">,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V-Label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Patronat Medialny: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Wydarzenie zostały objęte patronatem medialnym: </w:t>
      </w:r>
    </w:p>
    <w:p w:rsidR="00000000" w:rsidDel="00000000" w:rsidP="00000000" w:rsidRDefault="00000000" w:rsidRPr="00000000" w14:paraId="00000019">
      <w:pPr>
        <w:jc w:val="both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Nasze Miasto</w:t>
        </w:r>
      </w:hyperlink>
      <w:r w:rsidDel="00000000" w:rsidR="00000000" w:rsidRPr="00000000">
        <w:rPr>
          <w:rtl w:val="0"/>
        </w:rPr>
        <w:t xml:space="preserve">,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Newseria</w:t>
        </w:r>
      </w:hyperlink>
      <w:r w:rsidDel="00000000" w:rsidR="00000000" w:rsidRPr="00000000">
        <w:rPr>
          <w:rtl w:val="0"/>
        </w:rPr>
        <w:t xml:space="preserve">,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FoodFakty</w:t>
        </w:r>
      </w:hyperlink>
      <w:r w:rsidDel="00000000" w:rsidR="00000000" w:rsidRPr="00000000">
        <w:rPr>
          <w:rtl w:val="0"/>
        </w:rPr>
        <w:t xml:space="preserve">,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Magazyn Vege</w:t>
        </w:r>
      </w:hyperlink>
      <w:r w:rsidDel="00000000" w:rsidR="00000000" w:rsidRPr="00000000">
        <w:rPr>
          <w:rtl w:val="0"/>
        </w:rPr>
        <w:t xml:space="preserve">,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HorecaNet</w:t>
        </w:r>
      </w:hyperlink>
      <w:r w:rsidDel="00000000" w:rsidR="00000000" w:rsidRPr="00000000">
        <w:rPr>
          <w:rtl w:val="0"/>
        </w:rPr>
        <w:t xml:space="preserve">,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WorldFood</w:t>
        </w:r>
      </w:hyperlink>
      <w:r w:rsidDel="00000000" w:rsidR="00000000" w:rsidRPr="00000000">
        <w:rPr>
          <w:rtl w:val="0"/>
        </w:rPr>
        <w:t xml:space="preserve">, 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Nowości Gastronomiczne</w:t>
        </w:r>
      </w:hyperlink>
      <w:r w:rsidDel="00000000" w:rsidR="00000000" w:rsidRPr="00000000">
        <w:rPr>
          <w:rtl w:val="0"/>
        </w:rPr>
        <w:t xml:space="preserve">,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Dietetycy.org.pl</w:t>
        </w:r>
      </w:hyperlink>
      <w:r w:rsidDel="00000000" w:rsidR="00000000" w:rsidRPr="00000000">
        <w:rPr>
          <w:rtl w:val="0"/>
        </w:rPr>
        <w:t xml:space="preserve">,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Restauracja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Targosz, Rzeczniczka Prasowa Fundacji ProVeg </w:t>
        <w:br w:type="textWrapping"/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, +48 573 679 205 </w:t>
        <w:br w:type="textWrapping"/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Food Forum </w:t>
      </w:r>
    </w:p>
    <w:p w:rsidR="00000000" w:rsidDel="00000000" w:rsidP="00000000" w:rsidRDefault="00000000" w:rsidRPr="00000000" w14:paraId="0000001D">
      <w:pPr>
        <w:jc w:val="both"/>
        <w:rPr/>
      </w:pPr>
      <w:hyperlink r:id="rId2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New Food Forum</w:t>
        </w:r>
      </w:hyperlink>
      <w:r w:rsidDel="00000000" w:rsidR="00000000" w:rsidRPr="00000000">
        <w:rPr>
          <w:rtl w:val="0"/>
        </w:rPr>
        <w:t xml:space="preserve"> to wydarzenie, które ma na celu inspirować dalszy rozwój innowacyjnych technologii spożywczych poprzez zgromadzenie kluczowych interesariuszy.</w:t>
        <w:br w:type="textWrapping"/>
        <w:br w:type="textWrapping"/>
        <w:t xml:space="preserve">Szczegółowe informacje o wydarzeniu: </w:t>
      </w: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https://newfoodforum.pl/</w:t>
        </w:r>
      </w:hyperlink>
      <w:r w:rsidDel="00000000" w:rsidR="00000000" w:rsidRPr="00000000">
        <w:rPr>
          <w:rtl w:val="0"/>
        </w:rPr>
        <w:t xml:space="preserve">. </w:t>
        <w:br w:type="textWrapping"/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  <w:t xml:space="preserve">ProVeg International jest organizacją zajmującą się edukacją żywieniową i działającą na rzecz przyspieszenia transformacji globalnego systemu żywności poprzez </w:t>
      </w:r>
      <w:r w:rsidDel="00000000" w:rsidR="00000000" w:rsidRPr="00000000">
        <w:rPr>
          <w:rtl w:val="0"/>
        </w:rPr>
        <w:t xml:space="preserve">zwiększanie</w:t>
      </w:r>
      <w:r w:rsidDel="00000000" w:rsidR="00000000" w:rsidRPr="00000000">
        <w:rPr>
          <w:rtl w:val="0"/>
        </w:rPr>
        <w:t xml:space="preserve"> dostępności i atrakcyjności żywności bogatej w składniki roślinne oraz alternatywnych źródeł białka.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ProVeg współpracuje ze wszystkimi kluczowymi interesariuszami, aby tworzyć system żywnościowy, w którym każdy wybiera pyszne i zdrowe jedzenie, dobre dla ludzi, zwierząt i naszej planety.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31" w:type="default"/>
      <w:headerReference r:id="rId32" w:type="first"/>
      <w:footerReference r:id="rId33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nfo.newseria.pl/" TargetMode="External"/><Relationship Id="rId22" Type="http://schemas.openxmlformats.org/officeDocument/2006/relationships/hyperlink" Target="https://vege.com.pl/" TargetMode="External"/><Relationship Id="rId21" Type="http://schemas.openxmlformats.org/officeDocument/2006/relationships/hyperlink" Target="https://foodfakty.pl/" TargetMode="External"/><Relationship Id="rId24" Type="http://schemas.openxmlformats.org/officeDocument/2006/relationships/hyperlink" Target="https://www.worldfood.pl/?utm_source=partner_medialny&amp;utm_medium=social_media&amp;utm_campaign=wfp26_partner_medialny_social_media_grafika_post" TargetMode="External"/><Relationship Id="rId23" Type="http://schemas.openxmlformats.org/officeDocument/2006/relationships/hyperlink" Target="https://www.horecanet.p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intel.com/pl/" TargetMode="External"/><Relationship Id="rId26" Type="http://schemas.openxmlformats.org/officeDocument/2006/relationships/hyperlink" Target="http://dietetycy.org.pl" TargetMode="External"/><Relationship Id="rId25" Type="http://schemas.openxmlformats.org/officeDocument/2006/relationships/hyperlink" Target="https://www.horecanet.pl/nowosci-gastronomiczne-2/" TargetMode="External"/><Relationship Id="rId28" Type="http://schemas.openxmlformats.org/officeDocument/2006/relationships/hyperlink" Target="mailto:anna.targosz@proveg.org" TargetMode="External"/><Relationship Id="rId27" Type="http://schemas.openxmlformats.org/officeDocument/2006/relationships/hyperlink" Target="https://www.e-restauracja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npparibas.pl/" TargetMode="External"/><Relationship Id="rId29" Type="http://schemas.openxmlformats.org/officeDocument/2006/relationships/hyperlink" Target="https://newfoodforum.pl/" TargetMode="External"/><Relationship Id="rId7" Type="http://schemas.openxmlformats.org/officeDocument/2006/relationships/hyperlink" Target="https://www.netherlandsandyou.nl/web/poland" TargetMode="External"/><Relationship Id="rId8" Type="http://schemas.openxmlformats.org/officeDocument/2006/relationships/hyperlink" Target="https://nielseniq.com/global/pl/landing-page/30-lat-nielseniq-w-polsce/" TargetMode="External"/><Relationship Id="rId31" Type="http://schemas.openxmlformats.org/officeDocument/2006/relationships/header" Target="header1.xml"/><Relationship Id="rId30" Type="http://schemas.openxmlformats.org/officeDocument/2006/relationships/hyperlink" Target="https://newfoodforum.pl/" TargetMode="External"/><Relationship Id="rId11" Type="http://schemas.openxmlformats.org/officeDocument/2006/relationships/hyperlink" Target="https://www.wroclaw.pl/zielony-wroclaw/" TargetMode="External"/><Relationship Id="rId33" Type="http://schemas.openxmlformats.org/officeDocument/2006/relationships/footer" Target="footer1.xml"/><Relationship Id="rId10" Type="http://schemas.openxmlformats.org/officeDocument/2006/relationships/hyperlink" Target="https://roslinniproducenci.org/" TargetMode="External"/><Relationship Id="rId32" Type="http://schemas.openxmlformats.org/officeDocument/2006/relationships/header" Target="header2.xml"/><Relationship Id="rId13" Type="http://schemas.openxmlformats.org/officeDocument/2006/relationships/hyperlink" Target="https://www.wroclaw.pl/zielony-wroclaw/projekt-foodcircus" TargetMode="External"/><Relationship Id="rId12" Type="http://schemas.openxmlformats.org/officeDocument/2006/relationships/hyperlink" Target="https://www.wroclaw.pl/" TargetMode="External"/><Relationship Id="rId15" Type="http://schemas.openxmlformats.org/officeDocument/2006/relationships/hyperlink" Target="https://www.beneo.com/?gad_source=1&amp;gad_campaignid=16445312585&amp;gbraid=0AAAAADm4_dmy-6CFaolCGdZ5QuamUJT35&amp;gclid=Cj0KCQjw9-PNBhDfARIsABHN6-1clnMUXMy1_umksFI53SURqKnaGQdqxgrIpHGbSsOqXqPyMG2Jk0saApREEALw_wcB" TargetMode="External"/><Relationship Id="rId14" Type="http://schemas.openxmlformats.org/officeDocument/2006/relationships/hyperlink" Target="https://advalue.pl/advalue-engaged" TargetMode="External"/><Relationship Id="rId17" Type="http://schemas.openxmlformats.org/officeDocument/2006/relationships/hyperlink" Target="https://www.beneo.com/human-nutrition/human-nutrition-products/meatless?msclkid=d853264296dc1eb4476b4f84f3e3674e&amp;utm_source=bing&amp;utm_medium=cpc&amp;utm_campaign=YAP%20%7C%20Meatless%20-%20EU&amp;utm_term=meatless&amp;utm_content=Meatless%20Branded" TargetMode="External"/><Relationship Id="rId16" Type="http://schemas.openxmlformats.org/officeDocument/2006/relationships/hyperlink" Target="https://www.azelis.com/en" TargetMode="External"/><Relationship Id="rId19" Type="http://schemas.openxmlformats.org/officeDocument/2006/relationships/hyperlink" Target="https://naszemiasto.pl/" TargetMode="External"/><Relationship Id="rId18" Type="http://schemas.openxmlformats.org/officeDocument/2006/relationships/hyperlink" Target="https://www.v-label.com/pl/?__hstc=107755037.e38db6ddb75303ea8f6b05935a5fde5d.1773740067938.1773998558489.1774002494558.15&amp;__hssc=107755037.18.1774002494558&amp;__hsfp=2bf888503f3565701560746e2c8f6f13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