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FEE0" w14:textId="77777777" w:rsidR="00915B47" w:rsidRPr="00915B47" w:rsidRDefault="00915B47" w:rsidP="004F39A0">
      <w:pPr>
        <w:spacing w:line="240" w:lineRule="auto"/>
        <w:jc w:val="center"/>
        <w:rPr>
          <w:b/>
          <w:bCs/>
          <w:sz w:val="20"/>
          <w:szCs w:val="20"/>
        </w:rPr>
      </w:pPr>
      <w:r w:rsidRPr="00915B47">
        <w:rPr>
          <w:b/>
          <w:bCs/>
          <w:sz w:val="20"/>
          <w:szCs w:val="20"/>
        </w:rPr>
        <w:t>Starzenie się społeczeństwa napędza rozwój rynku domów opieki w Europie. 16,1 mld EUR inwestycji i rosnąca aktywność inwestorów</w:t>
      </w:r>
    </w:p>
    <w:p w14:paraId="4FFEBB1B" w14:textId="708F92DA" w:rsidR="00915B47" w:rsidRPr="00915B47" w:rsidRDefault="00915B47" w:rsidP="004F39A0">
      <w:pPr>
        <w:spacing w:line="240" w:lineRule="auto"/>
        <w:jc w:val="both"/>
        <w:rPr>
          <w:b/>
          <w:bCs/>
          <w:sz w:val="20"/>
          <w:szCs w:val="20"/>
        </w:rPr>
      </w:pPr>
      <w:r w:rsidRPr="00915B47">
        <w:rPr>
          <w:b/>
          <w:bCs/>
          <w:sz w:val="20"/>
          <w:szCs w:val="20"/>
        </w:rPr>
        <w:t xml:space="preserve">Rosnące zapotrzebowanie na usługi opieki długoterminowej, poprawa fundamentów operacyjnych oraz powrót kapitału inwestycyjnego – to kluczowe wnioski z najnowszego raportu </w:t>
      </w:r>
      <w:proofErr w:type="spellStart"/>
      <w:r w:rsidRPr="00915B47">
        <w:rPr>
          <w:b/>
          <w:bCs/>
          <w:i/>
          <w:iCs/>
          <w:sz w:val="20"/>
          <w:szCs w:val="20"/>
        </w:rPr>
        <w:t>Marketbeat</w:t>
      </w:r>
      <w:proofErr w:type="spellEnd"/>
      <w:r w:rsidRPr="00915B47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915B47">
        <w:rPr>
          <w:b/>
          <w:bCs/>
          <w:i/>
          <w:iCs/>
          <w:sz w:val="20"/>
          <w:szCs w:val="20"/>
        </w:rPr>
        <w:t>Nursing</w:t>
      </w:r>
      <w:proofErr w:type="spellEnd"/>
      <w:r w:rsidRPr="00915B47">
        <w:rPr>
          <w:b/>
          <w:bCs/>
          <w:i/>
          <w:iCs/>
          <w:sz w:val="20"/>
          <w:szCs w:val="20"/>
        </w:rPr>
        <w:t xml:space="preserve"> Home in Europe 2026</w:t>
      </w:r>
      <w:r w:rsidRPr="00915B47">
        <w:rPr>
          <w:b/>
          <w:bCs/>
          <w:sz w:val="20"/>
          <w:szCs w:val="20"/>
        </w:rPr>
        <w:t xml:space="preserve"> przygotowanego przez </w:t>
      </w:r>
      <w:r>
        <w:rPr>
          <w:b/>
          <w:bCs/>
          <w:sz w:val="20"/>
          <w:szCs w:val="20"/>
        </w:rPr>
        <w:t xml:space="preserve">międzynarodową agencję doradczą </w:t>
      </w:r>
      <w:r w:rsidRPr="00915B47">
        <w:rPr>
          <w:b/>
          <w:bCs/>
          <w:sz w:val="20"/>
          <w:szCs w:val="20"/>
        </w:rPr>
        <w:t>Cushman &amp; Wakefield. W 2025 roku wolumen inwestycji w sektorze osiągnął 16,1 mld EUR, z czego rekordowe 11,8 mld EUR przypadło na Wielką Brytanię</w:t>
      </w:r>
      <w:r>
        <w:rPr>
          <w:b/>
          <w:bCs/>
          <w:sz w:val="20"/>
          <w:szCs w:val="20"/>
        </w:rPr>
        <w:t xml:space="preserve">. Co więcej </w:t>
      </w:r>
      <w:r w:rsidRPr="00915B47">
        <w:rPr>
          <w:b/>
          <w:bCs/>
          <w:sz w:val="20"/>
          <w:szCs w:val="20"/>
        </w:rPr>
        <w:t>aktywność inwestorów</w:t>
      </w:r>
      <w:r>
        <w:rPr>
          <w:b/>
          <w:bCs/>
          <w:sz w:val="20"/>
          <w:szCs w:val="20"/>
        </w:rPr>
        <w:t>, nawet p</w:t>
      </w:r>
      <w:r w:rsidRPr="00915B47">
        <w:rPr>
          <w:b/>
          <w:bCs/>
          <w:sz w:val="20"/>
          <w:szCs w:val="20"/>
        </w:rPr>
        <w:t xml:space="preserve">o wyłączeniu </w:t>
      </w:r>
      <w:r>
        <w:rPr>
          <w:b/>
          <w:bCs/>
          <w:sz w:val="20"/>
          <w:szCs w:val="20"/>
        </w:rPr>
        <w:t xml:space="preserve">brytyjskiego </w:t>
      </w:r>
      <w:r w:rsidRPr="00915B47">
        <w:rPr>
          <w:b/>
          <w:bCs/>
          <w:sz w:val="20"/>
          <w:szCs w:val="20"/>
        </w:rPr>
        <w:t>rynku</w:t>
      </w:r>
      <w:r>
        <w:rPr>
          <w:b/>
          <w:bCs/>
          <w:sz w:val="20"/>
          <w:szCs w:val="20"/>
        </w:rPr>
        <w:t xml:space="preserve">, </w:t>
      </w:r>
      <w:r w:rsidRPr="00915B47">
        <w:rPr>
          <w:b/>
          <w:bCs/>
          <w:sz w:val="20"/>
          <w:szCs w:val="20"/>
        </w:rPr>
        <w:t xml:space="preserve">niemal się podwoiła w porównaniu z rokiem 2024, co było napędzane głównie odbiciem w krajach nordyckich. Nawet wyłączając zarówno Wielką Brytanię, jak i kraje nordyckie, aktywność wzrosła o około 20%, co sygnalizuje stopniowe ponowne otwieranie się rynku. </w:t>
      </w:r>
      <w:r w:rsidR="00F92342">
        <w:rPr>
          <w:b/>
          <w:bCs/>
          <w:sz w:val="20"/>
          <w:szCs w:val="20"/>
        </w:rPr>
        <w:t xml:space="preserve">Na tym tle Polska i reszta CEE mają spore pole do poprawy. </w:t>
      </w:r>
      <w:r w:rsidR="000B76F4">
        <w:rPr>
          <w:b/>
          <w:bCs/>
          <w:sz w:val="20"/>
          <w:szCs w:val="20"/>
        </w:rPr>
        <w:t xml:space="preserve">W naszym kraju </w:t>
      </w:r>
      <w:r w:rsidR="000B76F4" w:rsidRPr="000B76F4">
        <w:rPr>
          <w:b/>
          <w:bCs/>
          <w:sz w:val="20"/>
          <w:szCs w:val="20"/>
        </w:rPr>
        <w:t>na każde 100 osób powyżej 80. roku życia przypada mniej niż 10 łóżek</w:t>
      </w:r>
      <w:r w:rsidR="000B76F4">
        <w:rPr>
          <w:b/>
          <w:bCs/>
          <w:sz w:val="20"/>
          <w:szCs w:val="20"/>
        </w:rPr>
        <w:t xml:space="preserve"> w przystosowanych do opieki ośrodkach.</w:t>
      </w:r>
    </w:p>
    <w:p w14:paraId="761C3953" w14:textId="77777777" w:rsidR="00915B47" w:rsidRDefault="00915B47" w:rsidP="004F39A0">
      <w:pPr>
        <w:spacing w:line="240" w:lineRule="auto"/>
        <w:jc w:val="both"/>
        <w:rPr>
          <w:b/>
          <w:bCs/>
          <w:sz w:val="20"/>
          <w:szCs w:val="20"/>
        </w:rPr>
      </w:pPr>
      <w:r w:rsidRPr="00915B47">
        <w:rPr>
          <w:b/>
          <w:bCs/>
          <w:sz w:val="20"/>
          <w:szCs w:val="20"/>
        </w:rPr>
        <w:t xml:space="preserve">Silne fundamenty i poprawa sytuacji operacyjnej </w:t>
      </w:r>
    </w:p>
    <w:p w14:paraId="1D7D474B" w14:textId="0DF5A869" w:rsidR="00915B47" w:rsidRDefault="00915B47" w:rsidP="004F39A0">
      <w:pPr>
        <w:spacing w:line="240" w:lineRule="auto"/>
        <w:jc w:val="both"/>
        <w:rPr>
          <w:sz w:val="20"/>
          <w:szCs w:val="20"/>
        </w:rPr>
      </w:pPr>
      <w:r w:rsidRPr="00915B47">
        <w:rPr>
          <w:sz w:val="20"/>
          <w:szCs w:val="20"/>
        </w:rPr>
        <w:t>Rok 2025 przyniósł wyraźną stabilizację sytuacji operacyjnej</w:t>
      </w:r>
      <w:r>
        <w:rPr>
          <w:sz w:val="20"/>
          <w:szCs w:val="20"/>
        </w:rPr>
        <w:t>. W</w:t>
      </w:r>
      <w:r w:rsidRPr="00915B47">
        <w:rPr>
          <w:sz w:val="20"/>
          <w:szCs w:val="20"/>
        </w:rPr>
        <w:t xml:space="preserve"> większości krajów odnotowano wzrost obłożenia, a operatorzy raportowali bardziej przewidywalne marże. Jednocześnie postępowała konsolidacja rynku</w:t>
      </w:r>
      <w:r>
        <w:rPr>
          <w:sz w:val="20"/>
          <w:szCs w:val="20"/>
        </w:rPr>
        <w:t xml:space="preserve">. Jak wynika z raportu Cushman &amp; Wakefield, </w:t>
      </w:r>
      <w:r w:rsidRPr="00915B47">
        <w:rPr>
          <w:sz w:val="20"/>
          <w:szCs w:val="20"/>
        </w:rPr>
        <w:t xml:space="preserve">prywatni operatorzy odpowiadają dziś za około 40% dostępnych miejsc w domach opieki </w:t>
      </w:r>
      <w:r>
        <w:rPr>
          <w:sz w:val="20"/>
          <w:szCs w:val="20"/>
        </w:rPr>
        <w:t>w skali całej Europy</w:t>
      </w:r>
      <w:r w:rsidRPr="00915B47">
        <w:rPr>
          <w:sz w:val="20"/>
          <w:szCs w:val="20"/>
        </w:rPr>
        <w:t xml:space="preserve">. </w:t>
      </w:r>
      <w:r w:rsidR="00F03728" w:rsidRPr="00F03728">
        <w:rPr>
          <w:sz w:val="20"/>
          <w:szCs w:val="20"/>
        </w:rPr>
        <w:t xml:space="preserve">Z perspektywy inwestycyjnej fundamenty sektora pozostają silne, a stopy kapitalizacji </w:t>
      </w:r>
      <w:proofErr w:type="spellStart"/>
      <w:r w:rsidR="00F03728" w:rsidRPr="00F03728">
        <w:rPr>
          <w:sz w:val="20"/>
          <w:szCs w:val="20"/>
        </w:rPr>
        <w:t>prime</w:t>
      </w:r>
      <w:proofErr w:type="spellEnd"/>
      <w:r w:rsidR="00F03728" w:rsidRPr="00F03728">
        <w:rPr>
          <w:sz w:val="20"/>
          <w:szCs w:val="20"/>
        </w:rPr>
        <w:t xml:space="preserve"> dla najlepszych aktywów w 2025 roku zasadniczo się ustabilizowały. Na dojrzałych rynkach utrzymywały się w okolicach 5,00%–5,10% - m.in. we Francji i Finlandii na poziomie 5,00%, a w Niemczech na poziomie 5,10%. W Europie Południowej, szczególnie we Włoszech i Portugalii, pozostawały wyższe i wynosiły około 5,75%, choć raport wskazuje na pierwsze oznaki ożywienia. Z kolei w Szwecji i Holandii widoczne były już pierwsze oznaki kompresji </w:t>
      </w:r>
      <w:proofErr w:type="spellStart"/>
      <w:r w:rsidR="00F03728" w:rsidRPr="00F03728">
        <w:rPr>
          <w:sz w:val="20"/>
          <w:szCs w:val="20"/>
        </w:rPr>
        <w:t>yieldów</w:t>
      </w:r>
      <w:proofErr w:type="spellEnd"/>
      <w:r w:rsidR="00F03728">
        <w:rPr>
          <w:sz w:val="20"/>
          <w:szCs w:val="20"/>
        </w:rPr>
        <w:t xml:space="preserve">, </w:t>
      </w:r>
      <w:r w:rsidR="00F03728" w:rsidRPr="00F03728">
        <w:rPr>
          <w:sz w:val="20"/>
          <w:szCs w:val="20"/>
        </w:rPr>
        <w:t>w 2025 roku wynosiły one odpowiednio około 4,10% i 4,75%.</w:t>
      </w:r>
    </w:p>
    <w:p w14:paraId="7A5CCB94" w14:textId="5FC075DF" w:rsidR="00915B47" w:rsidRPr="00915B47" w:rsidRDefault="00915B47" w:rsidP="004F39A0">
      <w:pPr>
        <w:spacing w:line="240" w:lineRule="auto"/>
        <w:jc w:val="both"/>
        <w:rPr>
          <w:b/>
          <w:bCs/>
          <w:sz w:val="20"/>
          <w:szCs w:val="20"/>
        </w:rPr>
      </w:pPr>
      <w:r w:rsidRPr="00915B4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915B47">
        <w:rPr>
          <w:i/>
          <w:iCs/>
          <w:sz w:val="20"/>
          <w:szCs w:val="20"/>
        </w:rPr>
        <w:t xml:space="preserve">Po kilku latach niepewności sektor wraca na ścieżkę stabilizacji, zarówno operacyjnej, jak i inwestycyjnej. Widzimy poprawę fundamentów, ale też wyraźną zmianę podejścia inwestorów – dziś kluczowe znaczenie ma jakość aktywów, siła operatora oraz długoterminowa trwałość przepływów pieniężnych </w:t>
      </w:r>
      <w:r w:rsidRPr="00915B47">
        <w:rPr>
          <w:sz w:val="20"/>
          <w:szCs w:val="20"/>
        </w:rPr>
        <w:t xml:space="preserve">– mówi </w:t>
      </w:r>
      <w:r w:rsidRPr="00915B47">
        <w:rPr>
          <w:b/>
          <w:bCs/>
          <w:sz w:val="20"/>
          <w:szCs w:val="20"/>
        </w:rPr>
        <w:t xml:space="preserve">Karolina Furmańska, </w:t>
      </w:r>
      <w:proofErr w:type="spellStart"/>
      <w:r w:rsidRPr="00915B47">
        <w:rPr>
          <w:b/>
          <w:bCs/>
          <w:sz w:val="20"/>
          <w:szCs w:val="20"/>
        </w:rPr>
        <w:t>Associate</w:t>
      </w:r>
      <w:proofErr w:type="spellEnd"/>
      <w:r w:rsidRPr="00915B47">
        <w:rPr>
          <w:b/>
          <w:bCs/>
          <w:sz w:val="20"/>
          <w:szCs w:val="20"/>
        </w:rPr>
        <w:t xml:space="preserve">, </w:t>
      </w:r>
      <w:proofErr w:type="spellStart"/>
      <w:r w:rsidRPr="00915B47">
        <w:rPr>
          <w:b/>
          <w:bCs/>
          <w:sz w:val="20"/>
          <w:szCs w:val="20"/>
        </w:rPr>
        <w:t>Living</w:t>
      </w:r>
      <w:proofErr w:type="spellEnd"/>
      <w:r w:rsidRPr="00915B47">
        <w:rPr>
          <w:b/>
          <w:bCs/>
          <w:sz w:val="20"/>
          <w:szCs w:val="20"/>
        </w:rPr>
        <w:t xml:space="preserve"> </w:t>
      </w:r>
      <w:proofErr w:type="spellStart"/>
      <w:r w:rsidRPr="00915B47">
        <w:rPr>
          <w:b/>
          <w:bCs/>
          <w:sz w:val="20"/>
          <w:szCs w:val="20"/>
        </w:rPr>
        <w:t>Sector</w:t>
      </w:r>
      <w:proofErr w:type="spellEnd"/>
      <w:r w:rsidRPr="00915B47">
        <w:rPr>
          <w:b/>
          <w:bCs/>
          <w:sz w:val="20"/>
          <w:szCs w:val="20"/>
        </w:rPr>
        <w:t>, Cushman &amp; Wakefield.</w:t>
      </w:r>
    </w:p>
    <w:p w14:paraId="3A467209" w14:textId="77777777" w:rsidR="00915B47" w:rsidRDefault="00915B47" w:rsidP="004F39A0">
      <w:pPr>
        <w:spacing w:line="240" w:lineRule="auto"/>
        <w:jc w:val="both"/>
        <w:rPr>
          <w:b/>
          <w:bCs/>
          <w:sz w:val="20"/>
          <w:szCs w:val="20"/>
        </w:rPr>
      </w:pPr>
      <w:r w:rsidRPr="00915B47">
        <w:rPr>
          <w:b/>
          <w:bCs/>
          <w:sz w:val="20"/>
          <w:szCs w:val="20"/>
        </w:rPr>
        <w:t xml:space="preserve">Rynek inwestycyjny: powrót kapitału i dominacja USA </w:t>
      </w:r>
    </w:p>
    <w:p w14:paraId="0402EA54" w14:textId="77777777" w:rsidR="00BD495A" w:rsidRDefault="00915B47" w:rsidP="004F39A0">
      <w:pPr>
        <w:spacing w:line="240" w:lineRule="auto"/>
        <w:jc w:val="both"/>
        <w:rPr>
          <w:sz w:val="20"/>
          <w:szCs w:val="20"/>
        </w:rPr>
      </w:pPr>
      <w:r w:rsidRPr="00915B47">
        <w:rPr>
          <w:sz w:val="20"/>
          <w:szCs w:val="20"/>
        </w:rPr>
        <w:t xml:space="preserve">Po trzech latach spadków wolumenów inwestycyjnych w kontynentalnej Europie, aktywność zaczęła się odbudowywać, osiągając </w:t>
      </w:r>
      <w:r>
        <w:rPr>
          <w:sz w:val="20"/>
          <w:szCs w:val="20"/>
        </w:rPr>
        <w:t>łączną wartość</w:t>
      </w:r>
      <w:r w:rsidRPr="00915B47">
        <w:rPr>
          <w:sz w:val="20"/>
          <w:szCs w:val="20"/>
        </w:rPr>
        <w:t xml:space="preserve"> 16,1 mld EUR. Na rynku brytyjskim, który odpowiadał za prawie 75% całkowitych wolumenów europejskich, dominował kapitał z USA, stanowiący blisko 90% aktywności transakcyjnej. </w:t>
      </w:r>
    </w:p>
    <w:p w14:paraId="2FC20759" w14:textId="77777777" w:rsidR="00F03728" w:rsidRPr="00915B47" w:rsidRDefault="00BD495A" w:rsidP="00F03728">
      <w:pPr>
        <w:spacing w:line="240" w:lineRule="auto"/>
        <w:jc w:val="both"/>
        <w:rPr>
          <w:b/>
          <w:bCs/>
          <w:sz w:val="20"/>
          <w:szCs w:val="20"/>
        </w:rPr>
      </w:pPr>
      <w:r w:rsidRPr="00915B4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915B47" w:rsidRPr="00915B47">
        <w:rPr>
          <w:i/>
          <w:iCs/>
          <w:sz w:val="20"/>
          <w:szCs w:val="20"/>
        </w:rPr>
        <w:t>Powrót kapitału widoczny jest także w rosnącej aktywności inwestorów międzynarodowych oraz poprawiających się warunkach finansowania. Jednocześnie rynek staje się coraz bardziej selektywny</w:t>
      </w:r>
      <w:r w:rsidRPr="00BD495A">
        <w:rPr>
          <w:i/>
          <w:iCs/>
          <w:sz w:val="20"/>
          <w:szCs w:val="20"/>
        </w:rPr>
        <w:t>. I</w:t>
      </w:r>
      <w:r w:rsidR="00915B47" w:rsidRPr="00915B47">
        <w:rPr>
          <w:i/>
          <w:iCs/>
          <w:sz w:val="20"/>
          <w:szCs w:val="20"/>
        </w:rPr>
        <w:t>nwestorzy koncentrują się na aktywach spełniających wysokie standardy operacyjne i środowiskowe, a obiekty niespełniające kryteriów rentowności lub ESG są odsuwane na boczny tor. Obserwujemy powrót płynności, ale w bardziej wymagającym środowisku</w:t>
      </w:r>
      <w:r w:rsidRPr="00BD495A">
        <w:rPr>
          <w:i/>
          <w:iCs/>
          <w:sz w:val="20"/>
          <w:szCs w:val="20"/>
        </w:rPr>
        <w:t xml:space="preserve">, ponieważ </w:t>
      </w:r>
      <w:r w:rsidR="00915B47" w:rsidRPr="00915B47">
        <w:rPr>
          <w:i/>
          <w:iCs/>
          <w:sz w:val="20"/>
          <w:szCs w:val="20"/>
        </w:rPr>
        <w:t xml:space="preserve">kryteria inwestycyjne są dziś znacznie bardziej </w:t>
      </w:r>
      <w:r w:rsidR="00915B47" w:rsidRPr="00915B47">
        <w:rPr>
          <w:i/>
          <w:iCs/>
          <w:sz w:val="20"/>
          <w:szCs w:val="20"/>
        </w:rPr>
        <w:lastRenderedPageBreak/>
        <w:t xml:space="preserve">rygorystyczne niż przed okresem spowolnienia </w:t>
      </w:r>
      <w:r w:rsidR="00915B47" w:rsidRPr="00915B47">
        <w:rPr>
          <w:sz w:val="20"/>
          <w:szCs w:val="20"/>
        </w:rPr>
        <w:t xml:space="preserve">– dodaje </w:t>
      </w:r>
      <w:r w:rsidR="00F03728">
        <w:rPr>
          <w:b/>
          <w:bCs/>
          <w:sz w:val="20"/>
          <w:szCs w:val="20"/>
        </w:rPr>
        <w:t xml:space="preserve">Katarzyna Lipka, </w:t>
      </w:r>
      <w:proofErr w:type="spellStart"/>
      <w:r w:rsidR="00F03728">
        <w:rPr>
          <w:b/>
          <w:bCs/>
          <w:sz w:val="20"/>
          <w:szCs w:val="20"/>
        </w:rPr>
        <w:t>Head</w:t>
      </w:r>
      <w:proofErr w:type="spellEnd"/>
      <w:r w:rsidR="00F03728">
        <w:rPr>
          <w:b/>
          <w:bCs/>
          <w:sz w:val="20"/>
          <w:szCs w:val="20"/>
        </w:rPr>
        <w:t xml:space="preserve"> of </w:t>
      </w:r>
      <w:r w:rsidR="00F03728" w:rsidRPr="000B76F4">
        <w:rPr>
          <w:b/>
          <w:bCs/>
          <w:sz w:val="20"/>
          <w:szCs w:val="20"/>
        </w:rPr>
        <w:t xml:space="preserve">Strategic Consulting &amp; ESG </w:t>
      </w:r>
      <w:proofErr w:type="spellStart"/>
      <w:r w:rsidR="00F03728" w:rsidRPr="000B76F4">
        <w:rPr>
          <w:b/>
          <w:bCs/>
          <w:sz w:val="20"/>
          <w:szCs w:val="20"/>
        </w:rPr>
        <w:t>Advisory</w:t>
      </w:r>
      <w:proofErr w:type="spellEnd"/>
      <w:r w:rsidR="00F03728" w:rsidRPr="000B76F4">
        <w:rPr>
          <w:b/>
          <w:bCs/>
          <w:sz w:val="20"/>
          <w:szCs w:val="20"/>
        </w:rPr>
        <w:t xml:space="preserve"> w Cushman &amp; Wakefield</w:t>
      </w:r>
      <w:r w:rsidR="00F03728">
        <w:rPr>
          <w:b/>
          <w:bCs/>
          <w:sz w:val="20"/>
          <w:szCs w:val="20"/>
        </w:rPr>
        <w:t xml:space="preserve">. </w:t>
      </w:r>
    </w:p>
    <w:p w14:paraId="6DCD6E3C" w14:textId="41A0B0AE" w:rsidR="00BD495A" w:rsidRDefault="00915B47" w:rsidP="004F39A0">
      <w:pPr>
        <w:spacing w:line="240" w:lineRule="auto"/>
        <w:jc w:val="both"/>
        <w:rPr>
          <w:b/>
          <w:bCs/>
          <w:sz w:val="20"/>
          <w:szCs w:val="20"/>
        </w:rPr>
      </w:pPr>
      <w:r w:rsidRPr="00915B47">
        <w:rPr>
          <w:b/>
          <w:bCs/>
          <w:sz w:val="20"/>
          <w:szCs w:val="20"/>
        </w:rPr>
        <w:t xml:space="preserve">Popyt strukturalny napędzany demografią </w:t>
      </w:r>
    </w:p>
    <w:p w14:paraId="4405CE7E" w14:textId="77777777" w:rsidR="00BD495A" w:rsidRDefault="00915B47" w:rsidP="004F39A0">
      <w:pPr>
        <w:spacing w:line="240" w:lineRule="auto"/>
        <w:jc w:val="both"/>
        <w:rPr>
          <w:sz w:val="20"/>
          <w:szCs w:val="20"/>
        </w:rPr>
      </w:pPr>
      <w:r w:rsidRPr="00915B47">
        <w:rPr>
          <w:sz w:val="20"/>
          <w:szCs w:val="20"/>
        </w:rPr>
        <w:t>Fundamentem wzrostu pozostają nieuchronne trendy demograficzne</w:t>
      </w:r>
      <w:r w:rsidR="00BD495A">
        <w:rPr>
          <w:sz w:val="20"/>
          <w:szCs w:val="20"/>
        </w:rPr>
        <w:t>. W</w:t>
      </w:r>
      <w:r w:rsidRPr="00915B47">
        <w:rPr>
          <w:sz w:val="20"/>
          <w:szCs w:val="20"/>
        </w:rPr>
        <w:t>edług stanu na styczeń 2025 roku w Unii Europejskiej mieszka</w:t>
      </w:r>
      <w:r w:rsidR="00BD495A">
        <w:rPr>
          <w:sz w:val="20"/>
          <w:szCs w:val="20"/>
        </w:rPr>
        <w:t xml:space="preserve">ło </w:t>
      </w:r>
      <w:r w:rsidRPr="00915B47">
        <w:rPr>
          <w:sz w:val="20"/>
          <w:szCs w:val="20"/>
        </w:rPr>
        <w:t>450,4 mln osób</w:t>
      </w:r>
      <w:r w:rsidR="00BD495A">
        <w:rPr>
          <w:sz w:val="20"/>
          <w:szCs w:val="20"/>
        </w:rPr>
        <w:t>, z czego u</w:t>
      </w:r>
      <w:r w:rsidRPr="00915B47">
        <w:rPr>
          <w:sz w:val="20"/>
          <w:szCs w:val="20"/>
        </w:rPr>
        <w:t xml:space="preserve">dział populacji w wieku 65 lat i więcej wzrósł we wszystkich krajach </w:t>
      </w:r>
      <w:r w:rsidR="00BD495A">
        <w:rPr>
          <w:sz w:val="20"/>
          <w:szCs w:val="20"/>
        </w:rPr>
        <w:t>wspólnoty</w:t>
      </w:r>
      <w:r w:rsidRPr="00915B47">
        <w:rPr>
          <w:sz w:val="20"/>
          <w:szCs w:val="20"/>
        </w:rPr>
        <w:t xml:space="preserve"> z poziomu 16,4% do 21,6%. </w:t>
      </w:r>
    </w:p>
    <w:p w14:paraId="38480484" w14:textId="6BD308D3" w:rsidR="00915B47" w:rsidRPr="00915B47" w:rsidRDefault="00BD495A" w:rsidP="004F39A0">
      <w:pPr>
        <w:spacing w:line="240" w:lineRule="auto"/>
        <w:jc w:val="both"/>
        <w:rPr>
          <w:b/>
          <w:bCs/>
          <w:sz w:val="20"/>
          <w:szCs w:val="20"/>
        </w:rPr>
      </w:pPr>
      <w:r w:rsidRPr="00915B4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915B47" w:rsidRPr="00915B47">
        <w:rPr>
          <w:i/>
          <w:iCs/>
          <w:sz w:val="20"/>
          <w:szCs w:val="20"/>
        </w:rPr>
        <w:t xml:space="preserve">Jeszcze dynamiczniej rośnie grupa osób w wieku 80 lat i więcej, której udział w populacji zwiększył się z 3,8% do 6,1% w latach 2004–2024, a do 2050 roku ma osiągnąć około 15,3%. Równolegle rośnie </w:t>
      </w:r>
      <w:r w:rsidRPr="00BD495A">
        <w:rPr>
          <w:i/>
          <w:iCs/>
          <w:sz w:val="20"/>
          <w:szCs w:val="20"/>
        </w:rPr>
        <w:t xml:space="preserve">też </w:t>
      </w:r>
      <w:r w:rsidR="00915B47" w:rsidRPr="00915B47">
        <w:rPr>
          <w:i/>
          <w:iCs/>
          <w:sz w:val="20"/>
          <w:szCs w:val="20"/>
        </w:rPr>
        <w:t>wskaźnik obciążenia demograficznego, który porównuje liczbę osób starszych do ludności w wieku produkcyjnym</w:t>
      </w:r>
      <w:r w:rsidRPr="00BD495A">
        <w:rPr>
          <w:i/>
          <w:iCs/>
          <w:sz w:val="20"/>
          <w:szCs w:val="20"/>
        </w:rPr>
        <w:t xml:space="preserve">. Ma on wzrosnąć z </w:t>
      </w:r>
      <w:r w:rsidR="00915B47" w:rsidRPr="00915B47">
        <w:rPr>
          <w:i/>
          <w:iCs/>
          <w:sz w:val="20"/>
          <w:szCs w:val="20"/>
        </w:rPr>
        <w:t xml:space="preserve">poziomu 34,4% na początku 2025 roku do </w:t>
      </w:r>
      <w:r w:rsidRPr="00BD495A">
        <w:rPr>
          <w:i/>
          <w:iCs/>
          <w:sz w:val="20"/>
          <w:szCs w:val="20"/>
        </w:rPr>
        <w:t xml:space="preserve">aż </w:t>
      </w:r>
      <w:r w:rsidR="00915B47" w:rsidRPr="00915B47">
        <w:rPr>
          <w:i/>
          <w:iCs/>
          <w:sz w:val="20"/>
          <w:szCs w:val="20"/>
        </w:rPr>
        <w:t>50,4% w 2050 roku, co oznacza, że na każdą osobę starszą będzie przypadać mniej niż dwóch pracujących dorosłych</w:t>
      </w:r>
      <w:r>
        <w:rPr>
          <w:sz w:val="20"/>
          <w:szCs w:val="20"/>
        </w:rPr>
        <w:t xml:space="preserve"> – tłumaczy </w:t>
      </w:r>
      <w:r w:rsidRPr="00BD495A">
        <w:rPr>
          <w:b/>
          <w:bCs/>
          <w:sz w:val="20"/>
          <w:szCs w:val="20"/>
        </w:rPr>
        <w:t xml:space="preserve">Ewa Derlatka-Chilewicz, </w:t>
      </w:r>
      <w:proofErr w:type="spellStart"/>
      <w:r w:rsidRPr="00BD495A">
        <w:rPr>
          <w:b/>
          <w:bCs/>
          <w:sz w:val="20"/>
          <w:szCs w:val="20"/>
        </w:rPr>
        <w:t>Head</w:t>
      </w:r>
      <w:proofErr w:type="spellEnd"/>
      <w:r w:rsidRPr="00BD495A">
        <w:rPr>
          <w:b/>
          <w:bCs/>
          <w:sz w:val="20"/>
          <w:szCs w:val="20"/>
        </w:rPr>
        <w:t xml:space="preserve"> of </w:t>
      </w:r>
      <w:proofErr w:type="spellStart"/>
      <w:r w:rsidRPr="00BD495A">
        <w:rPr>
          <w:b/>
          <w:bCs/>
          <w:sz w:val="20"/>
          <w:szCs w:val="20"/>
        </w:rPr>
        <w:t>Research</w:t>
      </w:r>
      <w:proofErr w:type="spellEnd"/>
      <w:r w:rsidRPr="00BD495A">
        <w:rPr>
          <w:b/>
          <w:bCs/>
          <w:sz w:val="20"/>
          <w:szCs w:val="20"/>
        </w:rPr>
        <w:t xml:space="preserve">, Cushman &amp; Wakefield. </w:t>
      </w:r>
    </w:p>
    <w:p w14:paraId="03657FDE" w14:textId="77777777" w:rsidR="00BD495A" w:rsidRDefault="00915B47" w:rsidP="004F39A0">
      <w:pPr>
        <w:spacing w:line="240" w:lineRule="auto"/>
        <w:jc w:val="both"/>
        <w:rPr>
          <w:b/>
          <w:bCs/>
          <w:sz w:val="20"/>
          <w:szCs w:val="20"/>
        </w:rPr>
      </w:pPr>
      <w:r w:rsidRPr="00915B47">
        <w:rPr>
          <w:b/>
          <w:bCs/>
          <w:sz w:val="20"/>
          <w:szCs w:val="20"/>
        </w:rPr>
        <w:t xml:space="preserve">Polska i CEE: strukturalna luka podaży i rosnąca rola rynku prywatnego </w:t>
      </w:r>
    </w:p>
    <w:p w14:paraId="3B1C62CD" w14:textId="35059075" w:rsidR="00BD495A" w:rsidRDefault="00915B47" w:rsidP="004F39A0">
      <w:pPr>
        <w:spacing w:line="240" w:lineRule="auto"/>
        <w:jc w:val="both"/>
        <w:rPr>
          <w:sz w:val="20"/>
          <w:szCs w:val="20"/>
        </w:rPr>
      </w:pPr>
      <w:r w:rsidRPr="00915B47">
        <w:rPr>
          <w:sz w:val="20"/>
          <w:szCs w:val="20"/>
        </w:rPr>
        <w:t xml:space="preserve">Na tle Europy Polska oraz szerzej </w:t>
      </w:r>
      <w:r w:rsidR="00F92342">
        <w:rPr>
          <w:sz w:val="20"/>
          <w:szCs w:val="20"/>
        </w:rPr>
        <w:t>–</w:t>
      </w:r>
      <w:r w:rsidR="00BD495A">
        <w:rPr>
          <w:sz w:val="20"/>
          <w:szCs w:val="20"/>
        </w:rPr>
        <w:t xml:space="preserve"> </w:t>
      </w:r>
      <w:r w:rsidRPr="00915B47">
        <w:rPr>
          <w:sz w:val="20"/>
          <w:szCs w:val="20"/>
        </w:rPr>
        <w:t>region Europy Środkowo-Wschodniej pozostają rynkami o wyraźnym niedoborze infrastruktury opieki długoterminowej. Wskaźnik wyposażenia (</w:t>
      </w:r>
      <w:proofErr w:type="spellStart"/>
      <w:r w:rsidRPr="00915B47">
        <w:rPr>
          <w:i/>
          <w:iCs/>
          <w:sz w:val="20"/>
          <w:szCs w:val="20"/>
        </w:rPr>
        <w:t>equipment</w:t>
      </w:r>
      <w:proofErr w:type="spellEnd"/>
      <w:r w:rsidRPr="00915B47">
        <w:rPr>
          <w:i/>
          <w:iCs/>
          <w:sz w:val="20"/>
          <w:szCs w:val="20"/>
        </w:rPr>
        <w:t xml:space="preserve"> rate</w:t>
      </w:r>
      <w:r w:rsidRPr="00915B47">
        <w:rPr>
          <w:sz w:val="20"/>
          <w:szCs w:val="20"/>
        </w:rPr>
        <w:t xml:space="preserve">), mierzony jako stosunek liczby łóżek do populacji powyżej 80. roku życia, wynosi w Polsce zaledwie 9,5%, co jest jednym z najniższych wyników obok Włoch (9%) i Czech (11,9%). </w:t>
      </w:r>
      <w:r w:rsidR="00E83164" w:rsidRPr="00E83164">
        <w:rPr>
          <w:sz w:val="20"/>
          <w:szCs w:val="20"/>
        </w:rPr>
        <w:t>Według danych GUS w Polsce żyje obecnie ok. 1,6 mln osób w wieku 80 lat i więcej, a ich liczba będzie dynamicznie rosnąć – do 2040 roku przekroczy 3 mln. Oznacza to dalszy wzrost strukturalnego popytu na profesjonalną opiekę długoterminową i pogłębienie potrzeby rozwoju nowoczesnej infrastruktury senioralnej.</w:t>
      </w:r>
    </w:p>
    <w:p w14:paraId="3A58AEAF" w14:textId="58B4E77B" w:rsidR="00BD495A" w:rsidRDefault="00F92342" w:rsidP="004F39A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 w:rsidR="00915B47" w:rsidRPr="00915B47">
        <w:rPr>
          <w:i/>
          <w:iCs/>
          <w:sz w:val="20"/>
          <w:szCs w:val="20"/>
        </w:rPr>
        <w:t xml:space="preserve"> Polska charakteryzuje się odmienną strukturą rynku, gdzie sektor prywatny zarządza jedynie około 22% łóżek, podczas gdy w krajach takich jak Wielka Brytania, Irlandia czy Włochy prywatni operatorzy kontrolują od 75% do 85% rynku. Sektor w </w:t>
      </w:r>
      <w:r>
        <w:rPr>
          <w:i/>
          <w:iCs/>
          <w:sz w:val="20"/>
          <w:szCs w:val="20"/>
        </w:rPr>
        <w:t>naszym kraju</w:t>
      </w:r>
      <w:r w:rsidRPr="00915B47">
        <w:rPr>
          <w:i/>
          <w:iCs/>
          <w:sz w:val="20"/>
          <w:szCs w:val="20"/>
        </w:rPr>
        <w:t xml:space="preserve"> </w:t>
      </w:r>
      <w:r w:rsidR="00915B47" w:rsidRPr="00915B47">
        <w:rPr>
          <w:i/>
          <w:iCs/>
          <w:sz w:val="20"/>
          <w:szCs w:val="20"/>
        </w:rPr>
        <w:t>jest wysoce rozdrobniony, a na rynku obecnych jest tylko dwóch głównych operatorów instytucjonalnych</w:t>
      </w:r>
      <w:r w:rsidR="00F03728">
        <w:rPr>
          <w:i/>
          <w:iCs/>
          <w:sz w:val="20"/>
          <w:szCs w:val="20"/>
        </w:rPr>
        <w:t xml:space="preserve">. </w:t>
      </w:r>
      <w:r w:rsidR="00BD495A" w:rsidRPr="00915B47">
        <w:rPr>
          <w:i/>
          <w:iCs/>
          <w:sz w:val="20"/>
          <w:szCs w:val="20"/>
        </w:rPr>
        <w:t>Najniższą dostępność infrastruktury odnotowuje się w województwach wielkopolskim i lubelskim, co wskazuje na znaczący potencjał dla nowych inwestycji</w:t>
      </w:r>
      <w:r w:rsidR="00BD495A">
        <w:rPr>
          <w:i/>
          <w:iCs/>
          <w:sz w:val="20"/>
          <w:szCs w:val="20"/>
        </w:rPr>
        <w:t xml:space="preserve"> </w:t>
      </w:r>
      <w:r w:rsidR="00BD495A">
        <w:rPr>
          <w:sz w:val="20"/>
          <w:szCs w:val="20"/>
        </w:rPr>
        <w:t xml:space="preserve">– tłumaczy </w:t>
      </w:r>
      <w:r w:rsidR="00BD495A" w:rsidRPr="00BD495A">
        <w:rPr>
          <w:b/>
          <w:bCs/>
          <w:sz w:val="20"/>
          <w:szCs w:val="20"/>
        </w:rPr>
        <w:t>Karolina Furmańska.</w:t>
      </w:r>
      <w:r w:rsidR="00BD495A">
        <w:rPr>
          <w:sz w:val="20"/>
          <w:szCs w:val="20"/>
        </w:rPr>
        <w:t xml:space="preserve"> </w:t>
      </w:r>
    </w:p>
    <w:p w14:paraId="753F4578" w14:textId="77777777" w:rsidR="00BD495A" w:rsidRDefault="00BD495A" w:rsidP="004F39A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Specyfika polskiego rynku </w:t>
      </w:r>
      <w:r w:rsidR="00915B47" w:rsidRPr="00915B47">
        <w:rPr>
          <w:sz w:val="20"/>
          <w:szCs w:val="20"/>
        </w:rPr>
        <w:t xml:space="preserve">wynika przede wszystkim z uwarunkowań systemowych i historycznych, w tym modelu finansowania opieki oraz roli tradycyjnych struktur rodzinnych w opiece nad osobami starszymi. Jednak można oczekiwać rosnącego zapotrzebowania na zinstytucjonalizowane formy opieki, co będzie sprzyjać rozwojowi sektora prywatnego oraz napływowi kapitału zagranicznego, który w 2025 roku zaczął ponownie napływać do Polski z Francji, Wielkiej Brytanii i USA. </w:t>
      </w:r>
    </w:p>
    <w:p w14:paraId="3DE20A2E" w14:textId="4474CD1C" w:rsidR="00915B47" w:rsidRPr="00915B47" w:rsidRDefault="00BD495A" w:rsidP="004F39A0">
      <w:pPr>
        <w:spacing w:line="240" w:lineRule="auto"/>
        <w:jc w:val="both"/>
        <w:rPr>
          <w:b/>
          <w:bCs/>
          <w:sz w:val="20"/>
          <w:szCs w:val="20"/>
        </w:rPr>
      </w:pPr>
      <w:r w:rsidRPr="00915B4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915B47" w:rsidRPr="00915B47">
        <w:rPr>
          <w:i/>
          <w:iCs/>
          <w:sz w:val="20"/>
          <w:szCs w:val="20"/>
        </w:rPr>
        <w:t xml:space="preserve">Polska i region CEE znajdują się dziś na wcześniejszym etapie rozwoju rynku niż Europa Zachodnia, co z jednej strony oznacza większe wyzwania systemowe, ale z drugiej – znacznie większy potencjał wzrostu. Skala niedoboru nowoczesnej infrastruktury, przy jednoczesnym dynamicznym starzeniu się społeczeństwa, będzie w kolejnych latach prowadzić do stopniowej profesjonalizacji rynku i wzrostu znaczenia operatorów prywatnych. Widzimy już pierwsze oznaki tego procesu – rosnące zainteresowanie inwestorów, większą aktywność transakcyjną oraz stopniowe budowanie platform operatorskich. W dłuższej perspektywie Polska </w:t>
      </w:r>
      <w:r w:rsidR="00915B47" w:rsidRPr="00915B47">
        <w:rPr>
          <w:i/>
          <w:iCs/>
          <w:sz w:val="20"/>
          <w:szCs w:val="20"/>
        </w:rPr>
        <w:lastRenderedPageBreak/>
        <w:t>może stać się jednym z kluczowych rynków</w:t>
      </w:r>
      <w:r w:rsidR="00915B47" w:rsidRPr="00915B47">
        <w:rPr>
          <w:b/>
          <w:bCs/>
          <w:i/>
          <w:iCs/>
          <w:sz w:val="20"/>
          <w:szCs w:val="20"/>
        </w:rPr>
        <w:t xml:space="preserve"> </w:t>
      </w:r>
      <w:r w:rsidR="00915B47" w:rsidRPr="00915B47">
        <w:rPr>
          <w:i/>
          <w:iCs/>
          <w:sz w:val="20"/>
          <w:szCs w:val="20"/>
        </w:rPr>
        <w:t>wzrostowych w Europie w tym segmencie</w:t>
      </w:r>
      <w:r w:rsidR="00915B47" w:rsidRPr="00915B47">
        <w:rPr>
          <w:sz w:val="20"/>
          <w:szCs w:val="20"/>
        </w:rPr>
        <w:t xml:space="preserve"> – mówi</w:t>
      </w:r>
      <w:r w:rsidR="00915B47" w:rsidRPr="00915B47">
        <w:rPr>
          <w:b/>
          <w:bCs/>
          <w:sz w:val="20"/>
          <w:szCs w:val="20"/>
        </w:rPr>
        <w:t xml:space="preserve"> Ewa Derlatka-Chilewicz</w:t>
      </w:r>
      <w:r>
        <w:rPr>
          <w:b/>
          <w:bCs/>
          <w:sz w:val="20"/>
          <w:szCs w:val="20"/>
        </w:rPr>
        <w:t xml:space="preserve">. </w:t>
      </w:r>
    </w:p>
    <w:p w14:paraId="6553FE6D" w14:textId="77777777" w:rsidR="00BD495A" w:rsidRDefault="00915B47" w:rsidP="004F39A0">
      <w:pPr>
        <w:spacing w:line="240" w:lineRule="auto"/>
        <w:jc w:val="both"/>
        <w:rPr>
          <w:b/>
          <w:bCs/>
          <w:sz w:val="20"/>
          <w:szCs w:val="20"/>
        </w:rPr>
      </w:pPr>
      <w:r w:rsidRPr="00915B47">
        <w:rPr>
          <w:b/>
          <w:bCs/>
          <w:sz w:val="20"/>
          <w:szCs w:val="20"/>
        </w:rPr>
        <w:t xml:space="preserve">ESG jako kluczowy kierunek rozwoju </w:t>
      </w:r>
    </w:p>
    <w:p w14:paraId="44BBFB68" w14:textId="7D0E8276" w:rsidR="00BD495A" w:rsidRPr="00BD495A" w:rsidRDefault="00915B47" w:rsidP="004F39A0">
      <w:pPr>
        <w:spacing w:line="240" w:lineRule="auto"/>
        <w:jc w:val="both"/>
        <w:rPr>
          <w:sz w:val="20"/>
          <w:szCs w:val="20"/>
        </w:rPr>
      </w:pPr>
      <w:r w:rsidRPr="00915B47">
        <w:rPr>
          <w:sz w:val="20"/>
          <w:szCs w:val="20"/>
        </w:rPr>
        <w:t xml:space="preserve">Coraz większe znaczenie </w:t>
      </w:r>
      <w:r w:rsidR="00BD495A" w:rsidRPr="00BD495A">
        <w:rPr>
          <w:sz w:val="20"/>
          <w:szCs w:val="20"/>
        </w:rPr>
        <w:t xml:space="preserve">w kształtowaniu scenariuszy rozwoju rynku domów opieki </w:t>
      </w:r>
      <w:r w:rsidRPr="00915B47">
        <w:rPr>
          <w:sz w:val="20"/>
          <w:szCs w:val="20"/>
        </w:rPr>
        <w:t xml:space="preserve">ma również aspekt środowiskowy, a kryteria ESG </w:t>
      </w:r>
      <w:r w:rsidR="000B76F4">
        <w:rPr>
          <w:sz w:val="20"/>
          <w:szCs w:val="20"/>
        </w:rPr>
        <w:t>mają wpływ na</w:t>
      </w:r>
      <w:r w:rsidRPr="00915B47">
        <w:rPr>
          <w:sz w:val="20"/>
          <w:szCs w:val="20"/>
        </w:rPr>
        <w:t xml:space="preserve"> strategie inwestycyjne i decyzje transakcyjne. Według indeksu </w:t>
      </w:r>
      <w:proofErr w:type="spellStart"/>
      <w:r w:rsidRPr="00915B47">
        <w:rPr>
          <w:sz w:val="20"/>
          <w:szCs w:val="20"/>
        </w:rPr>
        <w:t>Deepki</w:t>
      </w:r>
      <w:proofErr w:type="spellEnd"/>
      <w:r w:rsidRPr="00915B47">
        <w:rPr>
          <w:sz w:val="20"/>
          <w:szCs w:val="20"/>
        </w:rPr>
        <w:t xml:space="preserve">, </w:t>
      </w:r>
      <w:r w:rsidR="000B76F4">
        <w:rPr>
          <w:sz w:val="20"/>
          <w:szCs w:val="20"/>
        </w:rPr>
        <w:t xml:space="preserve">europejski </w:t>
      </w:r>
      <w:r w:rsidRPr="00915B47">
        <w:rPr>
          <w:sz w:val="20"/>
          <w:szCs w:val="20"/>
        </w:rPr>
        <w:t xml:space="preserve">sektor domów opieki odnotował średnią redukcję zużycia energii o 7,48% w 2023 roku, co czyni go jednym z liderów poprawy efektywności w nieruchomościach. Średnie zużycie energii pierwotnej wynosi jednak 292 </w:t>
      </w:r>
      <w:proofErr w:type="spellStart"/>
      <w:r w:rsidRPr="00915B47">
        <w:rPr>
          <w:sz w:val="20"/>
          <w:szCs w:val="20"/>
        </w:rPr>
        <w:t>kWhPE</w:t>
      </w:r>
      <w:proofErr w:type="spellEnd"/>
      <w:r w:rsidRPr="00915B47">
        <w:rPr>
          <w:sz w:val="20"/>
          <w:szCs w:val="20"/>
        </w:rPr>
        <w:t xml:space="preserve">/m², co wciąż pozostaje istotnie powyżej progu 177 </w:t>
      </w:r>
      <w:proofErr w:type="spellStart"/>
      <w:r w:rsidRPr="00915B47">
        <w:rPr>
          <w:sz w:val="20"/>
          <w:szCs w:val="20"/>
        </w:rPr>
        <w:t>kWhPE</w:t>
      </w:r>
      <w:proofErr w:type="spellEnd"/>
      <w:r w:rsidRPr="00915B47">
        <w:rPr>
          <w:sz w:val="20"/>
          <w:szCs w:val="20"/>
        </w:rPr>
        <w:t xml:space="preserve">/m² wymaganego dla najlepszych aktywów zgodnych z taksonomią UE. Największe wyzwania stoją przed rynkami we Włoszech (353 </w:t>
      </w:r>
      <w:proofErr w:type="spellStart"/>
      <w:r w:rsidRPr="00915B47">
        <w:rPr>
          <w:sz w:val="20"/>
          <w:szCs w:val="20"/>
        </w:rPr>
        <w:t>kWhPE</w:t>
      </w:r>
      <w:proofErr w:type="spellEnd"/>
      <w:r w:rsidRPr="00915B47">
        <w:rPr>
          <w:sz w:val="20"/>
          <w:szCs w:val="20"/>
        </w:rPr>
        <w:t xml:space="preserve">/m²) oraz we Francji (340 </w:t>
      </w:r>
      <w:proofErr w:type="spellStart"/>
      <w:r w:rsidRPr="00915B47">
        <w:rPr>
          <w:sz w:val="20"/>
          <w:szCs w:val="20"/>
        </w:rPr>
        <w:t>kWhPE</w:t>
      </w:r>
      <w:proofErr w:type="spellEnd"/>
      <w:r w:rsidRPr="00915B47">
        <w:rPr>
          <w:sz w:val="20"/>
          <w:szCs w:val="20"/>
        </w:rPr>
        <w:t xml:space="preserve">/m²), podczas gdy najniższe średnie zużycie odnotowano w Niemczech (225 </w:t>
      </w:r>
      <w:proofErr w:type="spellStart"/>
      <w:r w:rsidRPr="00915B47">
        <w:rPr>
          <w:sz w:val="20"/>
          <w:szCs w:val="20"/>
        </w:rPr>
        <w:t>kWhPE</w:t>
      </w:r>
      <w:proofErr w:type="spellEnd"/>
      <w:r w:rsidRPr="00915B47">
        <w:rPr>
          <w:sz w:val="20"/>
          <w:szCs w:val="20"/>
        </w:rPr>
        <w:t xml:space="preserve">/m²). </w:t>
      </w:r>
    </w:p>
    <w:p w14:paraId="23AD5277" w14:textId="2B1BF9EC" w:rsidR="00915B47" w:rsidRPr="00915B47" w:rsidRDefault="00BD495A" w:rsidP="004F39A0">
      <w:pPr>
        <w:spacing w:line="240" w:lineRule="auto"/>
        <w:jc w:val="both"/>
        <w:rPr>
          <w:b/>
          <w:bCs/>
          <w:sz w:val="20"/>
          <w:szCs w:val="20"/>
        </w:rPr>
      </w:pPr>
      <w:r w:rsidRPr="00915B47">
        <w:rPr>
          <w:sz w:val="20"/>
          <w:szCs w:val="20"/>
        </w:rPr>
        <w:t>–</w:t>
      </w:r>
      <w:r w:rsidR="000B76F4">
        <w:rPr>
          <w:sz w:val="20"/>
          <w:szCs w:val="20"/>
        </w:rPr>
        <w:t xml:space="preserve"> </w:t>
      </w:r>
      <w:r w:rsidR="00915B47" w:rsidRPr="00915B47">
        <w:rPr>
          <w:i/>
          <w:iCs/>
          <w:sz w:val="20"/>
          <w:szCs w:val="20"/>
        </w:rPr>
        <w:t>W praktyce</w:t>
      </w:r>
      <w:r w:rsidR="000B76F4">
        <w:rPr>
          <w:i/>
          <w:iCs/>
          <w:sz w:val="20"/>
          <w:szCs w:val="20"/>
        </w:rPr>
        <w:t xml:space="preserve"> wzrost wagi kwestii związanych ze zrównoważonym rozwojem w decyzjach inwestycyjnych</w:t>
      </w:r>
      <w:r w:rsidR="00915B47" w:rsidRPr="00915B47">
        <w:rPr>
          <w:i/>
          <w:iCs/>
          <w:sz w:val="20"/>
          <w:szCs w:val="20"/>
        </w:rPr>
        <w:t xml:space="preserve"> oznacza rosnące znaczenie modernizacji istniejących obiektów oraz większą selekcję aktywów już na etapie budowy portfela inwestycyjnego</w:t>
      </w:r>
      <w:r>
        <w:rPr>
          <w:i/>
          <w:iCs/>
          <w:sz w:val="20"/>
          <w:szCs w:val="20"/>
        </w:rPr>
        <w:t xml:space="preserve">. </w:t>
      </w:r>
      <w:r w:rsidRPr="00915B47">
        <w:rPr>
          <w:i/>
          <w:iCs/>
          <w:sz w:val="20"/>
          <w:szCs w:val="20"/>
        </w:rPr>
        <w:t xml:space="preserve">Operatorzy będą </w:t>
      </w:r>
      <w:r w:rsidR="004F39A0" w:rsidRPr="004F39A0">
        <w:rPr>
          <w:i/>
          <w:iCs/>
          <w:sz w:val="20"/>
          <w:szCs w:val="20"/>
        </w:rPr>
        <w:t xml:space="preserve">jednak </w:t>
      </w:r>
      <w:r w:rsidRPr="00915B47">
        <w:rPr>
          <w:i/>
          <w:iCs/>
          <w:sz w:val="20"/>
          <w:szCs w:val="20"/>
        </w:rPr>
        <w:t xml:space="preserve">musieli zmierzyć się z podwyższonymi kosztami operacyjnymi oraz rosnącą presją regulacyjną, przy czym zdolność do poprawy efektywności </w:t>
      </w:r>
      <w:r w:rsidR="004F39A0" w:rsidRPr="004F39A0">
        <w:rPr>
          <w:i/>
          <w:iCs/>
          <w:sz w:val="20"/>
          <w:szCs w:val="20"/>
        </w:rPr>
        <w:t>kosztowej</w:t>
      </w:r>
      <w:r w:rsidRPr="00915B47">
        <w:rPr>
          <w:i/>
          <w:iCs/>
          <w:sz w:val="20"/>
          <w:szCs w:val="20"/>
        </w:rPr>
        <w:t xml:space="preserve"> będzie kluczowa dla ich pozycji rynkowej. Jednocześnie silny popyt demograficzny oraz strukturalny niedobór nowoczesnej, przyszłościowej infrastruktury będą nadal stanowić fundament długoterminowej atrakcyjności sektora dla inwestorów instytucjonalnych</w:t>
      </w:r>
      <w:r w:rsidR="000B76F4">
        <w:rPr>
          <w:i/>
          <w:iCs/>
          <w:sz w:val="20"/>
          <w:szCs w:val="20"/>
        </w:rPr>
        <w:t>. W Polsce, z uwagi na punkt w rozwoju rynku, w którym się znajdujemy, mamy szansę na budowę nowoczesnej, dostosowanej do wymogów ESG, bazy domów opieki dla seniorów</w:t>
      </w:r>
      <w:r w:rsidR="00915B47" w:rsidRPr="00915B47">
        <w:rPr>
          <w:i/>
          <w:iCs/>
          <w:sz w:val="20"/>
          <w:szCs w:val="20"/>
        </w:rPr>
        <w:t xml:space="preserve"> –</w:t>
      </w:r>
      <w:r w:rsidR="00915B47" w:rsidRPr="00915B47">
        <w:rPr>
          <w:sz w:val="20"/>
          <w:szCs w:val="20"/>
        </w:rPr>
        <w:t xml:space="preserve"> </w:t>
      </w:r>
      <w:r w:rsidR="004F39A0">
        <w:rPr>
          <w:sz w:val="20"/>
          <w:szCs w:val="20"/>
        </w:rPr>
        <w:t>podsumowuje</w:t>
      </w:r>
      <w:r w:rsidR="00915B47" w:rsidRPr="00915B4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Katarzyna Lipk</w:t>
      </w:r>
      <w:r w:rsidR="00F03728">
        <w:rPr>
          <w:b/>
          <w:bCs/>
          <w:sz w:val="20"/>
          <w:szCs w:val="20"/>
        </w:rPr>
        <w:t>a.</w:t>
      </w:r>
    </w:p>
    <w:p w14:paraId="589E2225" w14:textId="77777777" w:rsidR="00747E51" w:rsidRPr="00D62796" w:rsidRDefault="00747E51" w:rsidP="00747E51">
      <w:pPr>
        <w:rPr>
          <w:sz w:val="20"/>
          <w:szCs w:val="20"/>
        </w:rPr>
      </w:pPr>
    </w:p>
    <w:p w14:paraId="00567897" w14:textId="77777777" w:rsidR="00747E51" w:rsidRPr="00D62796" w:rsidRDefault="00747E51" w:rsidP="00AC62A5">
      <w:pPr>
        <w:jc w:val="center"/>
        <w:rPr>
          <w:sz w:val="20"/>
          <w:szCs w:val="20"/>
        </w:rPr>
      </w:pPr>
    </w:p>
    <w:p w14:paraId="6C7874CE" w14:textId="56E09239" w:rsidR="00AC62A5" w:rsidRPr="00AF11EE" w:rsidRDefault="00AC62A5" w:rsidP="00AC62A5">
      <w:pPr>
        <w:jc w:val="center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en-US"/>
        </w:rPr>
        <w:t xml:space="preserve">- </w:t>
      </w:r>
      <w:r w:rsidRPr="004E5A7E">
        <w:rPr>
          <w:rFonts w:eastAsia="Times New Roman"/>
          <w:b/>
          <w:bCs/>
          <w:sz w:val="16"/>
          <w:szCs w:val="16"/>
          <w:lang w:eastAsia="en-US"/>
        </w:rPr>
        <w:t xml:space="preserve">KONIEC </w:t>
      </w:r>
      <w:r>
        <w:rPr>
          <w:rFonts w:eastAsia="Times New Roman"/>
          <w:b/>
          <w:bCs/>
          <w:sz w:val="16"/>
          <w:szCs w:val="16"/>
          <w:lang w:eastAsia="en-US"/>
        </w:rPr>
        <w:t>-</w:t>
      </w:r>
    </w:p>
    <w:p w14:paraId="330F4936" w14:textId="77777777" w:rsidR="00AC62A5" w:rsidRPr="00CE1EF8" w:rsidRDefault="00AC62A5" w:rsidP="008C6651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</w:p>
    <w:p w14:paraId="482909FA" w14:textId="239325B7" w:rsidR="004B3D1A" w:rsidRPr="00AC62A5" w:rsidRDefault="004B3D1A" w:rsidP="00AC62A5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7E6CDD">
        <w:rPr>
          <w:b/>
          <w:sz w:val="16"/>
          <w:szCs w:val="16"/>
        </w:rPr>
        <w:t>O Cushman &amp; Wakefiel</w:t>
      </w:r>
      <w:r w:rsidR="00AC6DF8" w:rsidRPr="007E6CDD">
        <w:rPr>
          <w:b/>
          <w:sz w:val="16"/>
          <w:szCs w:val="16"/>
        </w:rPr>
        <w:t>d</w:t>
      </w:r>
    </w:p>
    <w:p w14:paraId="09B0680F" w14:textId="77777777" w:rsidR="00A00486" w:rsidRDefault="00A00486" w:rsidP="00A0048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en-GB"/>
        </w:rPr>
      </w:pPr>
      <w:r w:rsidRPr="00367FE7">
        <w:rPr>
          <w:rFonts w:ascii="Arial" w:hAnsi="Arial" w:cs="Arial"/>
          <w:sz w:val="18"/>
          <w:szCs w:val="18"/>
          <w:lang w:val="pl-PL"/>
        </w:rPr>
        <w:t>Cushman &amp; Wakefield (NYSE: CWK) jest wiodącą na świecie firmą świadczącą usługi na rynku nieruchomości komercyjnych na rzecz najemców i inwestorów. Zatrudnia ok. 53 tys. pracowników w ponad 350 biurach i niemal 60 krajach na całym świecie. W 2025 roku jej przychody wyniosły 10,3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</w:t>
      </w:r>
      <w:r w:rsidRPr="00367FE7">
        <w:rPr>
          <w:rFonts w:ascii="Arial" w:hAnsi="Arial" w:cs="Arial"/>
          <w:i/>
          <w:iCs/>
          <w:sz w:val="18"/>
          <w:szCs w:val="18"/>
          <w:lang w:val="pl-PL"/>
        </w:rPr>
        <w:t> </w:t>
      </w:r>
      <w:proofErr w:type="spellStart"/>
      <w:r w:rsidRPr="00367FE7">
        <w:rPr>
          <w:rFonts w:ascii="Arial" w:hAnsi="Arial" w:cs="Arial"/>
          <w:i/>
          <w:iCs/>
          <w:sz w:val="18"/>
          <w:szCs w:val="18"/>
          <w:lang w:val="pl-PL"/>
        </w:rPr>
        <w:t>Better</w:t>
      </w:r>
      <w:proofErr w:type="spellEnd"/>
      <w:r w:rsidRPr="00367FE7"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proofErr w:type="spellStart"/>
      <w:r w:rsidRPr="00367FE7">
        <w:rPr>
          <w:rFonts w:ascii="Arial" w:hAnsi="Arial" w:cs="Arial"/>
          <w:i/>
          <w:iCs/>
          <w:sz w:val="18"/>
          <w:szCs w:val="18"/>
          <w:lang w:val="pl-PL"/>
        </w:rPr>
        <w:t>never</w:t>
      </w:r>
      <w:proofErr w:type="spellEnd"/>
      <w:r w:rsidRPr="00367FE7"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proofErr w:type="spellStart"/>
      <w:r w:rsidRPr="00367FE7">
        <w:rPr>
          <w:rFonts w:ascii="Arial" w:hAnsi="Arial" w:cs="Arial"/>
          <w:i/>
          <w:iCs/>
          <w:sz w:val="18"/>
          <w:szCs w:val="18"/>
          <w:lang w:val="pl-PL"/>
        </w:rPr>
        <w:t>settles</w:t>
      </w:r>
      <w:proofErr w:type="spellEnd"/>
      <w:r w:rsidRPr="00367FE7">
        <w:rPr>
          <w:rFonts w:ascii="Arial" w:hAnsi="Arial" w:cs="Arial"/>
          <w:sz w:val="18"/>
          <w:szCs w:val="18"/>
          <w:lang w:val="pl-PL"/>
        </w:rPr>
        <w:t xml:space="preserve"> Cushman &amp; Wakefield otrzymuje wiele wyróżnień oraz nagród w konkursach branżowych i biznesowych.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Dodatkowe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informacje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na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stronie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> </w:t>
      </w:r>
      <w:hyperlink r:id="rId11" w:tgtFrame="_blank" w:history="1">
        <w:r w:rsidRPr="00367FE7">
          <w:rPr>
            <w:rStyle w:val="Hipercze"/>
            <w:rFonts w:eastAsia="Arial"/>
            <w:sz w:val="18"/>
            <w:szCs w:val="18"/>
            <w:lang w:val="en-GB"/>
          </w:rPr>
          <w:t>www.cushmanwakefield.com</w:t>
        </w:r>
      </w:hyperlink>
      <w:r w:rsidRPr="00367FE7">
        <w:rPr>
          <w:rFonts w:ascii="Arial" w:hAnsi="Arial" w:cs="Arial"/>
          <w:sz w:val="18"/>
          <w:szCs w:val="18"/>
          <w:lang w:val="en-GB"/>
        </w:rPr>
        <w:t>.</w:t>
      </w:r>
    </w:p>
    <w:p w14:paraId="64A83442" w14:textId="5CD6CB13" w:rsidR="00BC2537" w:rsidRPr="00AF11EE" w:rsidRDefault="00BC2537" w:rsidP="0017521E">
      <w:pPr>
        <w:jc w:val="center"/>
        <w:rPr>
          <w:sz w:val="16"/>
          <w:szCs w:val="16"/>
        </w:rPr>
      </w:pPr>
    </w:p>
    <w:sectPr w:rsidR="00BC2537" w:rsidRPr="00AF11EE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6A71C" w14:textId="77777777" w:rsidR="00680232" w:rsidRDefault="00680232">
      <w:pPr>
        <w:spacing w:after="0" w:line="240" w:lineRule="auto"/>
      </w:pPr>
      <w:r>
        <w:separator/>
      </w:r>
    </w:p>
  </w:endnote>
  <w:endnote w:type="continuationSeparator" w:id="0">
    <w:p w14:paraId="54B94039" w14:textId="77777777" w:rsidR="00680232" w:rsidRDefault="00680232">
      <w:pPr>
        <w:spacing w:after="0" w:line="240" w:lineRule="auto"/>
      </w:pPr>
      <w:r>
        <w:continuationSeparator/>
      </w:r>
    </w:p>
  </w:endnote>
  <w:endnote w:type="continuationNotice" w:id="1">
    <w:p w14:paraId="282A83C4" w14:textId="77777777" w:rsidR="00680232" w:rsidRDefault="006802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77777777" w:rsidR="00025C81" w:rsidRPr="00C8277A" w:rsidRDefault="001A4929" w:rsidP="00B924E3">
          <w:pPr>
            <w:pStyle w:val="Nagwek2"/>
            <w:rPr>
              <w:rFonts w:ascii="Arial" w:hAnsi="Arial" w:cs="Arial"/>
              <w:color w:val="000000" w:themeColor="text1"/>
            </w:rPr>
          </w:pPr>
          <w:r w:rsidRPr="00C8277A">
            <w:rPr>
              <w:rFonts w:ascii="Arial" w:hAnsi="Arial" w:cs="Arial"/>
              <w:color w:val="000000" w:themeColor="text1"/>
            </w:rPr>
            <w:t>Dodatkowe informacje:</w:t>
          </w:r>
        </w:p>
      </w:tc>
    </w:tr>
    <w:tr w:rsidR="00C8277A" w:rsidRPr="00F03728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10095" w:type="dxa"/>
            <w:tblLayout w:type="fixed"/>
            <w:tblLook w:val="04A0" w:firstRow="1" w:lastRow="0" w:firstColumn="1" w:lastColumn="0" w:noHBand="0" w:noVBand="1"/>
          </w:tblPr>
          <w:tblGrid>
            <w:gridCol w:w="3467"/>
            <w:gridCol w:w="3763"/>
            <w:gridCol w:w="2865"/>
          </w:tblGrid>
          <w:tr w:rsidR="00C8277A" w:rsidRPr="00F03728" w14:paraId="73319B5E" w14:textId="77777777" w:rsidTr="00265F1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67" w:type="dxa"/>
              </w:tcPr>
              <w:tbl>
                <w:tblPr>
                  <w:tblStyle w:val="Tabela-Siatka"/>
                  <w:tblW w:w="24344" w:type="dxa"/>
                  <w:tblInd w:w="2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  <w:gridCol w:w="6086"/>
                  <w:gridCol w:w="6086"/>
                </w:tblGrid>
                <w:tr w:rsidR="00C8277A" w:rsidRPr="00F03728" w14:paraId="32B5F073" w14:textId="77777777" w:rsidTr="00B77D91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025C81" w:rsidRPr="009D1ABC" w:rsidRDefault="00AF11E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Karolina Samczyńska-</w:t>
                      </w:r>
                      <w:proofErr w:type="spellStart"/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Fiślak</w:t>
                      </w:r>
                      <w:proofErr w:type="spellEnd"/>
                    </w:p>
                    <w:p w14:paraId="03FB117E" w14:textId="77777777" w:rsidR="00025C81" w:rsidRPr="009D1ABC" w:rsidRDefault="001A4929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9D1ABC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Cushman &amp; Wakefield </w:t>
                      </w:r>
                    </w:p>
                    <w:p w14:paraId="51DAB7AF" w14:textId="799868C8" w:rsidR="00025C81" w:rsidRPr="009D1ABC" w:rsidRDefault="001A4929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</w:rPr>
                      </w:pPr>
                      <w:r w:rsidRPr="009D1ABC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Tel: + 48 22 820 20 20; 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691</w:t>
                      </w:r>
                      <w:r w:rsid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 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060</w:t>
                      </w:r>
                      <w:r w:rsid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 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202</w:t>
                      </w:r>
                    </w:p>
                    <w:p w14:paraId="4EC59528" w14:textId="77777777" w:rsidR="00025C81" w:rsidRPr="009D1ABC" w:rsidRDefault="001A4929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proofErr w:type="spellStart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>e-mail</w:t>
                      </w:r>
                      <w:proofErr w:type="spellEnd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: </w:t>
                      </w:r>
                      <w:hyperlink r:id="rId1" w:history="1">
                        <w:r w:rsidRPr="009D1ABC">
                          <w:rPr>
                            <w:rStyle w:val="Hyperlink0"/>
                            <w:lang w:val="de-AT"/>
                          </w:rPr>
                          <w:t>media.poland@cushwake.pl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0CF7FE8B" w14:textId="77777777" w:rsidR="00025C81" w:rsidRPr="009D1ABC" w:rsidRDefault="00025C81" w:rsidP="00B924E3">
                      <w:pPr>
                        <w:pStyle w:val="ContactDetail"/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20ECDA43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397E05EC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3763" w:type="dxa"/>
              </w:tcPr>
              <w:p w14:paraId="4ED69CDE" w14:textId="77777777" w:rsidR="00025C81" w:rsidRPr="007B2741" w:rsidRDefault="00025C81" w:rsidP="00580984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en-US"/>
                  </w:rPr>
                </w:pPr>
              </w:p>
            </w:tc>
            <w:tc>
              <w:tcPr>
                <w:tcW w:w="2865" w:type="dxa"/>
              </w:tcPr>
              <w:p w14:paraId="1A4CBD3A" w14:textId="77777777" w:rsidR="00025C81" w:rsidRPr="007B2741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</w:p>
              <w:p w14:paraId="0D0425FA" w14:textId="77777777" w:rsidR="00025C81" w:rsidRPr="007B2741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en-US"/>
                  </w:rPr>
                </w:pPr>
              </w:p>
            </w:tc>
          </w:tr>
        </w:tbl>
        <w:p w14:paraId="51226427" w14:textId="794B06BC" w:rsidR="00025C81" w:rsidRPr="007B2741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en-US"/>
            </w:rPr>
          </w:pPr>
        </w:p>
      </w:tc>
    </w:tr>
  </w:tbl>
  <w:p w14:paraId="6A6BD428" w14:textId="77777777" w:rsidR="00025C81" w:rsidRPr="007B2741" w:rsidRDefault="00025C81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Nagwek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>Media Contact: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F03728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hyperlink r:id="rId1" w:history="1">
            <w:r w:rsidRPr="00D4241D">
              <w:rPr>
                <w:rStyle w:val="Hipercze"/>
                <w:sz w:val="18"/>
                <w:szCs w:val="18"/>
                <w:lang w:val="en-GB"/>
              </w:rPr>
              <w:t>first.last@cushwake.com</w:t>
            </w:r>
          </w:hyperlink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40588" w14:textId="77777777" w:rsidR="00680232" w:rsidRDefault="00680232">
      <w:pPr>
        <w:spacing w:after="0" w:line="240" w:lineRule="auto"/>
      </w:pPr>
      <w:r>
        <w:separator/>
      </w:r>
    </w:p>
  </w:footnote>
  <w:footnote w:type="continuationSeparator" w:id="0">
    <w:p w14:paraId="5035B7A1" w14:textId="77777777" w:rsidR="00680232" w:rsidRDefault="00680232">
      <w:pPr>
        <w:spacing w:after="0" w:line="240" w:lineRule="auto"/>
      </w:pPr>
      <w:r>
        <w:continuationSeparator/>
      </w:r>
    </w:p>
  </w:footnote>
  <w:footnote w:type="continuationNotice" w:id="1">
    <w:p w14:paraId="22A0AA06" w14:textId="77777777" w:rsidR="00680232" w:rsidRDefault="006802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78689">
    <w:abstractNumId w:val="3"/>
  </w:num>
  <w:num w:numId="2" w16cid:durableId="1580141190">
    <w:abstractNumId w:val="0"/>
  </w:num>
  <w:num w:numId="3" w16cid:durableId="2049640316">
    <w:abstractNumId w:val="2"/>
  </w:num>
  <w:num w:numId="4" w16cid:durableId="2116631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3988"/>
    <w:rsid w:val="00004DE1"/>
    <w:rsid w:val="00005FD5"/>
    <w:rsid w:val="00007243"/>
    <w:rsid w:val="00013F59"/>
    <w:rsid w:val="00014ACA"/>
    <w:rsid w:val="000163D4"/>
    <w:rsid w:val="000203A2"/>
    <w:rsid w:val="000251E4"/>
    <w:rsid w:val="00025C81"/>
    <w:rsid w:val="00027F57"/>
    <w:rsid w:val="0003245E"/>
    <w:rsid w:val="00040FBF"/>
    <w:rsid w:val="00044C5B"/>
    <w:rsid w:val="0005438E"/>
    <w:rsid w:val="000666EE"/>
    <w:rsid w:val="000669E6"/>
    <w:rsid w:val="00067FD0"/>
    <w:rsid w:val="000700E2"/>
    <w:rsid w:val="000720F5"/>
    <w:rsid w:val="0008371E"/>
    <w:rsid w:val="00083F43"/>
    <w:rsid w:val="00086C80"/>
    <w:rsid w:val="0008772D"/>
    <w:rsid w:val="0009018C"/>
    <w:rsid w:val="00092C27"/>
    <w:rsid w:val="00093540"/>
    <w:rsid w:val="00096548"/>
    <w:rsid w:val="000A54A7"/>
    <w:rsid w:val="000A622E"/>
    <w:rsid w:val="000B142D"/>
    <w:rsid w:val="000B29DE"/>
    <w:rsid w:val="000B2DCC"/>
    <w:rsid w:val="000B57CB"/>
    <w:rsid w:val="000B76F4"/>
    <w:rsid w:val="000C1BB6"/>
    <w:rsid w:val="000C30AD"/>
    <w:rsid w:val="000C4210"/>
    <w:rsid w:val="000C4280"/>
    <w:rsid w:val="000C4294"/>
    <w:rsid w:val="000C585C"/>
    <w:rsid w:val="000C7645"/>
    <w:rsid w:val="000D4656"/>
    <w:rsid w:val="000D5790"/>
    <w:rsid w:val="000D5FED"/>
    <w:rsid w:val="000D68FD"/>
    <w:rsid w:val="000D7839"/>
    <w:rsid w:val="000E0EAC"/>
    <w:rsid w:val="000E71D0"/>
    <w:rsid w:val="000F64E0"/>
    <w:rsid w:val="000F7964"/>
    <w:rsid w:val="001013AF"/>
    <w:rsid w:val="001062D1"/>
    <w:rsid w:val="001100C1"/>
    <w:rsid w:val="00111135"/>
    <w:rsid w:val="001141D8"/>
    <w:rsid w:val="001146DD"/>
    <w:rsid w:val="00114AF8"/>
    <w:rsid w:val="0011559A"/>
    <w:rsid w:val="0012061A"/>
    <w:rsid w:val="00122668"/>
    <w:rsid w:val="00124F62"/>
    <w:rsid w:val="00132CB9"/>
    <w:rsid w:val="00132F07"/>
    <w:rsid w:val="00140D8B"/>
    <w:rsid w:val="00144415"/>
    <w:rsid w:val="00150F3F"/>
    <w:rsid w:val="00156F9C"/>
    <w:rsid w:val="0016097B"/>
    <w:rsid w:val="001635F6"/>
    <w:rsid w:val="00166861"/>
    <w:rsid w:val="00166F71"/>
    <w:rsid w:val="00167436"/>
    <w:rsid w:val="00174EBA"/>
    <w:rsid w:val="0017521E"/>
    <w:rsid w:val="00175FB4"/>
    <w:rsid w:val="00182C4F"/>
    <w:rsid w:val="00185967"/>
    <w:rsid w:val="0018688B"/>
    <w:rsid w:val="00190FB3"/>
    <w:rsid w:val="00196E5B"/>
    <w:rsid w:val="001A4929"/>
    <w:rsid w:val="001A56D9"/>
    <w:rsid w:val="001A70AD"/>
    <w:rsid w:val="001B5F5F"/>
    <w:rsid w:val="001B5FA0"/>
    <w:rsid w:val="001B6640"/>
    <w:rsid w:val="001B7AE3"/>
    <w:rsid w:val="001C0591"/>
    <w:rsid w:val="001C7005"/>
    <w:rsid w:val="001D08F3"/>
    <w:rsid w:val="001D401E"/>
    <w:rsid w:val="001D52B7"/>
    <w:rsid w:val="001E06FB"/>
    <w:rsid w:val="001E0E42"/>
    <w:rsid w:val="001E16E8"/>
    <w:rsid w:val="001E3C79"/>
    <w:rsid w:val="001E4E45"/>
    <w:rsid w:val="001E56EB"/>
    <w:rsid w:val="001F406E"/>
    <w:rsid w:val="001F7E37"/>
    <w:rsid w:val="00204C52"/>
    <w:rsid w:val="00206001"/>
    <w:rsid w:val="002117B9"/>
    <w:rsid w:val="002125FE"/>
    <w:rsid w:val="00212E0F"/>
    <w:rsid w:val="00217577"/>
    <w:rsid w:val="00217BD6"/>
    <w:rsid w:val="002240B1"/>
    <w:rsid w:val="00225B1A"/>
    <w:rsid w:val="00236B04"/>
    <w:rsid w:val="002426EF"/>
    <w:rsid w:val="0024400C"/>
    <w:rsid w:val="00246115"/>
    <w:rsid w:val="00251824"/>
    <w:rsid w:val="00251F00"/>
    <w:rsid w:val="00254581"/>
    <w:rsid w:val="00257ED3"/>
    <w:rsid w:val="0026004F"/>
    <w:rsid w:val="00260C7D"/>
    <w:rsid w:val="00261AA0"/>
    <w:rsid w:val="002633C5"/>
    <w:rsid w:val="00265F1D"/>
    <w:rsid w:val="0026615D"/>
    <w:rsid w:val="00266AA6"/>
    <w:rsid w:val="002730A2"/>
    <w:rsid w:val="00275982"/>
    <w:rsid w:val="00275F1E"/>
    <w:rsid w:val="00275FDC"/>
    <w:rsid w:val="0028046B"/>
    <w:rsid w:val="00281BFB"/>
    <w:rsid w:val="0028223D"/>
    <w:rsid w:val="00282FB7"/>
    <w:rsid w:val="00284E92"/>
    <w:rsid w:val="00285282"/>
    <w:rsid w:val="00286DC7"/>
    <w:rsid w:val="002915E5"/>
    <w:rsid w:val="00293086"/>
    <w:rsid w:val="00293E07"/>
    <w:rsid w:val="00293ED2"/>
    <w:rsid w:val="00295599"/>
    <w:rsid w:val="002958EB"/>
    <w:rsid w:val="0029652C"/>
    <w:rsid w:val="002967FF"/>
    <w:rsid w:val="0029787D"/>
    <w:rsid w:val="002A197E"/>
    <w:rsid w:val="002A37FC"/>
    <w:rsid w:val="002A43B7"/>
    <w:rsid w:val="002B212F"/>
    <w:rsid w:val="002B381B"/>
    <w:rsid w:val="002B4716"/>
    <w:rsid w:val="002B6B39"/>
    <w:rsid w:val="002C06D5"/>
    <w:rsid w:val="002C1DFF"/>
    <w:rsid w:val="002C42A4"/>
    <w:rsid w:val="002C480C"/>
    <w:rsid w:val="002C5887"/>
    <w:rsid w:val="002D0B42"/>
    <w:rsid w:val="002D4EC6"/>
    <w:rsid w:val="002D5829"/>
    <w:rsid w:val="002D7779"/>
    <w:rsid w:val="002E0BB0"/>
    <w:rsid w:val="002E1729"/>
    <w:rsid w:val="002E2D30"/>
    <w:rsid w:val="002E7F16"/>
    <w:rsid w:val="002F0666"/>
    <w:rsid w:val="002F08E1"/>
    <w:rsid w:val="002F0F48"/>
    <w:rsid w:val="002F447F"/>
    <w:rsid w:val="00300BC4"/>
    <w:rsid w:val="00302886"/>
    <w:rsid w:val="00306BFA"/>
    <w:rsid w:val="00310D2A"/>
    <w:rsid w:val="00314E90"/>
    <w:rsid w:val="0032157F"/>
    <w:rsid w:val="0032389F"/>
    <w:rsid w:val="00324261"/>
    <w:rsid w:val="003278D0"/>
    <w:rsid w:val="0034418D"/>
    <w:rsid w:val="00345D04"/>
    <w:rsid w:val="00345D09"/>
    <w:rsid w:val="00346CB1"/>
    <w:rsid w:val="0035396B"/>
    <w:rsid w:val="00364117"/>
    <w:rsid w:val="00371AFD"/>
    <w:rsid w:val="00374DB8"/>
    <w:rsid w:val="00385CB8"/>
    <w:rsid w:val="0038604F"/>
    <w:rsid w:val="00387CAF"/>
    <w:rsid w:val="003936DF"/>
    <w:rsid w:val="003A24D4"/>
    <w:rsid w:val="003A693E"/>
    <w:rsid w:val="003A70E2"/>
    <w:rsid w:val="003B2048"/>
    <w:rsid w:val="003B2BE6"/>
    <w:rsid w:val="003B3560"/>
    <w:rsid w:val="003B78C7"/>
    <w:rsid w:val="003C1BBA"/>
    <w:rsid w:val="003C1E58"/>
    <w:rsid w:val="003C5AF3"/>
    <w:rsid w:val="003C5B29"/>
    <w:rsid w:val="003C791A"/>
    <w:rsid w:val="003E003A"/>
    <w:rsid w:val="003E0201"/>
    <w:rsid w:val="003E3F99"/>
    <w:rsid w:val="003E406F"/>
    <w:rsid w:val="003F49A8"/>
    <w:rsid w:val="003F4AAD"/>
    <w:rsid w:val="003F572E"/>
    <w:rsid w:val="003F60EA"/>
    <w:rsid w:val="003F7D86"/>
    <w:rsid w:val="004001BC"/>
    <w:rsid w:val="00403626"/>
    <w:rsid w:val="00410D62"/>
    <w:rsid w:val="004112C0"/>
    <w:rsid w:val="0042183C"/>
    <w:rsid w:val="0042255F"/>
    <w:rsid w:val="004329C4"/>
    <w:rsid w:val="00432ACA"/>
    <w:rsid w:val="00433A40"/>
    <w:rsid w:val="0043767F"/>
    <w:rsid w:val="00440D65"/>
    <w:rsid w:val="00443EFE"/>
    <w:rsid w:val="00451C25"/>
    <w:rsid w:val="00452FD6"/>
    <w:rsid w:val="00454222"/>
    <w:rsid w:val="00454311"/>
    <w:rsid w:val="00455C93"/>
    <w:rsid w:val="00457545"/>
    <w:rsid w:val="00461B2F"/>
    <w:rsid w:val="00461F73"/>
    <w:rsid w:val="00462B62"/>
    <w:rsid w:val="00464434"/>
    <w:rsid w:val="00464B72"/>
    <w:rsid w:val="00466300"/>
    <w:rsid w:val="00466ABC"/>
    <w:rsid w:val="004678CA"/>
    <w:rsid w:val="00471A22"/>
    <w:rsid w:val="00475534"/>
    <w:rsid w:val="00482366"/>
    <w:rsid w:val="004876E8"/>
    <w:rsid w:val="004900F3"/>
    <w:rsid w:val="00490581"/>
    <w:rsid w:val="00491EA1"/>
    <w:rsid w:val="0049367E"/>
    <w:rsid w:val="00497908"/>
    <w:rsid w:val="004A01E8"/>
    <w:rsid w:val="004A5B66"/>
    <w:rsid w:val="004B0979"/>
    <w:rsid w:val="004B1245"/>
    <w:rsid w:val="004B3D1A"/>
    <w:rsid w:val="004B5A43"/>
    <w:rsid w:val="004C2C37"/>
    <w:rsid w:val="004C2E88"/>
    <w:rsid w:val="004D07CC"/>
    <w:rsid w:val="004D1450"/>
    <w:rsid w:val="004D16D5"/>
    <w:rsid w:val="004D62D2"/>
    <w:rsid w:val="004D68AD"/>
    <w:rsid w:val="004D6A3C"/>
    <w:rsid w:val="004D7C3B"/>
    <w:rsid w:val="004E0237"/>
    <w:rsid w:val="004E0A16"/>
    <w:rsid w:val="004E46E9"/>
    <w:rsid w:val="004E5A7E"/>
    <w:rsid w:val="004E6628"/>
    <w:rsid w:val="004E7185"/>
    <w:rsid w:val="004F39A0"/>
    <w:rsid w:val="004F64D6"/>
    <w:rsid w:val="00502E72"/>
    <w:rsid w:val="0050412F"/>
    <w:rsid w:val="00505B70"/>
    <w:rsid w:val="00506665"/>
    <w:rsid w:val="005100DD"/>
    <w:rsid w:val="00512047"/>
    <w:rsid w:val="00512ADF"/>
    <w:rsid w:val="0051329D"/>
    <w:rsid w:val="005136A0"/>
    <w:rsid w:val="0051644B"/>
    <w:rsid w:val="00517B59"/>
    <w:rsid w:val="00520076"/>
    <w:rsid w:val="005229AB"/>
    <w:rsid w:val="005318E2"/>
    <w:rsid w:val="00531CF4"/>
    <w:rsid w:val="00531D93"/>
    <w:rsid w:val="005323BE"/>
    <w:rsid w:val="005352C0"/>
    <w:rsid w:val="005369D7"/>
    <w:rsid w:val="00537747"/>
    <w:rsid w:val="00541459"/>
    <w:rsid w:val="00541512"/>
    <w:rsid w:val="00541D5B"/>
    <w:rsid w:val="00552477"/>
    <w:rsid w:val="00552FCF"/>
    <w:rsid w:val="0055434C"/>
    <w:rsid w:val="00561829"/>
    <w:rsid w:val="005631C3"/>
    <w:rsid w:val="00566AB7"/>
    <w:rsid w:val="00577005"/>
    <w:rsid w:val="00580984"/>
    <w:rsid w:val="00580A25"/>
    <w:rsid w:val="0058421C"/>
    <w:rsid w:val="00585A4F"/>
    <w:rsid w:val="005860D9"/>
    <w:rsid w:val="005878DD"/>
    <w:rsid w:val="00591DBB"/>
    <w:rsid w:val="00592299"/>
    <w:rsid w:val="005A3A4C"/>
    <w:rsid w:val="005A4560"/>
    <w:rsid w:val="005B4D77"/>
    <w:rsid w:val="005C01D2"/>
    <w:rsid w:val="005C140E"/>
    <w:rsid w:val="005C1A2F"/>
    <w:rsid w:val="005C2765"/>
    <w:rsid w:val="005C3C3C"/>
    <w:rsid w:val="005C4360"/>
    <w:rsid w:val="005C6332"/>
    <w:rsid w:val="005C6C24"/>
    <w:rsid w:val="005C72CD"/>
    <w:rsid w:val="005D05E5"/>
    <w:rsid w:val="005D06CC"/>
    <w:rsid w:val="005D3204"/>
    <w:rsid w:val="005D4DD1"/>
    <w:rsid w:val="005D5EEB"/>
    <w:rsid w:val="005E2C9B"/>
    <w:rsid w:val="005E2EC7"/>
    <w:rsid w:val="005E36C1"/>
    <w:rsid w:val="005E49BA"/>
    <w:rsid w:val="005F709A"/>
    <w:rsid w:val="00601B86"/>
    <w:rsid w:val="006020AF"/>
    <w:rsid w:val="00603782"/>
    <w:rsid w:val="00606E7D"/>
    <w:rsid w:val="00606F29"/>
    <w:rsid w:val="00607408"/>
    <w:rsid w:val="00612A79"/>
    <w:rsid w:val="00617929"/>
    <w:rsid w:val="00624E73"/>
    <w:rsid w:val="00625117"/>
    <w:rsid w:val="00625DBC"/>
    <w:rsid w:val="00626706"/>
    <w:rsid w:val="00633DEF"/>
    <w:rsid w:val="00634853"/>
    <w:rsid w:val="00634A82"/>
    <w:rsid w:val="00635B11"/>
    <w:rsid w:val="006367C0"/>
    <w:rsid w:val="00647BF0"/>
    <w:rsid w:val="00654588"/>
    <w:rsid w:val="00655594"/>
    <w:rsid w:val="00661892"/>
    <w:rsid w:val="00661C7D"/>
    <w:rsid w:val="00662194"/>
    <w:rsid w:val="00670CB1"/>
    <w:rsid w:val="006714A0"/>
    <w:rsid w:val="00674476"/>
    <w:rsid w:val="0067480E"/>
    <w:rsid w:val="00674AAF"/>
    <w:rsid w:val="00675B1B"/>
    <w:rsid w:val="0067607F"/>
    <w:rsid w:val="00680232"/>
    <w:rsid w:val="006807CC"/>
    <w:rsid w:val="00681518"/>
    <w:rsid w:val="00682F1F"/>
    <w:rsid w:val="00683345"/>
    <w:rsid w:val="0068616F"/>
    <w:rsid w:val="00686CF4"/>
    <w:rsid w:val="0069258A"/>
    <w:rsid w:val="00695E5E"/>
    <w:rsid w:val="006A32B9"/>
    <w:rsid w:val="006B114D"/>
    <w:rsid w:val="006B2EE0"/>
    <w:rsid w:val="006B3391"/>
    <w:rsid w:val="006B635B"/>
    <w:rsid w:val="006B6EBE"/>
    <w:rsid w:val="006C3D4A"/>
    <w:rsid w:val="006C449A"/>
    <w:rsid w:val="006C62BD"/>
    <w:rsid w:val="006D189F"/>
    <w:rsid w:val="006D1EF1"/>
    <w:rsid w:val="006D68E0"/>
    <w:rsid w:val="006E2861"/>
    <w:rsid w:val="006E2DCD"/>
    <w:rsid w:val="006E5291"/>
    <w:rsid w:val="006E5816"/>
    <w:rsid w:val="006E5F0D"/>
    <w:rsid w:val="006F06A0"/>
    <w:rsid w:val="006F394D"/>
    <w:rsid w:val="007014E6"/>
    <w:rsid w:val="00703171"/>
    <w:rsid w:val="00706617"/>
    <w:rsid w:val="00706A7F"/>
    <w:rsid w:val="00710F25"/>
    <w:rsid w:val="00717182"/>
    <w:rsid w:val="00717324"/>
    <w:rsid w:val="00725B3C"/>
    <w:rsid w:val="00725E13"/>
    <w:rsid w:val="00730F22"/>
    <w:rsid w:val="007326D4"/>
    <w:rsid w:val="00736585"/>
    <w:rsid w:val="00742036"/>
    <w:rsid w:val="007434AC"/>
    <w:rsid w:val="00747126"/>
    <w:rsid w:val="00747E51"/>
    <w:rsid w:val="0075095C"/>
    <w:rsid w:val="00751E88"/>
    <w:rsid w:val="00753387"/>
    <w:rsid w:val="00754C88"/>
    <w:rsid w:val="00757A3F"/>
    <w:rsid w:val="007640FE"/>
    <w:rsid w:val="00770B4C"/>
    <w:rsid w:val="00771251"/>
    <w:rsid w:val="00773AAB"/>
    <w:rsid w:val="00775E16"/>
    <w:rsid w:val="00781238"/>
    <w:rsid w:val="00781D70"/>
    <w:rsid w:val="00782A9B"/>
    <w:rsid w:val="007838F1"/>
    <w:rsid w:val="00790531"/>
    <w:rsid w:val="00790E9B"/>
    <w:rsid w:val="00791DF5"/>
    <w:rsid w:val="0079250E"/>
    <w:rsid w:val="00792ECE"/>
    <w:rsid w:val="00792F37"/>
    <w:rsid w:val="007A354E"/>
    <w:rsid w:val="007A3CFC"/>
    <w:rsid w:val="007A6E6F"/>
    <w:rsid w:val="007B0283"/>
    <w:rsid w:val="007B1B45"/>
    <w:rsid w:val="007B20DD"/>
    <w:rsid w:val="007B2567"/>
    <w:rsid w:val="007B2741"/>
    <w:rsid w:val="007B54E0"/>
    <w:rsid w:val="007B6E2A"/>
    <w:rsid w:val="007B7606"/>
    <w:rsid w:val="007C69D0"/>
    <w:rsid w:val="007D2192"/>
    <w:rsid w:val="007D4408"/>
    <w:rsid w:val="007D74D5"/>
    <w:rsid w:val="007E6CDD"/>
    <w:rsid w:val="007F13AB"/>
    <w:rsid w:val="007F2FE9"/>
    <w:rsid w:val="007F5890"/>
    <w:rsid w:val="007F611F"/>
    <w:rsid w:val="007F65D7"/>
    <w:rsid w:val="007F7F38"/>
    <w:rsid w:val="008014DA"/>
    <w:rsid w:val="00802ECA"/>
    <w:rsid w:val="00810A93"/>
    <w:rsid w:val="00810C6C"/>
    <w:rsid w:val="0081370C"/>
    <w:rsid w:val="0081778B"/>
    <w:rsid w:val="0082036C"/>
    <w:rsid w:val="00821380"/>
    <w:rsid w:val="00824654"/>
    <w:rsid w:val="00824D18"/>
    <w:rsid w:val="0083179A"/>
    <w:rsid w:val="00831919"/>
    <w:rsid w:val="00831B7D"/>
    <w:rsid w:val="00842064"/>
    <w:rsid w:val="00842687"/>
    <w:rsid w:val="0084290C"/>
    <w:rsid w:val="00843BB8"/>
    <w:rsid w:val="0085202E"/>
    <w:rsid w:val="00856BE4"/>
    <w:rsid w:val="00865458"/>
    <w:rsid w:val="00866DDD"/>
    <w:rsid w:val="00871766"/>
    <w:rsid w:val="00872092"/>
    <w:rsid w:val="00872873"/>
    <w:rsid w:val="00874BB3"/>
    <w:rsid w:val="008753CF"/>
    <w:rsid w:val="008772B7"/>
    <w:rsid w:val="00880E20"/>
    <w:rsid w:val="00881769"/>
    <w:rsid w:val="0088277B"/>
    <w:rsid w:val="00882E1D"/>
    <w:rsid w:val="008848B1"/>
    <w:rsid w:val="00885E0C"/>
    <w:rsid w:val="00895739"/>
    <w:rsid w:val="00895809"/>
    <w:rsid w:val="00895F80"/>
    <w:rsid w:val="008972B1"/>
    <w:rsid w:val="008974F3"/>
    <w:rsid w:val="008A26A0"/>
    <w:rsid w:val="008A3A39"/>
    <w:rsid w:val="008A3F07"/>
    <w:rsid w:val="008B26B4"/>
    <w:rsid w:val="008B352B"/>
    <w:rsid w:val="008B4539"/>
    <w:rsid w:val="008B5162"/>
    <w:rsid w:val="008C14E5"/>
    <w:rsid w:val="008C390B"/>
    <w:rsid w:val="008C42CD"/>
    <w:rsid w:val="008C5675"/>
    <w:rsid w:val="008C6651"/>
    <w:rsid w:val="008D009F"/>
    <w:rsid w:val="008D1B69"/>
    <w:rsid w:val="008D4FB5"/>
    <w:rsid w:val="008E34FB"/>
    <w:rsid w:val="008E5B6C"/>
    <w:rsid w:val="008E6BA5"/>
    <w:rsid w:val="008F01FC"/>
    <w:rsid w:val="008F034B"/>
    <w:rsid w:val="008F0AAC"/>
    <w:rsid w:val="008F1B4D"/>
    <w:rsid w:val="008F2C02"/>
    <w:rsid w:val="008F2CFF"/>
    <w:rsid w:val="008F7EA7"/>
    <w:rsid w:val="00901841"/>
    <w:rsid w:val="00904E04"/>
    <w:rsid w:val="00911FF4"/>
    <w:rsid w:val="00914465"/>
    <w:rsid w:val="00915B47"/>
    <w:rsid w:val="0091784B"/>
    <w:rsid w:val="00920635"/>
    <w:rsid w:val="00920BE7"/>
    <w:rsid w:val="00921FC7"/>
    <w:rsid w:val="00927365"/>
    <w:rsid w:val="00935219"/>
    <w:rsid w:val="00940284"/>
    <w:rsid w:val="00941B66"/>
    <w:rsid w:val="00943336"/>
    <w:rsid w:val="00945854"/>
    <w:rsid w:val="00946C47"/>
    <w:rsid w:val="009522F7"/>
    <w:rsid w:val="00953475"/>
    <w:rsid w:val="00956547"/>
    <w:rsid w:val="00962A05"/>
    <w:rsid w:val="00965609"/>
    <w:rsid w:val="0096608A"/>
    <w:rsid w:val="0096799A"/>
    <w:rsid w:val="00967B91"/>
    <w:rsid w:val="00971AF5"/>
    <w:rsid w:val="0097409A"/>
    <w:rsid w:val="009743FC"/>
    <w:rsid w:val="00976C95"/>
    <w:rsid w:val="00977641"/>
    <w:rsid w:val="00977AE0"/>
    <w:rsid w:val="00981706"/>
    <w:rsid w:val="0098288E"/>
    <w:rsid w:val="00983E80"/>
    <w:rsid w:val="009902A1"/>
    <w:rsid w:val="00991BD2"/>
    <w:rsid w:val="00993D91"/>
    <w:rsid w:val="00994AF6"/>
    <w:rsid w:val="00997139"/>
    <w:rsid w:val="009A1D96"/>
    <w:rsid w:val="009A7442"/>
    <w:rsid w:val="009B0753"/>
    <w:rsid w:val="009B11D8"/>
    <w:rsid w:val="009B52EC"/>
    <w:rsid w:val="009B7F16"/>
    <w:rsid w:val="009C075D"/>
    <w:rsid w:val="009C3E62"/>
    <w:rsid w:val="009C5621"/>
    <w:rsid w:val="009C7F14"/>
    <w:rsid w:val="009D025D"/>
    <w:rsid w:val="009D233E"/>
    <w:rsid w:val="009D31EC"/>
    <w:rsid w:val="009E408E"/>
    <w:rsid w:val="009E4572"/>
    <w:rsid w:val="009E7575"/>
    <w:rsid w:val="009F15E7"/>
    <w:rsid w:val="009F196F"/>
    <w:rsid w:val="009F274E"/>
    <w:rsid w:val="009F35CD"/>
    <w:rsid w:val="009F389F"/>
    <w:rsid w:val="00A00486"/>
    <w:rsid w:val="00A0080F"/>
    <w:rsid w:val="00A06149"/>
    <w:rsid w:val="00A0629B"/>
    <w:rsid w:val="00A10255"/>
    <w:rsid w:val="00A12517"/>
    <w:rsid w:val="00A12551"/>
    <w:rsid w:val="00A12BAB"/>
    <w:rsid w:val="00A13F0B"/>
    <w:rsid w:val="00A1678D"/>
    <w:rsid w:val="00A17001"/>
    <w:rsid w:val="00A176AA"/>
    <w:rsid w:val="00A201A3"/>
    <w:rsid w:val="00A2466A"/>
    <w:rsid w:val="00A24875"/>
    <w:rsid w:val="00A27372"/>
    <w:rsid w:val="00A31C14"/>
    <w:rsid w:val="00A31F0C"/>
    <w:rsid w:val="00A32483"/>
    <w:rsid w:val="00A33E4A"/>
    <w:rsid w:val="00A344ED"/>
    <w:rsid w:val="00A425AB"/>
    <w:rsid w:val="00A4481B"/>
    <w:rsid w:val="00A44A37"/>
    <w:rsid w:val="00A47FCD"/>
    <w:rsid w:val="00A52218"/>
    <w:rsid w:val="00A54E85"/>
    <w:rsid w:val="00A54FA6"/>
    <w:rsid w:val="00A55BAF"/>
    <w:rsid w:val="00A63543"/>
    <w:rsid w:val="00A6616D"/>
    <w:rsid w:val="00A66644"/>
    <w:rsid w:val="00A669E5"/>
    <w:rsid w:val="00A714B6"/>
    <w:rsid w:val="00A73BB9"/>
    <w:rsid w:val="00A74CD5"/>
    <w:rsid w:val="00A74D49"/>
    <w:rsid w:val="00A758B5"/>
    <w:rsid w:val="00A77239"/>
    <w:rsid w:val="00A77A0A"/>
    <w:rsid w:val="00A840D5"/>
    <w:rsid w:val="00A91E08"/>
    <w:rsid w:val="00A93515"/>
    <w:rsid w:val="00A94F3D"/>
    <w:rsid w:val="00A959F1"/>
    <w:rsid w:val="00A97129"/>
    <w:rsid w:val="00A97D53"/>
    <w:rsid w:val="00AA15B2"/>
    <w:rsid w:val="00AA2003"/>
    <w:rsid w:val="00AA3E59"/>
    <w:rsid w:val="00AA69D2"/>
    <w:rsid w:val="00AB1473"/>
    <w:rsid w:val="00AB3146"/>
    <w:rsid w:val="00AB6698"/>
    <w:rsid w:val="00AB6E9C"/>
    <w:rsid w:val="00AB7DB1"/>
    <w:rsid w:val="00AC3A00"/>
    <w:rsid w:val="00AC5B79"/>
    <w:rsid w:val="00AC62A5"/>
    <w:rsid w:val="00AC6DF8"/>
    <w:rsid w:val="00AD08F0"/>
    <w:rsid w:val="00AD1D8B"/>
    <w:rsid w:val="00AD30C6"/>
    <w:rsid w:val="00AD3963"/>
    <w:rsid w:val="00AD4DD9"/>
    <w:rsid w:val="00AD7B18"/>
    <w:rsid w:val="00AF11EE"/>
    <w:rsid w:val="00AF254B"/>
    <w:rsid w:val="00AF3577"/>
    <w:rsid w:val="00B01460"/>
    <w:rsid w:val="00B0179B"/>
    <w:rsid w:val="00B022DB"/>
    <w:rsid w:val="00B045BF"/>
    <w:rsid w:val="00B077A8"/>
    <w:rsid w:val="00B133BB"/>
    <w:rsid w:val="00B14FED"/>
    <w:rsid w:val="00B15D9B"/>
    <w:rsid w:val="00B15EE3"/>
    <w:rsid w:val="00B2047D"/>
    <w:rsid w:val="00B22689"/>
    <w:rsid w:val="00B25BB3"/>
    <w:rsid w:val="00B26C09"/>
    <w:rsid w:val="00B27B61"/>
    <w:rsid w:val="00B3629E"/>
    <w:rsid w:val="00B37EEB"/>
    <w:rsid w:val="00B41663"/>
    <w:rsid w:val="00B44499"/>
    <w:rsid w:val="00B4722F"/>
    <w:rsid w:val="00B53CF6"/>
    <w:rsid w:val="00B57D96"/>
    <w:rsid w:val="00B60EBB"/>
    <w:rsid w:val="00B61A36"/>
    <w:rsid w:val="00B62C50"/>
    <w:rsid w:val="00B6594B"/>
    <w:rsid w:val="00B65DD4"/>
    <w:rsid w:val="00B6706E"/>
    <w:rsid w:val="00B70FF6"/>
    <w:rsid w:val="00B71EE8"/>
    <w:rsid w:val="00B77D91"/>
    <w:rsid w:val="00B807B3"/>
    <w:rsid w:val="00B807FC"/>
    <w:rsid w:val="00B812E5"/>
    <w:rsid w:val="00B834FC"/>
    <w:rsid w:val="00B83758"/>
    <w:rsid w:val="00B86C86"/>
    <w:rsid w:val="00B930BE"/>
    <w:rsid w:val="00B95B93"/>
    <w:rsid w:val="00B96FB6"/>
    <w:rsid w:val="00B970B4"/>
    <w:rsid w:val="00BA6FD6"/>
    <w:rsid w:val="00BB562E"/>
    <w:rsid w:val="00BB5E4C"/>
    <w:rsid w:val="00BC1E2F"/>
    <w:rsid w:val="00BC2537"/>
    <w:rsid w:val="00BC40B8"/>
    <w:rsid w:val="00BD1331"/>
    <w:rsid w:val="00BD14D7"/>
    <w:rsid w:val="00BD2944"/>
    <w:rsid w:val="00BD36A0"/>
    <w:rsid w:val="00BD495A"/>
    <w:rsid w:val="00BE0588"/>
    <w:rsid w:val="00BE1BE1"/>
    <w:rsid w:val="00BE3533"/>
    <w:rsid w:val="00BE4E4B"/>
    <w:rsid w:val="00BE65D4"/>
    <w:rsid w:val="00BE7960"/>
    <w:rsid w:val="00BF1FC1"/>
    <w:rsid w:val="00BF4150"/>
    <w:rsid w:val="00C01F9F"/>
    <w:rsid w:val="00C02E1C"/>
    <w:rsid w:val="00C0604F"/>
    <w:rsid w:val="00C06706"/>
    <w:rsid w:val="00C11029"/>
    <w:rsid w:val="00C11181"/>
    <w:rsid w:val="00C12505"/>
    <w:rsid w:val="00C166DD"/>
    <w:rsid w:val="00C22606"/>
    <w:rsid w:val="00C238C5"/>
    <w:rsid w:val="00C247D4"/>
    <w:rsid w:val="00C303DB"/>
    <w:rsid w:val="00C308E0"/>
    <w:rsid w:val="00C31642"/>
    <w:rsid w:val="00C32131"/>
    <w:rsid w:val="00C33DDD"/>
    <w:rsid w:val="00C40209"/>
    <w:rsid w:val="00C41803"/>
    <w:rsid w:val="00C45FBA"/>
    <w:rsid w:val="00C473D1"/>
    <w:rsid w:val="00C50CBE"/>
    <w:rsid w:val="00C54EBE"/>
    <w:rsid w:val="00C566FF"/>
    <w:rsid w:val="00C57B80"/>
    <w:rsid w:val="00C61185"/>
    <w:rsid w:val="00C64BA5"/>
    <w:rsid w:val="00C651A2"/>
    <w:rsid w:val="00C679F5"/>
    <w:rsid w:val="00C75D9E"/>
    <w:rsid w:val="00C80B91"/>
    <w:rsid w:val="00C8288B"/>
    <w:rsid w:val="00C84B50"/>
    <w:rsid w:val="00C85469"/>
    <w:rsid w:val="00C859F9"/>
    <w:rsid w:val="00C87432"/>
    <w:rsid w:val="00C92A7E"/>
    <w:rsid w:val="00C93DDE"/>
    <w:rsid w:val="00CA19DF"/>
    <w:rsid w:val="00CA4EB4"/>
    <w:rsid w:val="00CA7DF7"/>
    <w:rsid w:val="00CB2FB2"/>
    <w:rsid w:val="00CB3CE8"/>
    <w:rsid w:val="00CB7946"/>
    <w:rsid w:val="00CB7A18"/>
    <w:rsid w:val="00CC60E7"/>
    <w:rsid w:val="00CC7487"/>
    <w:rsid w:val="00CD1E75"/>
    <w:rsid w:val="00CD34FC"/>
    <w:rsid w:val="00CD706B"/>
    <w:rsid w:val="00CE1EF8"/>
    <w:rsid w:val="00CE213B"/>
    <w:rsid w:val="00CE2AE1"/>
    <w:rsid w:val="00CF0AA6"/>
    <w:rsid w:val="00CF0E46"/>
    <w:rsid w:val="00CF1D2A"/>
    <w:rsid w:val="00CF59BB"/>
    <w:rsid w:val="00CF5A2C"/>
    <w:rsid w:val="00CF6633"/>
    <w:rsid w:val="00D00B7B"/>
    <w:rsid w:val="00D02817"/>
    <w:rsid w:val="00D076D0"/>
    <w:rsid w:val="00D134B7"/>
    <w:rsid w:val="00D13894"/>
    <w:rsid w:val="00D17A41"/>
    <w:rsid w:val="00D20FAA"/>
    <w:rsid w:val="00D21D09"/>
    <w:rsid w:val="00D23948"/>
    <w:rsid w:val="00D27A28"/>
    <w:rsid w:val="00D30573"/>
    <w:rsid w:val="00D36A8C"/>
    <w:rsid w:val="00D428F4"/>
    <w:rsid w:val="00D43181"/>
    <w:rsid w:val="00D43DF0"/>
    <w:rsid w:val="00D44D7F"/>
    <w:rsid w:val="00D4536C"/>
    <w:rsid w:val="00D45C41"/>
    <w:rsid w:val="00D461DE"/>
    <w:rsid w:val="00D50DE5"/>
    <w:rsid w:val="00D54B27"/>
    <w:rsid w:val="00D54CC0"/>
    <w:rsid w:val="00D62796"/>
    <w:rsid w:val="00D63173"/>
    <w:rsid w:val="00D63DA8"/>
    <w:rsid w:val="00D67658"/>
    <w:rsid w:val="00D73A86"/>
    <w:rsid w:val="00D74BA3"/>
    <w:rsid w:val="00D804D2"/>
    <w:rsid w:val="00D81E2F"/>
    <w:rsid w:val="00D83060"/>
    <w:rsid w:val="00D84A2D"/>
    <w:rsid w:val="00D8749B"/>
    <w:rsid w:val="00DA4CF2"/>
    <w:rsid w:val="00DB11D4"/>
    <w:rsid w:val="00DB227F"/>
    <w:rsid w:val="00DB38FC"/>
    <w:rsid w:val="00DB61A6"/>
    <w:rsid w:val="00DC3AC1"/>
    <w:rsid w:val="00DC4D4D"/>
    <w:rsid w:val="00DC5105"/>
    <w:rsid w:val="00DD20D1"/>
    <w:rsid w:val="00DD51F8"/>
    <w:rsid w:val="00DD64C5"/>
    <w:rsid w:val="00DE14E2"/>
    <w:rsid w:val="00DE15AC"/>
    <w:rsid w:val="00DE2C36"/>
    <w:rsid w:val="00DE2F94"/>
    <w:rsid w:val="00DE3500"/>
    <w:rsid w:val="00DE4595"/>
    <w:rsid w:val="00DE6B35"/>
    <w:rsid w:val="00DE6C59"/>
    <w:rsid w:val="00DE70C2"/>
    <w:rsid w:val="00DF0675"/>
    <w:rsid w:val="00DF4FE6"/>
    <w:rsid w:val="00DF580D"/>
    <w:rsid w:val="00DF6FDA"/>
    <w:rsid w:val="00DF764B"/>
    <w:rsid w:val="00DF7E2B"/>
    <w:rsid w:val="00E05885"/>
    <w:rsid w:val="00E05CB1"/>
    <w:rsid w:val="00E10BFB"/>
    <w:rsid w:val="00E1249A"/>
    <w:rsid w:val="00E12880"/>
    <w:rsid w:val="00E14D9E"/>
    <w:rsid w:val="00E16DA6"/>
    <w:rsid w:val="00E21904"/>
    <w:rsid w:val="00E21E99"/>
    <w:rsid w:val="00E2228E"/>
    <w:rsid w:val="00E23E56"/>
    <w:rsid w:val="00E30FFC"/>
    <w:rsid w:val="00E327A1"/>
    <w:rsid w:val="00E33EF0"/>
    <w:rsid w:val="00E370BF"/>
    <w:rsid w:val="00E37CB8"/>
    <w:rsid w:val="00E4016D"/>
    <w:rsid w:val="00E42243"/>
    <w:rsid w:val="00E510C4"/>
    <w:rsid w:val="00E530B7"/>
    <w:rsid w:val="00E54066"/>
    <w:rsid w:val="00E57168"/>
    <w:rsid w:val="00E611A2"/>
    <w:rsid w:val="00E61BAB"/>
    <w:rsid w:val="00E729CB"/>
    <w:rsid w:val="00E73C50"/>
    <w:rsid w:val="00E73EA6"/>
    <w:rsid w:val="00E75C22"/>
    <w:rsid w:val="00E777C8"/>
    <w:rsid w:val="00E77FC4"/>
    <w:rsid w:val="00E8011B"/>
    <w:rsid w:val="00E80544"/>
    <w:rsid w:val="00E81EE4"/>
    <w:rsid w:val="00E8250A"/>
    <w:rsid w:val="00E82DCD"/>
    <w:rsid w:val="00E83164"/>
    <w:rsid w:val="00E83444"/>
    <w:rsid w:val="00E849E6"/>
    <w:rsid w:val="00E84DD9"/>
    <w:rsid w:val="00E870C1"/>
    <w:rsid w:val="00E909E6"/>
    <w:rsid w:val="00E90B70"/>
    <w:rsid w:val="00E924EC"/>
    <w:rsid w:val="00E93BB0"/>
    <w:rsid w:val="00EA27C3"/>
    <w:rsid w:val="00EA2BEE"/>
    <w:rsid w:val="00EA440F"/>
    <w:rsid w:val="00EA5F36"/>
    <w:rsid w:val="00EA7A70"/>
    <w:rsid w:val="00EB15F9"/>
    <w:rsid w:val="00EB2AAE"/>
    <w:rsid w:val="00EB57CA"/>
    <w:rsid w:val="00EC07F6"/>
    <w:rsid w:val="00EC07FA"/>
    <w:rsid w:val="00EC5B03"/>
    <w:rsid w:val="00ED7B80"/>
    <w:rsid w:val="00EE087B"/>
    <w:rsid w:val="00EE0CC2"/>
    <w:rsid w:val="00EE18F8"/>
    <w:rsid w:val="00EE1DDC"/>
    <w:rsid w:val="00EE31D9"/>
    <w:rsid w:val="00EF0C53"/>
    <w:rsid w:val="00EF368A"/>
    <w:rsid w:val="00EF4FE0"/>
    <w:rsid w:val="00EF6F9D"/>
    <w:rsid w:val="00EF7495"/>
    <w:rsid w:val="00F03728"/>
    <w:rsid w:val="00F038F0"/>
    <w:rsid w:val="00F04E2C"/>
    <w:rsid w:val="00F06CE8"/>
    <w:rsid w:val="00F0783D"/>
    <w:rsid w:val="00F1223A"/>
    <w:rsid w:val="00F12E5F"/>
    <w:rsid w:val="00F14E08"/>
    <w:rsid w:val="00F203B0"/>
    <w:rsid w:val="00F20CD7"/>
    <w:rsid w:val="00F210E9"/>
    <w:rsid w:val="00F2150A"/>
    <w:rsid w:val="00F22AF0"/>
    <w:rsid w:val="00F33929"/>
    <w:rsid w:val="00F35767"/>
    <w:rsid w:val="00F35BB4"/>
    <w:rsid w:val="00F42C1C"/>
    <w:rsid w:val="00F4744B"/>
    <w:rsid w:val="00F504FB"/>
    <w:rsid w:val="00F53D7B"/>
    <w:rsid w:val="00F55691"/>
    <w:rsid w:val="00F55B87"/>
    <w:rsid w:val="00F6361F"/>
    <w:rsid w:val="00F65724"/>
    <w:rsid w:val="00F6595A"/>
    <w:rsid w:val="00F65FE3"/>
    <w:rsid w:val="00F66561"/>
    <w:rsid w:val="00F66B56"/>
    <w:rsid w:val="00F71390"/>
    <w:rsid w:val="00F72F62"/>
    <w:rsid w:val="00F73E1F"/>
    <w:rsid w:val="00F75F73"/>
    <w:rsid w:val="00F77459"/>
    <w:rsid w:val="00F805A5"/>
    <w:rsid w:val="00F809EE"/>
    <w:rsid w:val="00F82A3D"/>
    <w:rsid w:val="00F844E6"/>
    <w:rsid w:val="00F849DE"/>
    <w:rsid w:val="00F84BE4"/>
    <w:rsid w:val="00F865A3"/>
    <w:rsid w:val="00F909DB"/>
    <w:rsid w:val="00F92342"/>
    <w:rsid w:val="00F93104"/>
    <w:rsid w:val="00F9314E"/>
    <w:rsid w:val="00F9432D"/>
    <w:rsid w:val="00F9475F"/>
    <w:rsid w:val="00F951BA"/>
    <w:rsid w:val="00FA2531"/>
    <w:rsid w:val="00FA4C1B"/>
    <w:rsid w:val="00FA5355"/>
    <w:rsid w:val="00FA6946"/>
    <w:rsid w:val="00FB35B4"/>
    <w:rsid w:val="00FB4542"/>
    <w:rsid w:val="00FB6C2F"/>
    <w:rsid w:val="00FC0091"/>
    <w:rsid w:val="00FC10E9"/>
    <w:rsid w:val="00FC23CC"/>
    <w:rsid w:val="00FC4FF0"/>
    <w:rsid w:val="00FC57BC"/>
    <w:rsid w:val="00FC5D7E"/>
    <w:rsid w:val="00FC6812"/>
    <w:rsid w:val="00FD01DC"/>
    <w:rsid w:val="00FD01E1"/>
    <w:rsid w:val="00FD13B2"/>
    <w:rsid w:val="00FD4DFC"/>
    <w:rsid w:val="00FD6173"/>
    <w:rsid w:val="00FD7AA5"/>
    <w:rsid w:val="00FE0A40"/>
    <w:rsid w:val="00FE3132"/>
    <w:rsid w:val="00FE47F2"/>
    <w:rsid w:val="00FE64F7"/>
    <w:rsid w:val="00FE6C0D"/>
    <w:rsid w:val="00FF10DD"/>
    <w:rsid w:val="00FF3240"/>
    <w:rsid w:val="00FF3C70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FBF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A2D"/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nhideWhenUsed/>
    <w:qFormat/>
    <w:rsid w:val="00D84A2D"/>
    <w:rPr>
      <w:color w:val="4472C4" w:themeColor="accent1"/>
      <w:u w:val="single"/>
    </w:rPr>
  </w:style>
  <w:style w:type="table" w:styleId="Tabela-Siatka">
    <w:name w:val="Table Grid"/>
    <w:basedOn w:val="Standardowy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Nagwek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ny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Standardowy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6C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Pogrubienie">
    <w:name w:val="Strong"/>
    <w:basedOn w:val="Domylnaczcionkaakapitu"/>
    <w:uiPriority w:val="22"/>
    <w:qFormat/>
    <w:rsid w:val="00FE313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E909E6"/>
    <w:rPr>
      <w:i/>
      <w:iCs/>
    </w:rPr>
  </w:style>
  <w:style w:type="character" w:customStyle="1" w:styleId="cf01">
    <w:name w:val="cf01"/>
    <w:basedOn w:val="Domylnaczcionkaakapitu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omylnaczcionkaakapitu"/>
    <w:rsid w:val="00775E16"/>
  </w:style>
  <w:style w:type="paragraph" w:styleId="Akapitzlist">
    <w:name w:val="List Paragraph"/>
    <w:basedOn w:val="Normalny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omylnaczcionkaakapitu"/>
    <w:rsid w:val="00C0604F"/>
  </w:style>
  <w:style w:type="character" w:customStyle="1" w:styleId="eop">
    <w:name w:val="eop"/>
    <w:basedOn w:val="Domylnaczcionkaakapitu"/>
    <w:rsid w:val="00C0604F"/>
  </w:style>
  <w:style w:type="paragraph" w:customStyle="1" w:styleId="pf0">
    <w:name w:val="pf0"/>
    <w:basedOn w:val="Normalny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0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.poland@cushwak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18526F10DA64CBE3916EAA4716759" ma:contentTypeVersion="13" ma:contentTypeDescription="Create a new document." ma:contentTypeScope="" ma:versionID="8f38994234cec2c17946699ec4ef8f31">
  <xsd:schema xmlns:xsd="http://www.w3.org/2001/XMLSchema" xmlns:xs="http://www.w3.org/2001/XMLSchema" xmlns:p="http://schemas.microsoft.com/office/2006/metadata/properties" xmlns:ns2="5927d1f9-8819-4dd8-877c-e9f8844f9576" xmlns:ns3="016bc716-2ef2-42ff-a34e-e437c0f24fe9" targetNamespace="http://schemas.microsoft.com/office/2006/metadata/properties" ma:root="true" ma:fieldsID="dc0dc1a018ddf67e9e3acf63985829fe" ns2:_="" ns3:_="">
    <xsd:import namespace="5927d1f9-8819-4dd8-877c-e9f8844f9576"/>
    <xsd:import namespace="016bc716-2ef2-42ff-a34e-e437c0f24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7d1f9-8819-4dd8-877c-e9f8844f9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bc716-2ef2-42ff-a34e-e437c0f24f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cb88db-cc8f-49c6-a577-6708ad005284}" ma:internalName="TaxCatchAll" ma:showField="CatchAllData" ma:web="016bc716-2ef2-42ff-a34e-e437c0f24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6bc716-2ef2-42ff-a34e-e437c0f24fe9" xsi:nil="true"/>
    <lcf76f155ced4ddcb4097134ff3c332f xmlns="5927d1f9-8819-4dd8-877c-e9f8844f95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BC97A-3F98-4379-AC5E-E8A74E277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7d1f9-8819-4dd8-877c-e9f8844f9576"/>
    <ds:schemaRef ds:uri="016bc716-2ef2-42ff-a34e-e437c0f24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EA6107-656D-4D01-9627-337AEBCBC0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016bc716-2ef2-42ff-a34e-e437c0f24fe9"/>
    <ds:schemaRef ds:uri="5927d1f9-8819-4dd8-877c-e9f8844f95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1315</Words>
  <Characters>7891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Link Leaders</cp:lastModifiedBy>
  <cp:revision>2</cp:revision>
  <dcterms:created xsi:type="dcterms:W3CDTF">2026-05-26T08:00:00Z</dcterms:created>
  <dcterms:modified xsi:type="dcterms:W3CDTF">2026-05-26T08:00:00Z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0x010100EC618526F10DA64CBE3916EAA4716759</vt:lpwstr>
  </property>
  <property fmtid="{D5CDD505-2E9C-101B-9397-08002B2CF9AE}" pid="4" name="MediaServiceImageTags">
    <vt:lpwstr/>
  </property>
</Properties>
</file>