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5D39C926" w:rsidR="00EC32FB" w:rsidRDefault="004516B4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26</w:t>
      </w:r>
      <w:r w:rsidR="00374AB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="00D84728">
        <w:rPr>
          <w:sz w:val="22"/>
          <w:szCs w:val="22"/>
        </w:rPr>
        <w:t>.</w:t>
      </w:r>
      <w:r w:rsidR="00374AB0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26476C65" w14:textId="77777777" w:rsidR="004516B4" w:rsidRPr="004516B4" w:rsidRDefault="004516B4" w:rsidP="004516B4">
      <w:pPr>
        <w:spacing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4516B4">
        <w:rPr>
          <w:rFonts w:eastAsia="Times New Roman"/>
          <w:b/>
          <w:bCs/>
          <w:color w:val="000000"/>
          <w:shd w:val="clear" w:color="auto" w:fill="FFFFFF"/>
        </w:rPr>
        <w:t>Mlekpol awansuje na  liście „200 największych polskich firm” tygodnika „Wprost”</w:t>
      </w:r>
    </w:p>
    <w:p w14:paraId="1D161AF0" w14:textId="77777777" w:rsidR="004516B4" w:rsidRPr="004516B4" w:rsidRDefault="004516B4" w:rsidP="004516B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16B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74141E29" w14:textId="77777777" w:rsidR="004516B4" w:rsidRPr="004516B4" w:rsidRDefault="004516B4" w:rsidP="004516B4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4516B4">
        <w:rPr>
          <w:rFonts w:eastAsia="Times New Roman"/>
          <w:b/>
          <w:bCs/>
          <w:color w:val="000000"/>
          <w:shd w:val="clear" w:color="auto" w:fill="FFFFFF"/>
        </w:rPr>
        <w:t>Spółdzielnia Mleczarska Mlekpol zajęła 36. pozycję w 12. edycji rankingu „200 największych polskich firm” tygodnika „Wprost”. To awans o cztery miejsca w porównaniu z poprzednim zestawieniem. Łączne przychody przedsiębiorstw uwzględnionych w tegorocznym rankingu wyniosły 1,4 bln zł.</w:t>
      </w:r>
    </w:p>
    <w:p w14:paraId="42D5F4D8" w14:textId="77777777" w:rsidR="004516B4" w:rsidRPr="004516B4" w:rsidRDefault="004516B4" w:rsidP="004516B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16B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251ED651" w14:textId="77777777" w:rsidR="004516B4" w:rsidRPr="004516B4" w:rsidRDefault="004516B4" w:rsidP="004516B4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4516B4">
        <w:rPr>
          <w:rFonts w:eastAsia="Times New Roman"/>
          <w:color w:val="000000"/>
        </w:rPr>
        <w:t>Ranking „Wprost” od dwunastu lat pr</w:t>
      </w:r>
      <w:r w:rsidRPr="004516B4">
        <w:rPr>
          <w:rFonts w:eastAsia="Times New Roman"/>
          <w:color w:val="222222"/>
        </w:rPr>
        <w:t>ezentuje</w:t>
      </w:r>
      <w:r w:rsidRPr="004516B4">
        <w:rPr>
          <w:rFonts w:eastAsia="Times New Roman"/>
          <w:color w:val="000000"/>
        </w:rPr>
        <w:t> największe podmioty gospodarcze działające w oparciu o polski kapitał. Wśród branżowych liderów na liście znaleźli się najwięksi producenci mleka i produktów mleczarskich, a Mlekpol jest </w:t>
      </w:r>
      <w:r w:rsidRPr="004516B4">
        <w:rPr>
          <w:rFonts w:eastAsia="Times New Roman"/>
          <w:color w:val="222222"/>
        </w:rPr>
        <w:t>ujęty w zestawieniu jako jedna </w:t>
      </w:r>
      <w:r w:rsidRPr="004516B4">
        <w:rPr>
          <w:rFonts w:eastAsia="Times New Roman"/>
          <w:color w:val="000000"/>
        </w:rPr>
        <w:t>z czołowych firm tego sektora. Awans grajewskiej Spółdzielni o cztery pozycje</w:t>
      </w:r>
      <w:r w:rsidRPr="004516B4">
        <w:rPr>
          <w:rFonts w:eastAsia="Times New Roman"/>
          <w:color w:val="222222"/>
        </w:rPr>
        <w:t> względem roku ubiegłego</w:t>
      </w:r>
      <w:r w:rsidRPr="004516B4">
        <w:rPr>
          <w:rFonts w:eastAsia="Times New Roman"/>
          <w:color w:val="000000"/>
        </w:rPr>
        <w:t> to potwierdzenie konsekwentnie realizowanej strategii rozwoju, opartej na inwestycjach, rozbudowie </w:t>
      </w:r>
      <w:r w:rsidRPr="004516B4">
        <w:rPr>
          <w:rFonts w:eastAsia="Times New Roman"/>
          <w:color w:val="222222"/>
        </w:rPr>
        <w:t>oferty</w:t>
      </w:r>
      <w:r w:rsidRPr="004516B4">
        <w:rPr>
          <w:rFonts w:eastAsia="Times New Roman"/>
          <w:color w:val="000000"/>
        </w:rPr>
        <w:t> oraz umacnianiu pozycji eksportowej.</w:t>
      </w:r>
    </w:p>
    <w:p w14:paraId="2B109EB8" w14:textId="77777777" w:rsidR="004516B4" w:rsidRPr="004516B4" w:rsidRDefault="004516B4" w:rsidP="004516B4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4516B4">
        <w:rPr>
          <w:rFonts w:eastAsia="Times New Roman"/>
          <w:color w:val="222222"/>
          <w:sz w:val="24"/>
          <w:szCs w:val="24"/>
        </w:rPr>
        <w:t> </w:t>
      </w:r>
    </w:p>
    <w:p w14:paraId="37A5C2A6" w14:textId="77777777" w:rsidR="004516B4" w:rsidRPr="004516B4" w:rsidRDefault="004516B4" w:rsidP="004516B4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4516B4">
        <w:rPr>
          <w:rFonts w:eastAsia="Times New Roman"/>
          <w:color w:val="000000"/>
        </w:rPr>
        <w:t>W tegorocznej edycji do rankingu dołączyło dwudziestu nowych uczestników. Konkurencja o miejsce na liście rośnie </w:t>
      </w:r>
      <w:r w:rsidRPr="004516B4">
        <w:rPr>
          <w:rFonts w:eastAsia="Times New Roman"/>
          <w:color w:val="222222"/>
        </w:rPr>
        <w:t>–</w:t>
      </w:r>
      <w:r w:rsidRPr="004516B4">
        <w:rPr>
          <w:rFonts w:eastAsia="Times New Roman"/>
          <w:color w:val="000000"/>
        </w:rPr>
        <w:t> wystarczy wskazać, że minimalny próg przychodów uprawniający do debiutu w zestawieniu </w:t>
      </w:r>
      <w:r w:rsidRPr="004516B4">
        <w:rPr>
          <w:rFonts w:eastAsia="Times New Roman"/>
          <w:color w:val="222222"/>
        </w:rPr>
        <w:t>był</w:t>
      </w:r>
      <w:r w:rsidRPr="004516B4">
        <w:rPr>
          <w:rFonts w:eastAsia="Times New Roman"/>
          <w:color w:val="000000"/>
        </w:rPr>
        <w:t> o jedną piątą wyższy niż rok wcześniej i wyn</w:t>
      </w:r>
      <w:r w:rsidRPr="004516B4">
        <w:rPr>
          <w:rFonts w:eastAsia="Times New Roman"/>
          <w:color w:val="222222"/>
        </w:rPr>
        <w:t>iósł już</w:t>
      </w:r>
      <w:r w:rsidRPr="004516B4">
        <w:rPr>
          <w:rFonts w:eastAsia="Times New Roman"/>
          <w:color w:val="000000"/>
        </w:rPr>
        <w:t> 1,2 mld zł.</w:t>
      </w:r>
    </w:p>
    <w:p w14:paraId="6D2930EB" w14:textId="77777777" w:rsidR="004516B4" w:rsidRPr="004516B4" w:rsidRDefault="004516B4" w:rsidP="004516B4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4516B4">
        <w:rPr>
          <w:rFonts w:eastAsia="Times New Roman"/>
          <w:color w:val="222222"/>
          <w:sz w:val="24"/>
          <w:szCs w:val="24"/>
        </w:rPr>
        <w:t> </w:t>
      </w:r>
    </w:p>
    <w:p w14:paraId="6046A6AC" w14:textId="77777777" w:rsidR="004516B4" w:rsidRPr="004516B4" w:rsidRDefault="004516B4" w:rsidP="004516B4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4516B4">
        <w:rPr>
          <w:rFonts w:eastAsia="Times New Roman"/>
          <w:color w:val="222222"/>
        </w:rPr>
        <w:t>–</w:t>
      </w:r>
      <w:r w:rsidRPr="004516B4">
        <w:rPr>
          <w:rFonts w:eastAsia="Times New Roman"/>
          <w:color w:val="000000"/>
        </w:rPr>
        <w:t>  </w:t>
      </w:r>
      <w:r w:rsidRPr="004516B4">
        <w:rPr>
          <w:rFonts w:eastAsia="Times New Roman"/>
          <w:i/>
          <w:iCs/>
          <w:color w:val="000000"/>
        </w:rPr>
        <w:t>Firmy z naszej branży mierzą się dziś z presją kosztów, zmiennością cen surowca, trudniejszym otoczeniem eksportowym i skutkami napięć geopolitycznych. W takich warunkach najważniejsze są s</w:t>
      </w:r>
      <w:r w:rsidRPr="004516B4">
        <w:rPr>
          <w:rFonts w:eastAsia="Times New Roman"/>
          <w:i/>
          <w:iCs/>
          <w:color w:val="222222"/>
        </w:rPr>
        <w:t>olidne</w:t>
      </w:r>
      <w:r w:rsidRPr="004516B4">
        <w:rPr>
          <w:rFonts w:eastAsia="Times New Roman"/>
          <w:i/>
          <w:iCs/>
          <w:color w:val="000000"/>
        </w:rPr>
        <w:t> fundamenty: </w:t>
      </w:r>
      <w:r w:rsidRPr="004516B4">
        <w:rPr>
          <w:rFonts w:eastAsia="Times New Roman"/>
          <w:i/>
          <w:iCs/>
          <w:color w:val="222222"/>
        </w:rPr>
        <w:t>stabilna </w:t>
      </w:r>
      <w:r w:rsidRPr="004516B4">
        <w:rPr>
          <w:rFonts w:eastAsia="Times New Roman"/>
          <w:i/>
          <w:iCs/>
          <w:color w:val="000000"/>
        </w:rPr>
        <w:t>baza dostawców, zaangażowani pracownicy czy inwestycje w technologię i </w:t>
      </w:r>
      <w:r w:rsidRPr="004516B4">
        <w:rPr>
          <w:rFonts w:eastAsia="Times New Roman"/>
          <w:i/>
          <w:iCs/>
          <w:color w:val="222222"/>
        </w:rPr>
        <w:t>rozwój </w:t>
      </w:r>
      <w:r w:rsidRPr="004516B4">
        <w:rPr>
          <w:rFonts w:eastAsia="Times New Roman"/>
          <w:i/>
          <w:iCs/>
          <w:color w:val="000000"/>
        </w:rPr>
        <w:t>produkt</w:t>
      </w:r>
      <w:r w:rsidRPr="004516B4">
        <w:rPr>
          <w:rFonts w:eastAsia="Times New Roman"/>
          <w:i/>
          <w:iCs/>
          <w:color w:val="222222"/>
        </w:rPr>
        <w:t>ów</w:t>
      </w:r>
      <w:r w:rsidRPr="004516B4">
        <w:rPr>
          <w:rFonts w:eastAsia="Times New Roman"/>
          <w:i/>
          <w:iCs/>
          <w:color w:val="000000"/>
        </w:rPr>
        <w:t> odpowiadają</w:t>
      </w:r>
      <w:r w:rsidRPr="004516B4">
        <w:rPr>
          <w:rFonts w:eastAsia="Times New Roman"/>
          <w:i/>
          <w:iCs/>
          <w:color w:val="222222"/>
        </w:rPr>
        <w:t>cych</w:t>
      </w:r>
      <w:r w:rsidRPr="004516B4">
        <w:rPr>
          <w:rFonts w:eastAsia="Times New Roman"/>
          <w:i/>
          <w:iCs/>
          <w:color w:val="000000"/>
        </w:rPr>
        <w:t> na realne potrzeby konsumentów</w:t>
      </w:r>
      <w:r w:rsidRPr="004516B4">
        <w:rPr>
          <w:rFonts w:eastAsia="Times New Roman"/>
          <w:color w:val="000000"/>
        </w:rPr>
        <w:t> — komentuje Tadeusz Mroczkowski, Prezes Zarządu SM Mlekpol.</w:t>
      </w:r>
    </w:p>
    <w:p w14:paraId="117505B4" w14:textId="77777777" w:rsidR="004516B4" w:rsidRPr="004516B4" w:rsidRDefault="004516B4" w:rsidP="004516B4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4516B4">
        <w:rPr>
          <w:rFonts w:eastAsia="Times New Roman"/>
          <w:color w:val="222222"/>
          <w:sz w:val="24"/>
          <w:szCs w:val="24"/>
        </w:rPr>
        <w:t> </w:t>
      </w:r>
    </w:p>
    <w:p w14:paraId="51688F79" w14:textId="77777777" w:rsidR="004516B4" w:rsidRPr="004516B4" w:rsidRDefault="004516B4" w:rsidP="004516B4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4516B4">
        <w:rPr>
          <w:rFonts w:eastAsia="Times New Roman"/>
          <w:color w:val="000000"/>
        </w:rPr>
        <w:t xml:space="preserve">Spółdzielnia Mleczarska Mlekpol jest właścicielem popularnych marek, m.in.: Łaciate, Mlekpol, Mazurski Smak, Maślanka Mrągowska, </w:t>
      </w:r>
      <w:proofErr w:type="spellStart"/>
      <w:r w:rsidRPr="004516B4">
        <w:rPr>
          <w:rFonts w:eastAsia="Times New Roman"/>
          <w:color w:val="000000"/>
        </w:rPr>
        <w:t>Rolmlecz</w:t>
      </w:r>
      <w:proofErr w:type="spellEnd"/>
      <w:r w:rsidRPr="004516B4">
        <w:rPr>
          <w:rFonts w:eastAsia="Times New Roman"/>
          <w:color w:val="000000"/>
        </w:rPr>
        <w:t xml:space="preserve">, JOGO czy </w:t>
      </w:r>
      <w:proofErr w:type="spellStart"/>
      <w:r w:rsidRPr="004516B4">
        <w:rPr>
          <w:rFonts w:eastAsia="Times New Roman"/>
          <w:color w:val="000000"/>
        </w:rPr>
        <w:t>Bambino</w:t>
      </w:r>
      <w:proofErr w:type="spellEnd"/>
      <w:r w:rsidRPr="004516B4">
        <w:rPr>
          <w:rFonts w:eastAsia="Times New Roman"/>
          <w:color w:val="000000"/>
        </w:rPr>
        <w:t>. Roczny skup</w:t>
      </w:r>
      <w:r w:rsidRPr="004516B4">
        <w:rPr>
          <w:rFonts w:eastAsia="Times New Roman"/>
          <w:color w:val="222222"/>
        </w:rPr>
        <w:t> </w:t>
      </w:r>
      <w:r w:rsidRPr="004516B4">
        <w:rPr>
          <w:rFonts w:eastAsia="Times New Roman"/>
          <w:color w:val="000000"/>
        </w:rPr>
        <w:t>firmy przekracza 2 mld litrów</w:t>
      </w:r>
      <w:r w:rsidRPr="004516B4">
        <w:rPr>
          <w:rFonts w:eastAsia="Times New Roman"/>
          <w:color w:val="222222"/>
        </w:rPr>
        <w:t> mleka</w:t>
      </w:r>
      <w:r w:rsidRPr="004516B4">
        <w:rPr>
          <w:rFonts w:eastAsia="Times New Roman"/>
          <w:color w:val="000000"/>
        </w:rPr>
        <w:t>, a produkty grajewskiej Spółdzielni można kupić na sześciu kontynentach. W 2025 roku przychody ze sprzedaży wyniosły ponad 7,6 mld złotych.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F03FF" w14:textId="77777777" w:rsidR="004A4DAD" w:rsidRDefault="004A4DAD" w:rsidP="006E5341">
      <w:pPr>
        <w:spacing w:line="240" w:lineRule="auto"/>
      </w:pPr>
      <w:r>
        <w:separator/>
      </w:r>
    </w:p>
  </w:endnote>
  <w:endnote w:type="continuationSeparator" w:id="0">
    <w:p w14:paraId="17B87CEC" w14:textId="77777777" w:rsidR="004A4DAD" w:rsidRDefault="004A4DAD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DBF8C" w14:textId="77777777" w:rsidR="004A4DAD" w:rsidRDefault="004A4DAD" w:rsidP="006E5341">
      <w:pPr>
        <w:spacing w:line="240" w:lineRule="auto"/>
      </w:pPr>
      <w:r>
        <w:separator/>
      </w:r>
    </w:p>
  </w:footnote>
  <w:footnote w:type="continuationSeparator" w:id="0">
    <w:p w14:paraId="20AE4DCC" w14:textId="77777777" w:rsidR="004A4DAD" w:rsidRDefault="004A4DAD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113B"/>
    <w:rsid w:val="001F37B0"/>
    <w:rsid w:val="00212163"/>
    <w:rsid w:val="002A4029"/>
    <w:rsid w:val="002D76CE"/>
    <w:rsid w:val="002F1315"/>
    <w:rsid w:val="003050E1"/>
    <w:rsid w:val="003248A1"/>
    <w:rsid w:val="00374AB0"/>
    <w:rsid w:val="004516B4"/>
    <w:rsid w:val="004A4DAD"/>
    <w:rsid w:val="004F0093"/>
    <w:rsid w:val="00535873"/>
    <w:rsid w:val="00544E35"/>
    <w:rsid w:val="005C1F22"/>
    <w:rsid w:val="006764BC"/>
    <w:rsid w:val="006E25D8"/>
    <w:rsid w:val="006E5341"/>
    <w:rsid w:val="006F53C2"/>
    <w:rsid w:val="00777675"/>
    <w:rsid w:val="007A4325"/>
    <w:rsid w:val="00853FFE"/>
    <w:rsid w:val="00874AE0"/>
    <w:rsid w:val="00881FA2"/>
    <w:rsid w:val="008B070B"/>
    <w:rsid w:val="00901D83"/>
    <w:rsid w:val="00905CFE"/>
    <w:rsid w:val="0095194F"/>
    <w:rsid w:val="00965427"/>
    <w:rsid w:val="009C0DB5"/>
    <w:rsid w:val="009F5D46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A22B-7FCF-4A89-A2B0-5D15F9BE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3</cp:revision>
  <dcterms:created xsi:type="dcterms:W3CDTF">2026-02-20T09:49:00Z</dcterms:created>
  <dcterms:modified xsi:type="dcterms:W3CDTF">2026-05-26T08:28:00Z</dcterms:modified>
</cp:coreProperties>
</file>