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AFFA3" w14:textId="5EA3F58D" w:rsidR="00875209" w:rsidRDefault="00875209" w:rsidP="005C687C">
      <w:pPr>
        <w:spacing w:after="0" w:line="240" w:lineRule="auto"/>
        <w:jc w:val="center"/>
        <w:rPr>
          <w:rFonts w:ascii="Century Gothic" w:hAnsi="Century Gothic" w:cs="Arial"/>
          <w:b/>
          <w:bCs/>
          <w:sz w:val="20"/>
          <w:szCs w:val="20"/>
        </w:rPr>
      </w:pPr>
      <w:r w:rsidRPr="00875209">
        <w:rPr>
          <w:rFonts w:ascii="Century Gothic" w:hAnsi="Century Gothic" w:cs="Arial"/>
          <w:b/>
          <w:bCs/>
          <w:sz w:val="20"/>
          <w:szCs w:val="20"/>
        </w:rPr>
        <w:t xml:space="preserve">Porto, Maia e Matosinhos entre os concertos </w:t>
      </w:r>
      <w:r w:rsidR="005C687C">
        <w:rPr>
          <w:rFonts w:ascii="Century Gothic" w:hAnsi="Century Gothic" w:cs="Arial"/>
          <w:b/>
          <w:bCs/>
          <w:sz w:val="20"/>
          <w:szCs w:val="20"/>
        </w:rPr>
        <w:t xml:space="preserve">com maior retorno económico do </w:t>
      </w:r>
      <w:r w:rsidR="00FD4F58">
        <w:rPr>
          <w:rFonts w:ascii="Century Gothic" w:hAnsi="Century Gothic" w:cs="Arial"/>
          <w:b/>
          <w:bCs/>
          <w:sz w:val="20"/>
          <w:szCs w:val="20"/>
        </w:rPr>
        <w:t>p</w:t>
      </w:r>
      <w:r w:rsidR="005C687C">
        <w:rPr>
          <w:rFonts w:ascii="Century Gothic" w:hAnsi="Century Gothic" w:cs="Arial"/>
          <w:b/>
          <w:bCs/>
          <w:sz w:val="20"/>
          <w:szCs w:val="20"/>
        </w:rPr>
        <w:t>aís</w:t>
      </w:r>
    </w:p>
    <w:p w14:paraId="437B0432" w14:textId="77777777" w:rsidR="000420B2" w:rsidRDefault="000420B2" w:rsidP="005C687C">
      <w:pPr>
        <w:spacing w:after="0" w:line="240" w:lineRule="auto"/>
        <w:jc w:val="center"/>
        <w:rPr>
          <w:rFonts w:ascii="Century Gothic" w:hAnsi="Century Gothic" w:cs="Arial"/>
          <w:b/>
          <w:bCs/>
          <w:sz w:val="20"/>
          <w:szCs w:val="20"/>
        </w:rPr>
      </w:pPr>
    </w:p>
    <w:p w14:paraId="7959EE86" w14:textId="4CFC8608" w:rsidR="00827D43" w:rsidRDefault="00875209" w:rsidP="00564CEB">
      <w:pPr>
        <w:spacing w:after="0" w:line="240" w:lineRule="auto"/>
        <w:jc w:val="center"/>
        <w:rPr>
          <w:rFonts w:ascii="Century Gothic" w:hAnsi="Century Gothic" w:cs="Arial"/>
          <w:b/>
          <w:bCs/>
          <w:sz w:val="36"/>
          <w:szCs w:val="32"/>
        </w:rPr>
      </w:pPr>
      <w:r w:rsidRPr="00875209">
        <w:rPr>
          <w:rFonts w:ascii="Century Gothic" w:hAnsi="Century Gothic" w:cs="Arial"/>
          <w:b/>
          <w:bCs/>
          <w:sz w:val="36"/>
          <w:szCs w:val="32"/>
        </w:rPr>
        <w:t xml:space="preserve">Estudo do IPAM revela que concertos de Pedro Abrunhosa geram mais de 9 milhões de euros no Norte do </w:t>
      </w:r>
      <w:bookmarkStart w:id="0" w:name="_GoBack"/>
      <w:r w:rsidR="00FD4F58">
        <w:rPr>
          <w:rFonts w:ascii="Century Gothic" w:hAnsi="Century Gothic" w:cs="Arial"/>
          <w:b/>
          <w:bCs/>
          <w:sz w:val="36"/>
          <w:szCs w:val="32"/>
        </w:rPr>
        <w:t>p</w:t>
      </w:r>
      <w:bookmarkEnd w:id="0"/>
      <w:r w:rsidRPr="00875209">
        <w:rPr>
          <w:rFonts w:ascii="Century Gothic" w:hAnsi="Century Gothic" w:cs="Arial"/>
          <w:b/>
          <w:bCs/>
          <w:sz w:val="36"/>
          <w:szCs w:val="32"/>
        </w:rPr>
        <w:t>aís</w:t>
      </w:r>
    </w:p>
    <w:p w14:paraId="36F9B34D" w14:textId="77777777" w:rsidR="001E27EA" w:rsidRDefault="001E27EA" w:rsidP="0085493E">
      <w:pPr>
        <w:spacing w:after="0" w:line="276" w:lineRule="auto"/>
        <w:jc w:val="both"/>
        <w:rPr>
          <w:rFonts w:ascii="Century Gothic" w:hAnsi="Century Gothic" w:cs="Arial"/>
          <w:sz w:val="22"/>
          <w:szCs w:val="22"/>
        </w:rPr>
      </w:pPr>
    </w:p>
    <w:p w14:paraId="7600F023" w14:textId="36504573" w:rsidR="00644194" w:rsidRDefault="00644194" w:rsidP="00644194">
      <w:pPr>
        <w:spacing w:after="0" w:line="276" w:lineRule="auto"/>
        <w:jc w:val="both"/>
        <w:rPr>
          <w:rFonts w:ascii="Century Gothic" w:hAnsi="Century Gothic" w:cs="Arial"/>
          <w:sz w:val="22"/>
          <w:szCs w:val="22"/>
        </w:rPr>
      </w:pPr>
      <w:r w:rsidRPr="00644194">
        <w:rPr>
          <w:rFonts w:ascii="Century Gothic" w:hAnsi="Century Gothic" w:cs="Arial"/>
          <w:sz w:val="22"/>
          <w:szCs w:val="22"/>
        </w:rPr>
        <w:t xml:space="preserve">Os </w:t>
      </w:r>
      <w:r w:rsidRPr="00644194">
        <w:rPr>
          <w:rFonts w:ascii="Century Gothic" w:hAnsi="Century Gothic" w:cs="Arial"/>
          <w:b/>
          <w:bCs/>
          <w:sz w:val="22"/>
          <w:szCs w:val="22"/>
        </w:rPr>
        <w:t xml:space="preserve">concertos realizados por Pedro Abrunhosa em cidades do Norte </w:t>
      </w:r>
      <w:r w:rsidR="00FD4F58">
        <w:rPr>
          <w:rFonts w:ascii="Century Gothic" w:hAnsi="Century Gothic" w:cs="Arial"/>
          <w:b/>
          <w:bCs/>
          <w:sz w:val="22"/>
          <w:szCs w:val="22"/>
        </w:rPr>
        <w:t>de Portugal</w:t>
      </w:r>
      <w:r w:rsidRPr="00644194">
        <w:rPr>
          <w:rFonts w:ascii="Century Gothic" w:hAnsi="Century Gothic" w:cs="Arial"/>
          <w:b/>
          <w:bCs/>
          <w:sz w:val="22"/>
          <w:szCs w:val="22"/>
        </w:rPr>
        <w:t xml:space="preserve"> ao longo de 2025 geraram um impacto económico estimado em mais de 9 milhões de euros</w:t>
      </w:r>
      <w:r w:rsidRPr="00644194">
        <w:rPr>
          <w:rFonts w:ascii="Century Gothic" w:hAnsi="Century Gothic" w:cs="Arial"/>
          <w:sz w:val="22"/>
          <w:szCs w:val="22"/>
        </w:rPr>
        <w:t xml:space="preserve">, de acordo com um </w:t>
      </w:r>
      <w:r w:rsidRPr="00644194">
        <w:rPr>
          <w:rFonts w:ascii="Century Gothic" w:hAnsi="Century Gothic" w:cs="Arial"/>
          <w:b/>
          <w:bCs/>
          <w:sz w:val="22"/>
          <w:szCs w:val="22"/>
        </w:rPr>
        <w:t>estudo do IPAM</w:t>
      </w:r>
      <w:r w:rsidRPr="00644194">
        <w:rPr>
          <w:rFonts w:ascii="Century Gothic" w:hAnsi="Century Gothic" w:cs="Arial"/>
          <w:sz w:val="22"/>
          <w:szCs w:val="22"/>
        </w:rPr>
        <w:t xml:space="preserve">. </w:t>
      </w:r>
      <w:r w:rsidRPr="00644194">
        <w:rPr>
          <w:rFonts w:ascii="Century Gothic" w:hAnsi="Century Gothic" w:cs="Arial"/>
          <w:b/>
          <w:bCs/>
          <w:sz w:val="22"/>
          <w:szCs w:val="22"/>
        </w:rPr>
        <w:t>Porto, Maia, Matosinhos, Guimarães e Viana do Castelo</w:t>
      </w:r>
      <w:r w:rsidRPr="00644194">
        <w:rPr>
          <w:rFonts w:ascii="Century Gothic" w:hAnsi="Century Gothic" w:cs="Arial"/>
          <w:sz w:val="22"/>
          <w:szCs w:val="22"/>
        </w:rPr>
        <w:t xml:space="preserve"> destacam-se entre os municípios analisados, num efeito que se reflete sobretudo na restauração, hotelaria, comércio, mobilidade e lazer. As conclusões mostram ainda que a música ao vivo assume um papel relevante na atração de visitantes e na dinamização económica dos territórios.</w:t>
      </w:r>
    </w:p>
    <w:p w14:paraId="18842FB9" w14:textId="77777777" w:rsidR="00644194" w:rsidRPr="00644194" w:rsidRDefault="00644194" w:rsidP="00644194">
      <w:pPr>
        <w:spacing w:after="0" w:line="276" w:lineRule="auto"/>
        <w:jc w:val="both"/>
        <w:rPr>
          <w:rFonts w:ascii="Century Gothic" w:hAnsi="Century Gothic" w:cs="Arial"/>
          <w:sz w:val="22"/>
          <w:szCs w:val="22"/>
        </w:rPr>
      </w:pPr>
    </w:p>
    <w:p w14:paraId="1D095E6F" w14:textId="37D58E8B" w:rsidR="00644194" w:rsidRDefault="00A706B5" w:rsidP="00644194">
      <w:pPr>
        <w:spacing w:after="0" w:line="276" w:lineRule="auto"/>
        <w:jc w:val="both"/>
        <w:rPr>
          <w:rFonts w:ascii="Century Gothic" w:hAnsi="Century Gothic" w:cs="Arial"/>
          <w:sz w:val="22"/>
          <w:szCs w:val="22"/>
        </w:rPr>
      </w:pPr>
      <w:r w:rsidRPr="00A706B5">
        <w:rPr>
          <w:rFonts w:ascii="Century Gothic" w:hAnsi="Century Gothic" w:cs="Arial"/>
          <w:sz w:val="22"/>
          <w:szCs w:val="22"/>
        </w:rPr>
        <w:t>Entre os territórios analisados</w:t>
      </w:r>
      <w:r>
        <w:rPr>
          <w:rFonts w:ascii="Century Gothic" w:hAnsi="Century Gothic" w:cs="Arial"/>
          <w:sz w:val="22"/>
          <w:szCs w:val="22"/>
        </w:rPr>
        <w:t>, o</w:t>
      </w:r>
      <w:r w:rsidR="00ED21D9">
        <w:rPr>
          <w:rFonts w:ascii="Century Gothic" w:hAnsi="Century Gothic" w:cs="Arial"/>
          <w:sz w:val="22"/>
          <w:szCs w:val="22"/>
        </w:rPr>
        <w:t xml:space="preserve"> </w:t>
      </w:r>
      <w:r w:rsidR="00ED21D9" w:rsidRPr="00ED21D9">
        <w:rPr>
          <w:rFonts w:ascii="Century Gothic" w:hAnsi="Century Gothic" w:cs="Arial"/>
          <w:b/>
          <w:bCs/>
          <w:sz w:val="22"/>
          <w:szCs w:val="22"/>
        </w:rPr>
        <w:t>N</w:t>
      </w:r>
      <w:r w:rsidR="00644194" w:rsidRPr="00ED21D9">
        <w:rPr>
          <w:rFonts w:ascii="Century Gothic" w:hAnsi="Century Gothic" w:cs="Arial"/>
          <w:b/>
          <w:bCs/>
          <w:sz w:val="22"/>
          <w:szCs w:val="22"/>
        </w:rPr>
        <w:t>orte</w:t>
      </w:r>
      <w:r w:rsidR="00644194" w:rsidRPr="00D43871">
        <w:rPr>
          <w:rFonts w:ascii="Century Gothic" w:hAnsi="Century Gothic" w:cs="Arial"/>
          <w:b/>
          <w:bCs/>
          <w:sz w:val="22"/>
          <w:szCs w:val="22"/>
        </w:rPr>
        <w:t xml:space="preserve"> concentra alguns dos concertos com maior impacto económico do país</w:t>
      </w:r>
      <w:r w:rsidR="00644194" w:rsidRPr="00644194">
        <w:rPr>
          <w:rFonts w:ascii="Century Gothic" w:hAnsi="Century Gothic" w:cs="Arial"/>
          <w:sz w:val="22"/>
          <w:szCs w:val="22"/>
        </w:rPr>
        <w:t xml:space="preserve">. Os cinco espetáculos realizados na </w:t>
      </w:r>
      <w:r w:rsidR="00644194" w:rsidRPr="00D43871">
        <w:rPr>
          <w:rFonts w:ascii="Century Gothic" w:hAnsi="Century Gothic" w:cs="Arial"/>
          <w:b/>
          <w:bCs/>
          <w:sz w:val="22"/>
          <w:szCs w:val="22"/>
        </w:rPr>
        <w:t>Super Bock Arena</w:t>
      </w:r>
      <w:r w:rsidR="00644194" w:rsidRPr="00644194">
        <w:rPr>
          <w:rFonts w:ascii="Century Gothic" w:hAnsi="Century Gothic" w:cs="Arial"/>
          <w:sz w:val="22"/>
          <w:szCs w:val="22"/>
        </w:rPr>
        <w:t xml:space="preserve">, no Porto, lideram o impacto económico nacional nos concertos em recinto fechado, com mais de </w:t>
      </w:r>
      <w:r w:rsidR="00644194" w:rsidRPr="00D43871">
        <w:rPr>
          <w:rFonts w:ascii="Century Gothic" w:hAnsi="Century Gothic" w:cs="Arial"/>
          <w:b/>
          <w:bCs/>
          <w:sz w:val="22"/>
          <w:szCs w:val="22"/>
        </w:rPr>
        <w:t>2 milhões de euros</w:t>
      </w:r>
      <w:r w:rsidR="00644194" w:rsidRPr="00644194">
        <w:rPr>
          <w:rFonts w:ascii="Century Gothic" w:hAnsi="Century Gothic" w:cs="Arial"/>
          <w:sz w:val="22"/>
          <w:szCs w:val="22"/>
        </w:rPr>
        <w:t xml:space="preserve"> gerados. Nos concertos ao ar livre, </w:t>
      </w:r>
      <w:r w:rsidR="00644194" w:rsidRPr="00D43871">
        <w:rPr>
          <w:rFonts w:ascii="Century Gothic" w:hAnsi="Century Gothic" w:cs="Arial"/>
          <w:b/>
          <w:bCs/>
          <w:sz w:val="22"/>
          <w:szCs w:val="22"/>
        </w:rPr>
        <w:t>Maia e Matosinhos</w:t>
      </w:r>
      <w:r w:rsidR="00644194" w:rsidRPr="00644194">
        <w:rPr>
          <w:rFonts w:ascii="Century Gothic" w:hAnsi="Century Gothic" w:cs="Arial"/>
          <w:sz w:val="22"/>
          <w:szCs w:val="22"/>
        </w:rPr>
        <w:t xml:space="preserve"> ultrapassam ambos </w:t>
      </w:r>
      <w:r w:rsidR="00644194" w:rsidRPr="00D43871">
        <w:rPr>
          <w:rFonts w:ascii="Century Gothic" w:hAnsi="Century Gothic" w:cs="Arial"/>
          <w:b/>
          <w:bCs/>
          <w:sz w:val="22"/>
          <w:szCs w:val="22"/>
        </w:rPr>
        <w:t xml:space="preserve">1 milhão de euros </w:t>
      </w:r>
      <w:r w:rsidR="00644194" w:rsidRPr="00644194">
        <w:rPr>
          <w:rFonts w:ascii="Century Gothic" w:hAnsi="Century Gothic" w:cs="Arial"/>
          <w:sz w:val="22"/>
          <w:szCs w:val="22"/>
        </w:rPr>
        <w:t xml:space="preserve">de impacto económico estimado, </w:t>
      </w:r>
      <w:r w:rsidR="00644194" w:rsidRPr="00D43871">
        <w:rPr>
          <w:rFonts w:ascii="Century Gothic" w:hAnsi="Century Gothic" w:cs="Arial"/>
          <w:b/>
          <w:bCs/>
          <w:sz w:val="22"/>
          <w:szCs w:val="22"/>
        </w:rPr>
        <w:t>posicionando-se também entre os eventos com maior retorno económico em Portugal</w:t>
      </w:r>
      <w:r w:rsidR="00644194" w:rsidRPr="00644194">
        <w:rPr>
          <w:rFonts w:ascii="Century Gothic" w:hAnsi="Century Gothic" w:cs="Arial"/>
          <w:sz w:val="22"/>
          <w:szCs w:val="22"/>
        </w:rPr>
        <w:t>. Os dados reforçam a capacidade da música ao vivo para atrair visitantes, estimular o consumo local e gerar impacto em setores como hotelaria, restauração, comércio e lazer.</w:t>
      </w:r>
    </w:p>
    <w:p w14:paraId="77E7FA0E" w14:textId="77777777" w:rsidR="00644194" w:rsidRPr="00644194" w:rsidRDefault="00644194" w:rsidP="00644194">
      <w:pPr>
        <w:spacing w:after="0" w:line="276" w:lineRule="auto"/>
        <w:jc w:val="both"/>
        <w:rPr>
          <w:rFonts w:ascii="Century Gothic" w:hAnsi="Century Gothic" w:cs="Arial"/>
          <w:sz w:val="22"/>
          <w:szCs w:val="22"/>
        </w:rPr>
      </w:pPr>
    </w:p>
    <w:p w14:paraId="0B789B93" w14:textId="033ED23D" w:rsidR="00644194" w:rsidRPr="00644194" w:rsidRDefault="00ED21D9" w:rsidP="00644194">
      <w:pPr>
        <w:spacing w:after="0" w:line="276" w:lineRule="auto"/>
        <w:jc w:val="both"/>
        <w:rPr>
          <w:rFonts w:ascii="Century Gothic" w:hAnsi="Century Gothic" w:cs="Arial"/>
          <w:sz w:val="22"/>
          <w:szCs w:val="22"/>
        </w:rPr>
      </w:pPr>
      <w:r>
        <w:rPr>
          <w:rFonts w:ascii="Century Gothic" w:hAnsi="Century Gothic" w:cs="Arial"/>
          <w:sz w:val="22"/>
          <w:szCs w:val="22"/>
        </w:rPr>
        <w:t>A análise inclui</w:t>
      </w:r>
      <w:r w:rsidR="00644194" w:rsidRPr="00644194">
        <w:rPr>
          <w:rFonts w:ascii="Century Gothic" w:hAnsi="Century Gothic" w:cs="Arial"/>
          <w:sz w:val="22"/>
          <w:szCs w:val="22"/>
        </w:rPr>
        <w:t xml:space="preserve"> ainda concertos realizados em </w:t>
      </w:r>
      <w:r w:rsidR="001A5525">
        <w:rPr>
          <w:rFonts w:ascii="Century Gothic" w:hAnsi="Century Gothic" w:cs="Arial"/>
          <w:sz w:val="22"/>
          <w:szCs w:val="22"/>
        </w:rPr>
        <w:t xml:space="preserve">outros </w:t>
      </w:r>
      <w:r w:rsidR="00644194" w:rsidRPr="00644194">
        <w:rPr>
          <w:rFonts w:ascii="Century Gothic" w:hAnsi="Century Gothic" w:cs="Arial"/>
          <w:sz w:val="22"/>
          <w:szCs w:val="22"/>
        </w:rPr>
        <w:t>municípios</w:t>
      </w:r>
      <w:r w:rsidR="001A5525">
        <w:rPr>
          <w:rFonts w:ascii="Century Gothic" w:hAnsi="Century Gothic" w:cs="Arial"/>
          <w:sz w:val="22"/>
          <w:szCs w:val="22"/>
        </w:rPr>
        <w:t xml:space="preserve"> a norte</w:t>
      </w:r>
      <w:r w:rsidR="00644194" w:rsidRPr="00644194">
        <w:rPr>
          <w:rFonts w:ascii="Century Gothic" w:hAnsi="Century Gothic" w:cs="Arial"/>
          <w:sz w:val="22"/>
          <w:szCs w:val="22"/>
        </w:rPr>
        <w:t xml:space="preserve"> como Espinho, Paredes, Esposende, Régua, Chaves, Monção, Mirandela, Melgaço, Amarante, Vila Nova de Gaia, Póvoa de Varzim, Póvoa de Lanhoso, Bragança, Miranda do Douro, Cabeceiras de Basto, Vila Flor e Vila Nova de Cerveira.</w:t>
      </w:r>
    </w:p>
    <w:p w14:paraId="38209C8A" w14:textId="77777777" w:rsidR="00C52234" w:rsidRPr="00C52234" w:rsidRDefault="00C52234" w:rsidP="00C52234">
      <w:pPr>
        <w:spacing w:after="0" w:line="276" w:lineRule="auto"/>
        <w:jc w:val="both"/>
        <w:rPr>
          <w:rFonts w:ascii="Century Gothic" w:hAnsi="Century Gothic" w:cs="Arial"/>
          <w:sz w:val="22"/>
          <w:szCs w:val="22"/>
        </w:rPr>
      </w:pPr>
    </w:p>
    <w:p w14:paraId="7D84160D"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O estudo do IPAM conclui que os </w:t>
      </w:r>
      <w:r w:rsidRPr="00FE12F0">
        <w:rPr>
          <w:rFonts w:ascii="Century Gothic" w:hAnsi="Century Gothic" w:cs="Arial"/>
          <w:b/>
          <w:bCs/>
          <w:sz w:val="22"/>
          <w:szCs w:val="22"/>
        </w:rPr>
        <w:t>concertos ao ar livre</w:t>
      </w:r>
      <w:r w:rsidRPr="00C52234">
        <w:rPr>
          <w:rFonts w:ascii="Century Gothic" w:hAnsi="Century Gothic" w:cs="Arial"/>
          <w:sz w:val="22"/>
          <w:szCs w:val="22"/>
        </w:rPr>
        <w:t xml:space="preserve"> revelam uma forte capacidade de atração de público não residente e de prolongamento da permanência turística, contribuindo para gerar consumo adicional em vários setores da economia local. No caso dos espectadores não residentes, a despesa média estimada atinge os </w:t>
      </w:r>
      <w:r w:rsidRPr="00FE12F0">
        <w:rPr>
          <w:rFonts w:ascii="Century Gothic" w:hAnsi="Century Gothic" w:cs="Arial"/>
          <w:b/>
          <w:bCs/>
          <w:sz w:val="22"/>
          <w:szCs w:val="22"/>
        </w:rPr>
        <w:t>24.1 euros</w:t>
      </w:r>
      <w:r w:rsidRPr="00C52234">
        <w:rPr>
          <w:rFonts w:ascii="Century Gothic" w:hAnsi="Century Gothic" w:cs="Arial"/>
          <w:sz w:val="22"/>
          <w:szCs w:val="22"/>
        </w:rPr>
        <w:t xml:space="preserve"> em deslocação, </w:t>
      </w:r>
      <w:r w:rsidRPr="00FE12F0">
        <w:rPr>
          <w:rFonts w:ascii="Century Gothic" w:hAnsi="Century Gothic" w:cs="Arial"/>
          <w:b/>
          <w:bCs/>
          <w:sz w:val="22"/>
          <w:szCs w:val="22"/>
        </w:rPr>
        <w:t>22.5 euros</w:t>
      </w:r>
      <w:r w:rsidRPr="00C52234">
        <w:rPr>
          <w:rFonts w:ascii="Century Gothic" w:hAnsi="Century Gothic" w:cs="Arial"/>
          <w:sz w:val="22"/>
          <w:szCs w:val="22"/>
        </w:rPr>
        <w:t xml:space="preserve"> em alimentação e </w:t>
      </w:r>
      <w:r w:rsidRPr="00FE12F0">
        <w:rPr>
          <w:rFonts w:ascii="Century Gothic" w:hAnsi="Century Gothic" w:cs="Arial"/>
          <w:b/>
          <w:bCs/>
          <w:sz w:val="22"/>
          <w:szCs w:val="22"/>
        </w:rPr>
        <w:t>62.6 euros</w:t>
      </w:r>
      <w:r w:rsidRPr="00C52234">
        <w:rPr>
          <w:rFonts w:ascii="Century Gothic" w:hAnsi="Century Gothic" w:cs="Arial"/>
          <w:sz w:val="22"/>
          <w:szCs w:val="22"/>
        </w:rPr>
        <w:t xml:space="preserve"> por noite em alojamento, entre os que pernoitam. A estadia média é de </w:t>
      </w:r>
      <w:r w:rsidRPr="00FE12F0">
        <w:rPr>
          <w:rFonts w:ascii="Century Gothic" w:hAnsi="Century Gothic" w:cs="Arial"/>
          <w:b/>
          <w:bCs/>
          <w:sz w:val="22"/>
          <w:szCs w:val="22"/>
        </w:rPr>
        <w:t>2.38 noites</w:t>
      </w:r>
      <w:r w:rsidRPr="00C52234">
        <w:rPr>
          <w:rFonts w:ascii="Century Gothic" w:hAnsi="Century Gothic" w:cs="Arial"/>
          <w:sz w:val="22"/>
          <w:szCs w:val="22"/>
        </w:rPr>
        <w:t xml:space="preserve">, reforçando o efeito económico para além do momento do espetáculo. </w:t>
      </w:r>
    </w:p>
    <w:p w14:paraId="77E8F7DE" w14:textId="77777777" w:rsidR="00C52234" w:rsidRPr="00C52234" w:rsidRDefault="00C52234" w:rsidP="00C52234">
      <w:pPr>
        <w:spacing w:after="0" w:line="276" w:lineRule="auto"/>
        <w:jc w:val="both"/>
        <w:rPr>
          <w:rFonts w:ascii="Century Gothic" w:hAnsi="Century Gothic" w:cs="Arial"/>
          <w:sz w:val="22"/>
          <w:szCs w:val="22"/>
        </w:rPr>
      </w:pPr>
    </w:p>
    <w:p w14:paraId="4F4EE3BD" w14:textId="051133E3"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Os resultados</w:t>
      </w:r>
      <w:r w:rsidR="009D410D">
        <w:rPr>
          <w:rFonts w:ascii="Century Gothic" w:hAnsi="Century Gothic" w:cs="Arial"/>
          <w:sz w:val="22"/>
          <w:szCs w:val="22"/>
        </w:rPr>
        <w:t xml:space="preserve"> totais do país</w:t>
      </w:r>
      <w:r w:rsidRPr="00C52234">
        <w:rPr>
          <w:rFonts w:ascii="Century Gothic" w:hAnsi="Century Gothic" w:cs="Arial"/>
          <w:sz w:val="22"/>
          <w:szCs w:val="22"/>
        </w:rPr>
        <w:t xml:space="preserve"> indicam ainda que os </w:t>
      </w:r>
      <w:r w:rsidRPr="00FE12F0">
        <w:rPr>
          <w:rFonts w:ascii="Century Gothic" w:hAnsi="Century Gothic" w:cs="Arial"/>
          <w:b/>
          <w:bCs/>
          <w:sz w:val="22"/>
          <w:szCs w:val="22"/>
        </w:rPr>
        <w:t>concertos ao ar livre</w:t>
      </w:r>
      <w:r w:rsidRPr="00C52234">
        <w:rPr>
          <w:rFonts w:ascii="Century Gothic" w:hAnsi="Century Gothic" w:cs="Arial"/>
          <w:sz w:val="22"/>
          <w:szCs w:val="22"/>
        </w:rPr>
        <w:t xml:space="preserve">, correspondendo a mais de </w:t>
      </w:r>
      <w:r w:rsidRPr="00FE12F0">
        <w:rPr>
          <w:rFonts w:ascii="Century Gothic" w:hAnsi="Century Gothic" w:cs="Arial"/>
          <w:b/>
          <w:bCs/>
          <w:sz w:val="22"/>
          <w:szCs w:val="22"/>
        </w:rPr>
        <w:t>435 mil espectadores</w:t>
      </w:r>
      <w:r w:rsidRPr="00C52234">
        <w:rPr>
          <w:rFonts w:ascii="Century Gothic" w:hAnsi="Century Gothic" w:cs="Arial"/>
          <w:sz w:val="22"/>
          <w:szCs w:val="22"/>
        </w:rPr>
        <w:t xml:space="preserve">, concentraram um impacto económico estimado de </w:t>
      </w:r>
      <w:r w:rsidRPr="00FE12F0">
        <w:rPr>
          <w:rFonts w:ascii="Century Gothic" w:hAnsi="Century Gothic" w:cs="Arial"/>
          <w:b/>
          <w:bCs/>
          <w:sz w:val="22"/>
          <w:szCs w:val="22"/>
        </w:rPr>
        <w:t>20 milhões</w:t>
      </w:r>
      <w:r w:rsidRPr="00C52234">
        <w:rPr>
          <w:rFonts w:ascii="Century Gothic" w:hAnsi="Century Gothic" w:cs="Arial"/>
          <w:sz w:val="22"/>
          <w:szCs w:val="22"/>
        </w:rPr>
        <w:t xml:space="preserve"> de euros em 2025, com um gasto médio de </w:t>
      </w:r>
      <w:r w:rsidRPr="00FE12F0">
        <w:rPr>
          <w:rFonts w:ascii="Century Gothic" w:hAnsi="Century Gothic" w:cs="Arial"/>
          <w:b/>
          <w:bCs/>
          <w:sz w:val="22"/>
          <w:szCs w:val="22"/>
        </w:rPr>
        <w:t>43 euros</w:t>
      </w:r>
      <w:r w:rsidRPr="00C52234">
        <w:rPr>
          <w:rFonts w:ascii="Century Gothic" w:hAnsi="Century Gothic" w:cs="Arial"/>
          <w:sz w:val="22"/>
          <w:szCs w:val="22"/>
        </w:rPr>
        <w:t xml:space="preserve"> por espectador. Já os espetáculos em recinto fechado geraram um impacto estimado de cerca de </w:t>
      </w:r>
      <w:r w:rsidRPr="00FE12F0">
        <w:rPr>
          <w:rFonts w:ascii="Century Gothic" w:hAnsi="Century Gothic" w:cs="Arial"/>
          <w:b/>
          <w:bCs/>
          <w:sz w:val="22"/>
          <w:szCs w:val="22"/>
        </w:rPr>
        <w:t>5 milhões de euros</w:t>
      </w:r>
      <w:r w:rsidRPr="00C52234">
        <w:rPr>
          <w:rFonts w:ascii="Century Gothic" w:hAnsi="Century Gothic" w:cs="Arial"/>
          <w:sz w:val="22"/>
          <w:szCs w:val="22"/>
        </w:rPr>
        <w:t xml:space="preserve">. </w:t>
      </w:r>
    </w:p>
    <w:p w14:paraId="47B2106C" w14:textId="77777777" w:rsidR="00C52234" w:rsidRPr="00C52234" w:rsidRDefault="00C52234" w:rsidP="00C52234">
      <w:pPr>
        <w:spacing w:after="0" w:line="276" w:lineRule="auto"/>
        <w:jc w:val="both"/>
        <w:rPr>
          <w:rFonts w:ascii="Century Gothic" w:hAnsi="Century Gothic" w:cs="Arial"/>
          <w:sz w:val="22"/>
          <w:szCs w:val="22"/>
        </w:rPr>
      </w:pPr>
    </w:p>
    <w:p w14:paraId="20839C9C"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Esta análise, inédita na indústria da música nacional, baseia-se em 933 respostas válidas recolhidas junto de espectadores de concertos realizados em diferentes pontos do país e avalia os efeitos diretos dos eventos na economia local, considerando despesas em alimentação, deslocação, alojamento, compras e atividades de lazer. </w:t>
      </w:r>
    </w:p>
    <w:p w14:paraId="762B8D14" w14:textId="77777777" w:rsidR="00C52234" w:rsidRPr="00C52234" w:rsidRDefault="00C52234" w:rsidP="00C52234">
      <w:pPr>
        <w:spacing w:after="0" w:line="276" w:lineRule="auto"/>
        <w:jc w:val="both"/>
        <w:rPr>
          <w:rFonts w:ascii="Century Gothic" w:hAnsi="Century Gothic" w:cs="Arial"/>
          <w:sz w:val="22"/>
          <w:szCs w:val="22"/>
        </w:rPr>
      </w:pPr>
    </w:p>
    <w:p w14:paraId="741BC311"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O estudo mostra ainda que </w:t>
      </w:r>
      <w:r w:rsidRPr="00FE12F0">
        <w:rPr>
          <w:rFonts w:ascii="Century Gothic" w:hAnsi="Century Gothic" w:cs="Arial"/>
          <w:b/>
          <w:bCs/>
          <w:sz w:val="22"/>
          <w:szCs w:val="22"/>
        </w:rPr>
        <w:t xml:space="preserve">mais de metade dos espectadores inquiridos (55%) </w:t>
      </w:r>
      <w:r w:rsidRPr="00C52234">
        <w:rPr>
          <w:rFonts w:ascii="Century Gothic" w:hAnsi="Century Gothic" w:cs="Arial"/>
          <w:sz w:val="22"/>
          <w:szCs w:val="22"/>
        </w:rPr>
        <w:t xml:space="preserve">não reside na cidade onde decorre o concerto, confirmando a capacidade destes eventos para captar visitantes e gerar receita adicional para os territórios. Entre os que se deslocaram de outras localidades, </w:t>
      </w:r>
      <w:r w:rsidRPr="00FE12F0">
        <w:rPr>
          <w:rFonts w:ascii="Century Gothic" w:hAnsi="Century Gothic" w:cs="Arial"/>
          <w:b/>
          <w:bCs/>
          <w:sz w:val="22"/>
          <w:szCs w:val="22"/>
        </w:rPr>
        <w:t>95% afirmou ter viajado</w:t>
      </w:r>
      <w:r w:rsidRPr="00C52234">
        <w:rPr>
          <w:rFonts w:ascii="Century Gothic" w:hAnsi="Century Gothic" w:cs="Arial"/>
          <w:sz w:val="22"/>
          <w:szCs w:val="22"/>
        </w:rPr>
        <w:t xml:space="preserve"> especificamente para assistir ao concerto de Pedro Abrunhosa. </w:t>
      </w:r>
    </w:p>
    <w:p w14:paraId="6FEE1DF7" w14:textId="77777777" w:rsidR="00C52234" w:rsidRPr="00C52234" w:rsidRDefault="00C52234" w:rsidP="00C52234">
      <w:pPr>
        <w:spacing w:after="0" w:line="276" w:lineRule="auto"/>
        <w:jc w:val="both"/>
        <w:rPr>
          <w:rFonts w:ascii="Century Gothic" w:hAnsi="Century Gothic" w:cs="Arial"/>
          <w:sz w:val="22"/>
          <w:szCs w:val="22"/>
        </w:rPr>
      </w:pPr>
    </w:p>
    <w:p w14:paraId="68175E6E" w14:textId="16837807" w:rsidR="00C52234" w:rsidRDefault="00C52234" w:rsidP="00C52234">
      <w:pPr>
        <w:spacing w:after="0" w:line="276" w:lineRule="auto"/>
        <w:jc w:val="both"/>
        <w:rPr>
          <w:rFonts w:ascii="Century Gothic" w:hAnsi="Century Gothic" w:cs="Arial"/>
          <w:sz w:val="22"/>
          <w:szCs w:val="22"/>
        </w:rPr>
      </w:pPr>
      <w:r w:rsidRPr="00FE12F0">
        <w:rPr>
          <w:rFonts w:ascii="Century Gothic" w:hAnsi="Century Gothic" w:cs="Arial"/>
          <w:i/>
          <w:iCs/>
          <w:sz w:val="22"/>
          <w:szCs w:val="22"/>
        </w:rPr>
        <w:t xml:space="preserve">“Os resultados mostram que a música ao vivo pode assumir um papel relevante na afirmação turística dos territórios. No </w:t>
      </w:r>
      <w:r w:rsidR="00D54ECE">
        <w:rPr>
          <w:rFonts w:ascii="Century Gothic" w:hAnsi="Century Gothic" w:cs="Arial"/>
          <w:i/>
          <w:iCs/>
          <w:sz w:val="22"/>
          <w:szCs w:val="22"/>
        </w:rPr>
        <w:t>Norte</w:t>
      </w:r>
      <w:r w:rsidRPr="00FE12F0">
        <w:rPr>
          <w:rFonts w:ascii="Century Gothic" w:hAnsi="Century Gothic" w:cs="Arial"/>
          <w:i/>
          <w:iCs/>
          <w:sz w:val="22"/>
          <w:szCs w:val="22"/>
        </w:rPr>
        <w:t>, os concertos revelam capacidade para atrair visitantes, prolongar estadias e gerar consumo em áreas como hotelaria, restauração e lazer”</w:t>
      </w:r>
      <w:r w:rsidRPr="00C52234">
        <w:rPr>
          <w:rFonts w:ascii="Century Gothic" w:hAnsi="Century Gothic" w:cs="Arial"/>
          <w:sz w:val="22"/>
          <w:szCs w:val="22"/>
        </w:rPr>
        <w:t xml:space="preserve">, afirma </w:t>
      </w:r>
      <w:r w:rsidRPr="00FE12F0">
        <w:rPr>
          <w:rFonts w:ascii="Century Gothic" w:hAnsi="Century Gothic" w:cs="Arial"/>
          <w:b/>
          <w:bCs/>
          <w:sz w:val="22"/>
          <w:szCs w:val="22"/>
        </w:rPr>
        <w:t>Ana Ramires, investigadora do IPAM e coautora do estudo</w:t>
      </w:r>
      <w:r w:rsidRPr="00C52234">
        <w:rPr>
          <w:rFonts w:ascii="Century Gothic" w:hAnsi="Century Gothic" w:cs="Arial"/>
          <w:sz w:val="22"/>
          <w:szCs w:val="22"/>
        </w:rPr>
        <w:t>.</w:t>
      </w:r>
    </w:p>
    <w:p w14:paraId="0AE4E2EA" w14:textId="77777777" w:rsidR="00C52234" w:rsidRPr="00C52234" w:rsidRDefault="00C52234" w:rsidP="00C52234">
      <w:pPr>
        <w:spacing w:after="0" w:line="276" w:lineRule="auto"/>
        <w:jc w:val="both"/>
        <w:rPr>
          <w:rFonts w:ascii="Century Gothic" w:hAnsi="Century Gothic" w:cs="Arial"/>
          <w:sz w:val="22"/>
          <w:szCs w:val="22"/>
        </w:rPr>
      </w:pPr>
    </w:p>
    <w:p w14:paraId="638E9A85" w14:textId="77777777" w:rsidR="00C52234" w:rsidRPr="00FE12F0" w:rsidRDefault="00C52234" w:rsidP="00C52234">
      <w:pPr>
        <w:spacing w:after="0" w:line="276" w:lineRule="auto"/>
        <w:jc w:val="both"/>
        <w:rPr>
          <w:rFonts w:ascii="Century Gothic" w:hAnsi="Century Gothic" w:cs="Arial"/>
          <w:i/>
          <w:iCs/>
          <w:sz w:val="22"/>
          <w:szCs w:val="22"/>
        </w:rPr>
      </w:pPr>
      <w:r w:rsidRPr="00C52234">
        <w:rPr>
          <w:rFonts w:ascii="Century Gothic" w:hAnsi="Century Gothic" w:cs="Arial"/>
          <w:sz w:val="22"/>
          <w:szCs w:val="22"/>
        </w:rPr>
        <w:t xml:space="preserve">Para </w:t>
      </w:r>
      <w:r w:rsidRPr="00FE12F0">
        <w:rPr>
          <w:rFonts w:ascii="Century Gothic" w:hAnsi="Century Gothic" w:cs="Arial"/>
          <w:b/>
          <w:bCs/>
          <w:sz w:val="22"/>
          <w:szCs w:val="22"/>
        </w:rPr>
        <w:t>Isabel Machado, também investigadora do IPAM e coautora do estudo</w:t>
      </w:r>
      <w:r w:rsidRPr="00C52234">
        <w:rPr>
          <w:rFonts w:ascii="Century Gothic" w:hAnsi="Century Gothic" w:cs="Arial"/>
          <w:sz w:val="22"/>
          <w:szCs w:val="22"/>
        </w:rPr>
        <w:t xml:space="preserve">, </w:t>
      </w:r>
      <w:r w:rsidRPr="00FE12F0">
        <w:rPr>
          <w:rFonts w:ascii="Century Gothic" w:hAnsi="Century Gothic" w:cs="Arial"/>
          <w:i/>
          <w:iCs/>
          <w:sz w:val="22"/>
          <w:szCs w:val="22"/>
        </w:rPr>
        <w:t>“quando existe articulação entre programação cultural e oferta turística local, os concertos conseguem transformar-se em experiências mais completas, capazes de gerar impacto económico direto e reforçar a ligação dos visitantes aos destinos”.</w:t>
      </w:r>
    </w:p>
    <w:p w14:paraId="2DC2ADB8" w14:textId="77777777" w:rsidR="00C52234" w:rsidRDefault="00C52234" w:rsidP="0085493E">
      <w:pPr>
        <w:spacing w:after="0" w:line="276" w:lineRule="auto"/>
        <w:jc w:val="both"/>
        <w:rPr>
          <w:rFonts w:ascii="Century Gothic" w:hAnsi="Century Gothic" w:cs="Arial"/>
          <w:sz w:val="22"/>
          <w:szCs w:val="22"/>
        </w:rPr>
      </w:pPr>
    </w:p>
    <w:p w14:paraId="36571F29" w14:textId="77777777" w:rsidR="00C52234" w:rsidRDefault="00C52234" w:rsidP="0085493E">
      <w:pPr>
        <w:spacing w:after="0" w:line="276" w:lineRule="auto"/>
        <w:jc w:val="both"/>
        <w:rPr>
          <w:rFonts w:ascii="Century Gothic" w:hAnsi="Century Gothic" w:cs="Arial"/>
          <w:sz w:val="22"/>
          <w:szCs w:val="22"/>
        </w:rPr>
      </w:pPr>
    </w:p>
    <w:p w14:paraId="2C9B254F" w14:textId="77777777" w:rsidR="002B3556" w:rsidRPr="0069437F" w:rsidRDefault="002B3556" w:rsidP="0085493E">
      <w:pPr>
        <w:spacing w:after="0" w:line="276" w:lineRule="auto"/>
        <w:jc w:val="both"/>
        <w:rPr>
          <w:rFonts w:ascii="Century Gothic" w:hAnsi="Century Gothic" w:cs="Arial"/>
          <w:sz w:val="20"/>
          <w:szCs w:val="20"/>
        </w:rPr>
      </w:pPr>
    </w:p>
    <w:p w14:paraId="36362EF5" w14:textId="77777777" w:rsidR="00B21251" w:rsidRDefault="00B21251" w:rsidP="00B21251">
      <w:pPr>
        <w:spacing w:after="0" w:line="276" w:lineRule="auto"/>
        <w:jc w:val="both"/>
        <w:rPr>
          <w:rFonts w:ascii="Century Gothic" w:hAnsi="Century Gothic" w:cs="Arial"/>
          <w:b/>
          <w:bCs/>
          <w:sz w:val="18"/>
          <w:szCs w:val="18"/>
        </w:rPr>
      </w:pPr>
      <w:r w:rsidRPr="00B21251">
        <w:rPr>
          <w:rFonts w:ascii="Century Gothic" w:hAnsi="Century Gothic" w:cs="Arial"/>
          <w:b/>
          <w:bCs/>
          <w:sz w:val="18"/>
          <w:szCs w:val="18"/>
        </w:rPr>
        <w:t>Ficha técnica</w:t>
      </w:r>
    </w:p>
    <w:p w14:paraId="6AEB2CD7" w14:textId="77777777" w:rsidR="00AA6525" w:rsidRDefault="00AA6525" w:rsidP="00B21251">
      <w:pPr>
        <w:spacing w:after="0" w:line="276" w:lineRule="auto"/>
        <w:jc w:val="both"/>
        <w:rPr>
          <w:rFonts w:ascii="Century Gothic" w:hAnsi="Century Gothic" w:cs="Arial"/>
          <w:b/>
          <w:bCs/>
          <w:sz w:val="18"/>
          <w:szCs w:val="18"/>
        </w:rPr>
      </w:pPr>
    </w:p>
    <w:p w14:paraId="2BF04A80" w14:textId="157F3AF2" w:rsidR="00A530B8" w:rsidRDefault="00A530B8" w:rsidP="00A530B8">
      <w:pPr>
        <w:spacing w:after="0" w:line="276" w:lineRule="auto"/>
        <w:jc w:val="both"/>
        <w:rPr>
          <w:rFonts w:ascii="Century Gothic" w:hAnsi="Century Gothic" w:cs="Arial"/>
          <w:sz w:val="18"/>
          <w:szCs w:val="18"/>
        </w:rPr>
      </w:pPr>
      <w:r w:rsidRPr="00862EA1">
        <w:rPr>
          <w:rFonts w:ascii="Century Gothic" w:hAnsi="Century Gothic" w:cs="Arial"/>
          <w:sz w:val="18"/>
          <w:szCs w:val="18"/>
        </w:rPr>
        <w:t xml:space="preserve">Trata-se de um estudo académico desenvolvido pelo IPAM que analisou o impacto económico dos concertos de Pedro Abrunhosa realizados em Portugal ao longo de 2025. A investigação avaliou despesas associadas </w:t>
      </w:r>
      <w:r w:rsidR="00E65BCF">
        <w:rPr>
          <w:rFonts w:ascii="Century Gothic" w:hAnsi="Century Gothic" w:cs="Arial"/>
          <w:sz w:val="18"/>
          <w:szCs w:val="18"/>
        </w:rPr>
        <w:t>à</w:t>
      </w:r>
      <w:r w:rsidRPr="00862EA1">
        <w:rPr>
          <w:rFonts w:ascii="Century Gothic" w:hAnsi="Century Gothic" w:cs="Arial"/>
          <w:sz w:val="18"/>
          <w:szCs w:val="18"/>
        </w:rPr>
        <w:t xml:space="preserve"> deslocação, alimentação, alojamento, compras e lazer, considerando espectadores residentes e não residentes nas cidades onde decorreram os espetáculos.</w:t>
      </w:r>
    </w:p>
    <w:p w14:paraId="3C66E000" w14:textId="77777777" w:rsidR="00A530B8" w:rsidRPr="00862EA1" w:rsidRDefault="00A530B8" w:rsidP="00A530B8">
      <w:pPr>
        <w:spacing w:after="0" w:line="276" w:lineRule="auto"/>
        <w:jc w:val="both"/>
        <w:rPr>
          <w:rFonts w:ascii="Century Gothic" w:hAnsi="Century Gothic" w:cs="Arial"/>
          <w:sz w:val="18"/>
          <w:szCs w:val="18"/>
        </w:rPr>
      </w:pPr>
    </w:p>
    <w:p w14:paraId="51AC2F20" w14:textId="77777777" w:rsidR="00A530B8" w:rsidRDefault="00A530B8" w:rsidP="00A530B8">
      <w:pPr>
        <w:spacing w:after="0" w:line="276" w:lineRule="auto"/>
        <w:jc w:val="both"/>
        <w:rPr>
          <w:rFonts w:ascii="Century Gothic" w:hAnsi="Century Gothic" w:cs="Arial"/>
          <w:sz w:val="18"/>
          <w:szCs w:val="18"/>
        </w:rPr>
      </w:pPr>
      <w:r w:rsidRPr="00862EA1">
        <w:rPr>
          <w:rFonts w:ascii="Century Gothic" w:hAnsi="Century Gothic" w:cs="Arial"/>
          <w:sz w:val="18"/>
          <w:szCs w:val="18"/>
        </w:rPr>
        <w:t xml:space="preserve">A recolha de dados foi </w:t>
      </w:r>
      <w:r>
        <w:rPr>
          <w:rFonts w:ascii="Century Gothic" w:hAnsi="Century Gothic" w:cs="Arial"/>
          <w:sz w:val="18"/>
          <w:szCs w:val="18"/>
        </w:rPr>
        <w:t>efetuada</w:t>
      </w:r>
      <w:r w:rsidRPr="00862EA1">
        <w:rPr>
          <w:rFonts w:ascii="Century Gothic" w:hAnsi="Century Gothic" w:cs="Arial"/>
          <w:sz w:val="18"/>
          <w:szCs w:val="18"/>
        </w:rPr>
        <w:t xml:space="preserve"> através de questionário</w:t>
      </w:r>
      <w:r>
        <w:rPr>
          <w:rFonts w:ascii="Century Gothic" w:hAnsi="Century Gothic" w:cs="Arial"/>
          <w:sz w:val="18"/>
          <w:szCs w:val="18"/>
        </w:rPr>
        <w:t xml:space="preserve"> </w:t>
      </w:r>
      <w:r w:rsidRPr="00862EA1">
        <w:rPr>
          <w:rFonts w:ascii="Century Gothic" w:hAnsi="Century Gothic" w:cs="Arial"/>
          <w:sz w:val="18"/>
          <w:szCs w:val="18"/>
        </w:rPr>
        <w:t xml:space="preserve">aplicado </w:t>
      </w:r>
      <w:r>
        <w:rPr>
          <w:rFonts w:ascii="Century Gothic" w:hAnsi="Century Gothic" w:cs="Arial"/>
          <w:sz w:val="18"/>
          <w:szCs w:val="18"/>
        </w:rPr>
        <w:t>presencialmente nos</w:t>
      </w:r>
      <w:r w:rsidRPr="00862EA1">
        <w:rPr>
          <w:rFonts w:ascii="Century Gothic" w:hAnsi="Century Gothic" w:cs="Arial"/>
          <w:sz w:val="18"/>
          <w:szCs w:val="18"/>
        </w:rPr>
        <w:t xml:space="preserve"> concertos em Guimarães e Bragança</w:t>
      </w:r>
      <w:r>
        <w:rPr>
          <w:rFonts w:ascii="Century Gothic" w:hAnsi="Century Gothic" w:cs="Arial"/>
          <w:sz w:val="18"/>
          <w:szCs w:val="18"/>
        </w:rPr>
        <w:t xml:space="preserve"> e</w:t>
      </w:r>
      <w:r w:rsidRPr="00862EA1">
        <w:rPr>
          <w:rFonts w:ascii="Century Gothic" w:hAnsi="Century Gothic" w:cs="Arial"/>
          <w:sz w:val="18"/>
          <w:szCs w:val="18"/>
        </w:rPr>
        <w:t xml:space="preserve"> </w:t>
      </w:r>
      <w:r>
        <w:rPr>
          <w:rFonts w:ascii="Century Gothic" w:hAnsi="Century Gothic" w:cs="Arial"/>
          <w:sz w:val="18"/>
          <w:szCs w:val="18"/>
        </w:rPr>
        <w:t xml:space="preserve">online </w:t>
      </w:r>
      <w:r w:rsidRPr="00862EA1">
        <w:rPr>
          <w:rFonts w:ascii="Century Gothic" w:hAnsi="Century Gothic" w:cs="Arial"/>
          <w:sz w:val="18"/>
          <w:szCs w:val="18"/>
        </w:rPr>
        <w:t xml:space="preserve">através das redes sociais do artista. </w:t>
      </w:r>
      <w:r>
        <w:rPr>
          <w:rFonts w:ascii="Century Gothic" w:hAnsi="Century Gothic" w:cs="Arial"/>
          <w:sz w:val="18"/>
          <w:szCs w:val="18"/>
        </w:rPr>
        <w:t xml:space="preserve">Aplicou-se a técnica de amostragem não probabilística e por conveniência. </w:t>
      </w:r>
      <w:r w:rsidRPr="00862EA1">
        <w:rPr>
          <w:rFonts w:ascii="Century Gothic" w:hAnsi="Century Gothic" w:cs="Arial"/>
          <w:sz w:val="18"/>
          <w:szCs w:val="18"/>
        </w:rPr>
        <w:t>Após exclusão de respostas inválidas, o estudo integrou uma amostra final de 933 respostas válidas</w:t>
      </w:r>
      <w:r>
        <w:rPr>
          <w:rFonts w:ascii="Century Gothic" w:hAnsi="Century Gothic" w:cs="Arial"/>
          <w:sz w:val="18"/>
          <w:szCs w:val="18"/>
        </w:rPr>
        <w:t xml:space="preserve">. O público da </w:t>
      </w:r>
      <w:r w:rsidRPr="0026072E">
        <w:rPr>
          <w:rFonts w:ascii="Century Gothic" w:hAnsi="Century Gothic" w:cs="Arial"/>
          <w:sz w:val="18"/>
          <w:szCs w:val="18"/>
        </w:rPr>
        <w:t>amostra</w:t>
      </w:r>
      <w:r>
        <w:rPr>
          <w:rFonts w:ascii="Century Gothic" w:hAnsi="Century Gothic" w:cs="Arial"/>
          <w:sz w:val="18"/>
          <w:szCs w:val="18"/>
        </w:rPr>
        <w:t xml:space="preserve"> </w:t>
      </w:r>
      <w:r w:rsidRPr="0026072E">
        <w:rPr>
          <w:rFonts w:ascii="Century Gothic" w:hAnsi="Century Gothic" w:cs="Arial"/>
          <w:sz w:val="18"/>
          <w:szCs w:val="18"/>
        </w:rPr>
        <w:t>é</w:t>
      </w:r>
      <w:r>
        <w:rPr>
          <w:rFonts w:ascii="Century Gothic" w:hAnsi="Century Gothic" w:cs="Arial"/>
          <w:sz w:val="18"/>
          <w:szCs w:val="18"/>
        </w:rPr>
        <w:t xml:space="preserve"> </w:t>
      </w:r>
      <w:r w:rsidRPr="0026072E">
        <w:rPr>
          <w:rFonts w:ascii="Century Gothic" w:hAnsi="Century Gothic" w:cs="Arial"/>
          <w:sz w:val="18"/>
          <w:szCs w:val="18"/>
        </w:rPr>
        <w:t>predominantemente</w:t>
      </w:r>
      <w:r>
        <w:rPr>
          <w:rFonts w:ascii="Century Gothic" w:hAnsi="Century Gothic" w:cs="Arial"/>
          <w:sz w:val="18"/>
          <w:szCs w:val="18"/>
        </w:rPr>
        <w:t xml:space="preserve"> </w:t>
      </w:r>
      <w:r w:rsidRPr="0026072E">
        <w:rPr>
          <w:rFonts w:ascii="Century Gothic" w:hAnsi="Century Gothic" w:cs="Arial"/>
          <w:sz w:val="18"/>
          <w:szCs w:val="18"/>
        </w:rPr>
        <w:t>feminin</w:t>
      </w:r>
      <w:r>
        <w:rPr>
          <w:rFonts w:ascii="Century Gothic" w:hAnsi="Century Gothic" w:cs="Arial"/>
          <w:sz w:val="18"/>
          <w:szCs w:val="18"/>
        </w:rPr>
        <w:t xml:space="preserve">o </w:t>
      </w:r>
      <w:r w:rsidRPr="00862EA1">
        <w:rPr>
          <w:rFonts w:ascii="Century Gothic" w:hAnsi="Century Gothic" w:cs="Arial"/>
          <w:sz w:val="18"/>
          <w:szCs w:val="18"/>
        </w:rPr>
        <w:t>(70</w:t>
      </w:r>
      <w:r>
        <w:rPr>
          <w:rFonts w:ascii="Century Gothic" w:hAnsi="Century Gothic" w:cs="Arial"/>
          <w:sz w:val="18"/>
          <w:szCs w:val="18"/>
        </w:rPr>
        <w:t>.</w:t>
      </w:r>
      <w:r w:rsidRPr="00862EA1">
        <w:rPr>
          <w:rFonts w:ascii="Century Gothic" w:hAnsi="Century Gothic" w:cs="Arial"/>
          <w:sz w:val="18"/>
          <w:szCs w:val="18"/>
        </w:rPr>
        <w:t xml:space="preserve">5%), </w:t>
      </w:r>
      <w:r>
        <w:rPr>
          <w:rFonts w:ascii="Century Gothic" w:hAnsi="Century Gothic" w:cs="Arial"/>
          <w:sz w:val="18"/>
          <w:szCs w:val="18"/>
        </w:rPr>
        <w:t>metade tem idade</w:t>
      </w:r>
      <w:r w:rsidRPr="00862EA1">
        <w:rPr>
          <w:rFonts w:ascii="Century Gothic" w:hAnsi="Century Gothic" w:cs="Arial"/>
          <w:sz w:val="18"/>
          <w:szCs w:val="18"/>
        </w:rPr>
        <w:t xml:space="preserve"> entre os 40 e os 51 anos e </w:t>
      </w:r>
      <w:r>
        <w:rPr>
          <w:rFonts w:ascii="Century Gothic" w:hAnsi="Century Gothic" w:cs="Arial"/>
          <w:sz w:val="18"/>
          <w:szCs w:val="18"/>
        </w:rPr>
        <w:t>a maioria (61.8%) detém um grau de ensino superior</w:t>
      </w:r>
      <w:r w:rsidRPr="00862EA1">
        <w:rPr>
          <w:rFonts w:ascii="Century Gothic" w:hAnsi="Century Gothic" w:cs="Arial"/>
          <w:sz w:val="18"/>
          <w:szCs w:val="18"/>
        </w:rPr>
        <w:t>. Mais de metade dos inquiridos (55</w:t>
      </w:r>
      <w:r>
        <w:rPr>
          <w:rFonts w:ascii="Century Gothic" w:hAnsi="Century Gothic" w:cs="Arial"/>
          <w:sz w:val="18"/>
          <w:szCs w:val="18"/>
        </w:rPr>
        <w:t>.</w:t>
      </w:r>
      <w:r w:rsidRPr="00862EA1">
        <w:rPr>
          <w:rFonts w:ascii="Century Gothic" w:hAnsi="Century Gothic" w:cs="Arial"/>
          <w:sz w:val="18"/>
          <w:szCs w:val="18"/>
        </w:rPr>
        <w:t>3%) não residia na cidade onde assistiu ao concerto.</w:t>
      </w:r>
    </w:p>
    <w:p w14:paraId="5598B145" w14:textId="77777777" w:rsidR="00A530B8" w:rsidRPr="00862EA1" w:rsidRDefault="00A530B8" w:rsidP="00A530B8">
      <w:pPr>
        <w:spacing w:after="0" w:line="276" w:lineRule="auto"/>
        <w:jc w:val="both"/>
        <w:rPr>
          <w:rFonts w:ascii="Century Gothic" w:hAnsi="Century Gothic" w:cs="Arial"/>
          <w:sz w:val="18"/>
          <w:szCs w:val="18"/>
        </w:rPr>
      </w:pPr>
    </w:p>
    <w:p w14:paraId="5DD58B51" w14:textId="724ED2CC" w:rsidR="00A530B8" w:rsidRDefault="00A530B8" w:rsidP="00A530B8">
      <w:pPr>
        <w:spacing w:after="0" w:line="276" w:lineRule="auto"/>
        <w:jc w:val="both"/>
        <w:rPr>
          <w:rFonts w:ascii="Century Gothic" w:hAnsi="Century Gothic" w:cs="Arial"/>
          <w:sz w:val="20"/>
          <w:szCs w:val="22"/>
        </w:rPr>
      </w:pPr>
      <w:r w:rsidRPr="00885935">
        <w:rPr>
          <w:rFonts w:ascii="Century Gothic" w:hAnsi="Century Gothic" w:cs="Arial"/>
          <w:sz w:val="18"/>
          <w:szCs w:val="18"/>
        </w:rPr>
        <w:t>A</w:t>
      </w:r>
      <w:r>
        <w:rPr>
          <w:rFonts w:ascii="Century Gothic" w:hAnsi="Century Gothic" w:cs="Arial"/>
          <w:sz w:val="18"/>
          <w:szCs w:val="18"/>
        </w:rPr>
        <w:t xml:space="preserve"> </w:t>
      </w:r>
      <w:r w:rsidRPr="00885935">
        <w:rPr>
          <w:rFonts w:ascii="Century Gothic" w:hAnsi="Century Gothic" w:cs="Arial"/>
          <w:sz w:val="18"/>
          <w:szCs w:val="18"/>
        </w:rPr>
        <w:t>metodologia</w:t>
      </w:r>
      <w:r>
        <w:rPr>
          <w:rFonts w:ascii="Century Gothic" w:hAnsi="Century Gothic" w:cs="Arial"/>
          <w:sz w:val="18"/>
          <w:szCs w:val="18"/>
        </w:rPr>
        <w:t xml:space="preserve"> </w:t>
      </w:r>
      <w:r w:rsidRPr="00CF5CBA">
        <w:rPr>
          <w:rFonts w:ascii="Century Gothic" w:hAnsi="Century Gothic" w:cs="Arial"/>
          <w:sz w:val="18"/>
          <w:szCs w:val="18"/>
        </w:rPr>
        <w:t>de estimativa do impacto económico</w:t>
      </w:r>
      <w:r w:rsidRPr="00885935">
        <w:rPr>
          <w:rFonts w:ascii="Century Gothic" w:hAnsi="Century Gothic" w:cs="Arial"/>
          <w:sz w:val="18"/>
          <w:szCs w:val="18"/>
        </w:rPr>
        <w:t xml:space="preserve"> combina</w:t>
      </w:r>
      <w:r>
        <w:rPr>
          <w:rFonts w:ascii="Century Gothic" w:hAnsi="Century Gothic" w:cs="Arial"/>
          <w:sz w:val="18"/>
          <w:szCs w:val="18"/>
        </w:rPr>
        <w:t xml:space="preserve"> </w:t>
      </w:r>
      <w:r w:rsidRPr="00885935">
        <w:rPr>
          <w:rFonts w:ascii="Century Gothic" w:hAnsi="Century Gothic" w:cs="Arial"/>
          <w:sz w:val="18"/>
          <w:szCs w:val="18"/>
        </w:rPr>
        <w:t>técnicas</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análise</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dados</w:t>
      </w:r>
      <w:r>
        <w:rPr>
          <w:rFonts w:ascii="Century Gothic" w:hAnsi="Century Gothic" w:cs="Arial"/>
          <w:sz w:val="18"/>
          <w:szCs w:val="18"/>
        </w:rPr>
        <w:t xml:space="preserve"> </w:t>
      </w:r>
      <w:r w:rsidRPr="00885935">
        <w:rPr>
          <w:rFonts w:ascii="Century Gothic" w:hAnsi="Century Gothic" w:cs="Arial"/>
          <w:sz w:val="18"/>
          <w:szCs w:val="18"/>
        </w:rPr>
        <w:t>com</w:t>
      </w:r>
      <w:r>
        <w:rPr>
          <w:rFonts w:ascii="Century Gothic" w:hAnsi="Century Gothic" w:cs="Arial"/>
          <w:sz w:val="18"/>
          <w:szCs w:val="18"/>
        </w:rPr>
        <w:t xml:space="preserve"> </w:t>
      </w:r>
      <w:r w:rsidRPr="00885935">
        <w:rPr>
          <w:rFonts w:ascii="Century Gothic" w:hAnsi="Century Gothic" w:cs="Arial"/>
          <w:sz w:val="18"/>
          <w:szCs w:val="18"/>
        </w:rPr>
        <w:t>procedimentos</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extrapolação</w:t>
      </w:r>
      <w:r>
        <w:rPr>
          <w:rFonts w:ascii="Century Gothic" w:hAnsi="Century Gothic" w:cs="Arial"/>
          <w:sz w:val="18"/>
          <w:szCs w:val="18"/>
        </w:rPr>
        <w:t xml:space="preserve"> </w:t>
      </w:r>
      <w:r w:rsidRPr="00885935">
        <w:rPr>
          <w:rFonts w:ascii="Century Gothic" w:hAnsi="Century Gothic" w:cs="Arial"/>
          <w:sz w:val="18"/>
          <w:szCs w:val="18"/>
        </w:rPr>
        <w:t>para</w:t>
      </w:r>
      <w:r>
        <w:rPr>
          <w:rFonts w:ascii="Century Gothic" w:hAnsi="Century Gothic" w:cs="Arial"/>
          <w:sz w:val="18"/>
          <w:szCs w:val="18"/>
        </w:rPr>
        <w:t xml:space="preserve"> </w:t>
      </w:r>
      <w:r w:rsidRPr="00885935">
        <w:rPr>
          <w:rFonts w:ascii="Century Gothic" w:hAnsi="Century Gothic" w:cs="Arial"/>
          <w:sz w:val="18"/>
          <w:szCs w:val="18"/>
        </w:rPr>
        <w:t>o</w:t>
      </w:r>
      <w:r>
        <w:rPr>
          <w:rFonts w:ascii="Century Gothic" w:hAnsi="Century Gothic" w:cs="Arial"/>
          <w:sz w:val="18"/>
          <w:szCs w:val="18"/>
        </w:rPr>
        <w:t xml:space="preserve"> </w:t>
      </w:r>
      <w:r w:rsidRPr="00885935">
        <w:rPr>
          <w:rFonts w:ascii="Century Gothic" w:hAnsi="Century Gothic" w:cs="Arial"/>
          <w:sz w:val="18"/>
          <w:szCs w:val="18"/>
        </w:rPr>
        <w:t>universo</w:t>
      </w:r>
      <w:r>
        <w:rPr>
          <w:rFonts w:ascii="Century Gothic" w:hAnsi="Century Gothic" w:cs="Arial"/>
          <w:sz w:val="18"/>
          <w:szCs w:val="18"/>
        </w:rPr>
        <w:t xml:space="preserve"> </w:t>
      </w:r>
      <w:r w:rsidRPr="00885935">
        <w:rPr>
          <w:rFonts w:ascii="Century Gothic" w:hAnsi="Century Gothic" w:cs="Arial"/>
          <w:sz w:val="18"/>
          <w:szCs w:val="18"/>
        </w:rPr>
        <w:t>total</w:t>
      </w:r>
      <w:r>
        <w:rPr>
          <w:rFonts w:ascii="Century Gothic" w:hAnsi="Century Gothic" w:cs="Arial"/>
          <w:sz w:val="18"/>
          <w:szCs w:val="18"/>
        </w:rPr>
        <w:t xml:space="preserve"> </w:t>
      </w:r>
      <w:r w:rsidRPr="00885935">
        <w:rPr>
          <w:rFonts w:ascii="Century Gothic" w:hAnsi="Century Gothic" w:cs="Arial"/>
          <w:sz w:val="18"/>
          <w:szCs w:val="18"/>
        </w:rPr>
        <w:t>estimado</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espectadores.</w:t>
      </w:r>
      <w:r>
        <w:rPr>
          <w:rFonts w:ascii="Century Gothic" w:hAnsi="Century Gothic" w:cs="Arial"/>
          <w:sz w:val="18"/>
          <w:szCs w:val="18"/>
        </w:rPr>
        <w:t xml:space="preserve"> B</w:t>
      </w:r>
      <w:r w:rsidRPr="00CF5CBA">
        <w:rPr>
          <w:rFonts w:ascii="Century Gothic" w:hAnsi="Century Gothic" w:cs="Arial"/>
          <w:sz w:val="18"/>
          <w:szCs w:val="18"/>
        </w:rPr>
        <w:t xml:space="preserve">aseia-se na segmentação dos concertos por tipologia (Recinto Fechado ou Ar Livre), integrando os distintos padrões de consumo de cada formato. O cálculo utiliza as médias de despesa de espectadores residentes e não residentes, extraídas dos dados recolhidos e extrapoladas para o universo total de público. Os resultados são ajustados ao indicador de poder de compra </w:t>
      </w:r>
      <w:r w:rsidRPr="00885935">
        <w:rPr>
          <w:rFonts w:ascii="Century Gothic" w:hAnsi="Century Gothic" w:cs="Arial"/>
          <w:i/>
          <w:iCs/>
          <w:sz w:val="18"/>
          <w:szCs w:val="18"/>
        </w:rPr>
        <w:t>per capita</w:t>
      </w:r>
      <w:r w:rsidRPr="00CF5CBA">
        <w:rPr>
          <w:rFonts w:ascii="Century Gothic" w:hAnsi="Century Gothic" w:cs="Arial"/>
          <w:sz w:val="18"/>
          <w:szCs w:val="18"/>
        </w:rPr>
        <w:t xml:space="preserve"> do município </w:t>
      </w:r>
      <w:r w:rsidR="00D97609">
        <w:rPr>
          <w:rFonts w:ascii="Century Gothic" w:hAnsi="Century Gothic" w:cs="Arial"/>
          <w:sz w:val="18"/>
          <w:szCs w:val="18"/>
        </w:rPr>
        <w:t>onde foi realizado o</w:t>
      </w:r>
      <w:r w:rsidRPr="00CF5CBA">
        <w:rPr>
          <w:rFonts w:ascii="Century Gothic" w:hAnsi="Century Gothic" w:cs="Arial"/>
          <w:sz w:val="18"/>
          <w:szCs w:val="18"/>
        </w:rPr>
        <w:t xml:space="preserve"> </w:t>
      </w:r>
      <w:r>
        <w:rPr>
          <w:rFonts w:ascii="Century Gothic" w:hAnsi="Century Gothic" w:cs="Arial"/>
          <w:sz w:val="18"/>
          <w:szCs w:val="18"/>
        </w:rPr>
        <w:t>concerto</w:t>
      </w:r>
      <w:r w:rsidRPr="00CF5CBA">
        <w:rPr>
          <w:rFonts w:ascii="Century Gothic" w:hAnsi="Century Gothic" w:cs="Arial"/>
          <w:sz w:val="18"/>
          <w:szCs w:val="18"/>
        </w:rPr>
        <w:t>.</w:t>
      </w:r>
    </w:p>
    <w:p w14:paraId="1BBC2C35" w14:textId="77777777" w:rsidR="0085493E" w:rsidRPr="0085493E" w:rsidRDefault="0085493E" w:rsidP="0085493E">
      <w:pPr>
        <w:spacing w:after="0" w:line="276" w:lineRule="auto"/>
        <w:jc w:val="both"/>
        <w:rPr>
          <w:rFonts w:ascii="Century Gothic" w:hAnsi="Century Gothic" w:cs="Arial"/>
          <w:sz w:val="22"/>
          <w:szCs w:val="22"/>
        </w:rPr>
      </w:pPr>
    </w:p>
    <w:p w14:paraId="4DEF9F84" w14:textId="77777777" w:rsidR="005E3999" w:rsidRDefault="005E3999" w:rsidP="00506723">
      <w:pPr>
        <w:spacing w:after="0" w:line="276" w:lineRule="auto"/>
        <w:jc w:val="center"/>
        <w:rPr>
          <w:rFonts w:ascii="Century Gothic" w:hAnsi="Century Gothic" w:cs="Arial"/>
          <w:sz w:val="20"/>
          <w:szCs w:val="22"/>
        </w:rPr>
      </w:pPr>
    </w:p>
    <w:p w14:paraId="092D6904" w14:textId="77777777" w:rsidR="005E3999" w:rsidRDefault="005E3999" w:rsidP="00506723">
      <w:pPr>
        <w:spacing w:after="0" w:line="276" w:lineRule="auto"/>
        <w:jc w:val="center"/>
        <w:rPr>
          <w:rFonts w:ascii="Century Gothic" w:hAnsi="Century Gothic" w:cs="Arial"/>
          <w:sz w:val="20"/>
          <w:szCs w:val="22"/>
        </w:rPr>
      </w:pPr>
    </w:p>
    <w:p w14:paraId="5BBB5FF9" w14:textId="77777777" w:rsidR="00A24ED5" w:rsidRDefault="00A24ED5" w:rsidP="00B1376E">
      <w:pPr>
        <w:spacing w:after="0" w:line="24" w:lineRule="atLeast"/>
        <w:jc w:val="both"/>
        <w:rPr>
          <w:rFonts w:ascii="Century Gothic" w:hAnsi="Century Gothic" w:cstheme="minorHAnsi"/>
          <w:sz w:val="20"/>
          <w:szCs w:val="20"/>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3FCE9375">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044570BE" w:rsidR="009C4AE2"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yperlink"/>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w:t>
      </w:r>
      <w:r w:rsidR="00077B0F">
        <w:rPr>
          <w:rFonts w:ascii="Century Gothic" w:hAnsi="Century Gothic"/>
          <w:sz w:val="18"/>
          <w:szCs w:val="18"/>
        </w:rPr>
        <w:t> </w:t>
      </w:r>
      <w:r w:rsidRPr="00506723">
        <w:rPr>
          <w:rFonts w:ascii="Century Gothic" w:hAnsi="Century Gothic"/>
          <w:sz w:val="18"/>
          <w:szCs w:val="18"/>
        </w:rPr>
        <w:t>595</w:t>
      </w:r>
    </w:p>
    <w:p w14:paraId="2EB1A7A8" w14:textId="2A90A37F" w:rsidR="00077B0F" w:rsidRDefault="00077B0F" w:rsidP="009C4AE2">
      <w:pPr>
        <w:pStyle w:val="NormalWeb"/>
        <w:spacing w:before="0" w:beforeAutospacing="0" w:after="0" w:afterAutospacing="0"/>
        <w:rPr>
          <w:rFonts w:ascii="Century Gothic" w:hAnsi="Century Gothic"/>
          <w:sz w:val="18"/>
          <w:szCs w:val="18"/>
        </w:rPr>
      </w:pPr>
      <w:r>
        <w:rPr>
          <w:rFonts w:ascii="Century Gothic" w:hAnsi="Century Gothic"/>
          <w:sz w:val="18"/>
          <w:szCs w:val="18"/>
        </w:rPr>
        <w:t xml:space="preserve">Bruna Rocha | </w:t>
      </w:r>
      <w:hyperlink r:id="rId12" w:history="1">
        <w:r w:rsidRPr="008D799A">
          <w:rPr>
            <w:rStyle w:val="Hyperlink"/>
            <w:rFonts w:ascii="Century Gothic" w:hAnsi="Century Gothic"/>
            <w:sz w:val="18"/>
            <w:szCs w:val="18"/>
          </w:rPr>
          <w:t>bruna.rocha@lift.com.pt</w:t>
        </w:r>
      </w:hyperlink>
      <w:r>
        <w:rPr>
          <w:rFonts w:ascii="Century Gothic" w:hAnsi="Century Gothic"/>
          <w:sz w:val="18"/>
          <w:szCs w:val="18"/>
        </w:rPr>
        <w:t xml:space="preserve"> |</w:t>
      </w:r>
      <w:r w:rsidR="00000F3B" w:rsidRPr="00000F3B">
        <w:t xml:space="preserve"> </w:t>
      </w:r>
      <w:r w:rsidR="00000F3B" w:rsidRPr="00000F3B">
        <w:rPr>
          <w:rFonts w:ascii="Century Gothic" w:hAnsi="Century Gothic"/>
          <w:sz w:val="18"/>
          <w:szCs w:val="18"/>
        </w:rPr>
        <w:t>+351 910 751 944</w:t>
      </w:r>
      <w:r>
        <w:rPr>
          <w:rFonts w:ascii="Century Gothic" w:hAnsi="Century Gothic"/>
          <w:sz w:val="18"/>
          <w:szCs w:val="18"/>
        </w:rPr>
        <w:t xml:space="preserve"> </w:t>
      </w:r>
    </w:p>
    <w:p w14:paraId="0169DFA9" w14:textId="3E1179E0" w:rsidR="00077B0F" w:rsidRPr="00077B0F" w:rsidRDefault="0098308B" w:rsidP="00077B0F">
      <w:pPr>
        <w:rPr>
          <w:rFonts w:ascii="Times New Roman" w:eastAsia="Times New Roman" w:hAnsi="Times New Roman" w:cs="Times New Roman"/>
          <w:kern w:val="0"/>
          <w:lang w:eastAsia="pt-PT"/>
          <w14:ligatures w14:val="none"/>
        </w:rPr>
      </w:pPr>
      <w:r>
        <w:rPr>
          <w:rFonts w:ascii="Century Gothic" w:hAnsi="Century Gothic"/>
          <w:sz w:val="18"/>
          <w:szCs w:val="18"/>
        </w:rPr>
        <w:t xml:space="preserve">Eunice Gaspar | </w:t>
      </w:r>
      <w:hyperlink r:id="rId13" w:history="1">
        <w:r w:rsidR="00077B0F" w:rsidRPr="008D799A">
          <w:rPr>
            <w:rStyle w:val="Hyperlink"/>
            <w:rFonts w:ascii="Century Gothic" w:hAnsi="Century Gothic"/>
            <w:sz w:val="18"/>
            <w:szCs w:val="18"/>
          </w:rPr>
          <w:t>eunice.gaspar@lift.com.pt</w:t>
        </w:r>
      </w:hyperlink>
      <w:r>
        <w:rPr>
          <w:rFonts w:ascii="Century Gothic" w:hAnsi="Century Gothic"/>
          <w:sz w:val="18"/>
          <w:szCs w:val="18"/>
        </w:rPr>
        <w:t xml:space="preserve"> </w:t>
      </w:r>
      <w:r w:rsidR="00077B0F">
        <w:rPr>
          <w:rFonts w:ascii="Century Gothic" w:hAnsi="Century Gothic"/>
          <w:sz w:val="18"/>
          <w:szCs w:val="18"/>
        </w:rPr>
        <w:t xml:space="preserve">| </w:t>
      </w:r>
      <w:r w:rsidR="00077B0F" w:rsidRPr="00077B0F">
        <w:rPr>
          <w:rFonts w:ascii="Century Gothic" w:eastAsia="Times New Roman" w:hAnsi="Century Gothic" w:cs="Times New Roman"/>
          <w:kern w:val="0"/>
          <w:sz w:val="18"/>
          <w:szCs w:val="18"/>
          <w:lang w:eastAsia="pt-PT"/>
          <w14:ligatures w14:val="none"/>
        </w:rPr>
        <w:t>+351 911 774 428</w:t>
      </w:r>
    </w:p>
    <w:p w14:paraId="4E2EED9B" w14:textId="55B5FC4F" w:rsidR="0098308B" w:rsidRPr="00506723" w:rsidRDefault="0098308B" w:rsidP="009C4AE2">
      <w:pPr>
        <w:pStyle w:val="NormalWeb"/>
        <w:spacing w:before="0" w:beforeAutospacing="0" w:after="0" w:afterAutospacing="0"/>
        <w:rPr>
          <w:rFonts w:ascii="Century Gothic" w:hAnsi="Century Gothic"/>
          <w:sz w:val="18"/>
          <w:szCs w:val="18"/>
        </w:rPr>
      </w:pPr>
    </w:p>
    <w:p w14:paraId="750DD60E" w14:textId="66822EE0" w:rsidR="009C4AE2" w:rsidRPr="00BD04DD" w:rsidRDefault="009C4AE2">
      <w:pPr>
        <w:rPr>
          <w:rFonts w:ascii="Century Gothic" w:hAnsi="Century Gothic"/>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473F0CD5"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4" w:tgtFrame="_blank" w:tooltip="http://www.ipam.pt/" w:history="1">
        <w:r w:rsidRPr="00506723">
          <w:rPr>
            <w:rStyle w:val="Hyperlink"/>
            <w:rFonts w:ascii="Century Gothic" w:eastAsia="Century Gothic" w:hAnsi="Century Gothic" w:cs="Century Gothic"/>
            <w:sz w:val="16"/>
            <w:szCs w:val="16"/>
          </w:rPr>
          <w:t>www.ipam.pt</w:t>
        </w:r>
      </w:hyperlink>
    </w:p>
    <w:p w14:paraId="2B4D2E1A" w14:textId="77777777" w:rsidR="001F0885" w:rsidRPr="00506723" w:rsidRDefault="001F0885">
      <w:pPr>
        <w:rPr>
          <w:rFonts w:ascii="Century Gothic" w:hAnsi="Century Gothic"/>
          <w:sz w:val="28"/>
        </w:rPr>
      </w:pPr>
    </w:p>
    <w:sectPr w:rsidR="001F0885" w:rsidRPr="00506723" w:rsidSect="003A65E1">
      <w:headerReference w:type="default" r:id="rId15"/>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F0965" w14:textId="77777777" w:rsidR="002F10D0" w:rsidRDefault="002F10D0" w:rsidP="002F5AFD">
      <w:pPr>
        <w:spacing w:after="0" w:line="240" w:lineRule="auto"/>
      </w:pPr>
      <w:r>
        <w:separator/>
      </w:r>
    </w:p>
  </w:endnote>
  <w:endnote w:type="continuationSeparator" w:id="0">
    <w:p w14:paraId="5511F44A" w14:textId="77777777" w:rsidR="002F10D0" w:rsidRDefault="002F10D0"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56ED9" w14:textId="77777777" w:rsidR="002F10D0" w:rsidRDefault="002F10D0" w:rsidP="002F5AFD">
      <w:pPr>
        <w:spacing w:after="0" w:line="240" w:lineRule="auto"/>
      </w:pPr>
      <w:r>
        <w:separator/>
      </w:r>
    </w:p>
  </w:footnote>
  <w:footnote w:type="continuationSeparator" w:id="0">
    <w:p w14:paraId="5B01D6AB" w14:textId="77777777" w:rsidR="002F10D0" w:rsidRDefault="002F10D0"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837C" w14:textId="0DA98F44" w:rsidR="002F5AFD" w:rsidRDefault="002F5AFD" w:rsidP="002F5AFD">
    <w:pPr>
      <w:pStyle w:val="Header"/>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Header"/>
      <w:jc w:val="right"/>
    </w:pPr>
  </w:p>
  <w:p w14:paraId="18981D2B" w14:textId="77777777" w:rsidR="002F5AFD" w:rsidRDefault="002F5AFD" w:rsidP="002F5A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9"/>
  </w:num>
  <w:num w:numId="4">
    <w:abstractNumId w:val="13"/>
  </w:num>
  <w:num w:numId="5">
    <w:abstractNumId w:val="1"/>
  </w:num>
  <w:num w:numId="6">
    <w:abstractNumId w:val="12"/>
  </w:num>
  <w:num w:numId="7">
    <w:abstractNumId w:val="0"/>
  </w:num>
  <w:num w:numId="8">
    <w:abstractNumId w:val="17"/>
  </w:num>
  <w:num w:numId="9">
    <w:abstractNumId w:val="16"/>
  </w:num>
  <w:num w:numId="10">
    <w:abstractNumId w:val="6"/>
  </w:num>
  <w:num w:numId="11">
    <w:abstractNumId w:val="2"/>
  </w:num>
  <w:num w:numId="12">
    <w:abstractNumId w:val="4"/>
  </w:num>
  <w:num w:numId="13">
    <w:abstractNumId w:val="15"/>
  </w:num>
  <w:num w:numId="14">
    <w:abstractNumId w:val="10"/>
  </w:num>
  <w:num w:numId="15">
    <w:abstractNumId w:val="3"/>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00F3B"/>
    <w:rsid w:val="00015ED2"/>
    <w:rsid w:val="000411D3"/>
    <w:rsid w:val="000420B2"/>
    <w:rsid w:val="000705AF"/>
    <w:rsid w:val="000758A2"/>
    <w:rsid w:val="00077B0F"/>
    <w:rsid w:val="000D3FAA"/>
    <w:rsid w:val="000E3276"/>
    <w:rsid w:val="000F0501"/>
    <w:rsid w:val="00103FB5"/>
    <w:rsid w:val="001663EE"/>
    <w:rsid w:val="001A433E"/>
    <w:rsid w:val="001A5525"/>
    <w:rsid w:val="001E27EA"/>
    <w:rsid w:val="001E3777"/>
    <w:rsid w:val="001F0885"/>
    <w:rsid w:val="002103C9"/>
    <w:rsid w:val="00216323"/>
    <w:rsid w:val="00270806"/>
    <w:rsid w:val="002820EA"/>
    <w:rsid w:val="002834FD"/>
    <w:rsid w:val="00297B8F"/>
    <w:rsid w:val="002A3363"/>
    <w:rsid w:val="002A464B"/>
    <w:rsid w:val="002B3556"/>
    <w:rsid w:val="002B43B5"/>
    <w:rsid w:val="002C1ADA"/>
    <w:rsid w:val="002C5D85"/>
    <w:rsid w:val="002D1E2F"/>
    <w:rsid w:val="002E1932"/>
    <w:rsid w:val="002E6AE4"/>
    <w:rsid w:val="002F10D0"/>
    <w:rsid w:val="002F5AFD"/>
    <w:rsid w:val="002F62D0"/>
    <w:rsid w:val="003037C6"/>
    <w:rsid w:val="00305E7A"/>
    <w:rsid w:val="003421AE"/>
    <w:rsid w:val="00370036"/>
    <w:rsid w:val="00370B73"/>
    <w:rsid w:val="003840EE"/>
    <w:rsid w:val="0039293E"/>
    <w:rsid w:val="00394DA9"/>
    <w:rsid w:val="003A65E1"/>
    <w:rsid w:val="003B0D35"/>
    <w:rsid w:val="003B31D9"/>
    <w:rsid w:val="003E0C19"/>
    <w:rsid w:val="00407EB4"/>
    <w:rsid w:val="0044344A"/>
    <w:rsid w:val="0044462A"/>
    <w:rsid w:val="004522AF"/>
    <w:rsid w:val="00471B5E"/>
    <w:rsid w:val="00473A8C"/>
    <w:rsid w:val="004873DF"/>
    <w:rsid w:val="00496AE8"/>
    <w:rsid w:val="004D0821"/>
    <w:rsid w:val="004D0D59"/>
    <w:rsid w:val="004E5288"/>
    <w:rsid w:val="004E5DD6"/>
    <w:rsid w:val="00506723"/>
    <w:rsid w:val="00551318"/>
    <w:rsid w:val="005537F8"/>
    <w:rsid w:val="00555D95"/>
    <w:rsid w:val="00564CEB"/>
    <w:rsid w:val="005676E3"/>
    <w:rsid w:val="0058065D"/>
    <w:rsid w:val="005A7843"/>
    <w:rsid w:val="005C4F77"/>
    <w:rsid w:val="005C687C"/>
    <w:rsid w:val="005E3999"/>
    <w:rsid w:val="0061087A"/>
    <w:rsid w:val="00622FBF"/>
    <w:rsid w:val="00630346"/>
    <w:rsid w:val="006324C7"/>
    <w:rsid w:val="006357EF"/>
    <w:rsid w:val="00636656"/>
    <w:rsid w:val="00644194"/>
    <w:rsid w:val="00650547"/>
    <w:rsid w:val="00655A3D"/>
    <w:rsid w:val="00662DB1"/>
    <w:rsid w:val="0066401C"/>
    <w:rsid w:val="00690F55"/>
    <w:rsid w:val="00693CAE"/>
    <w:rsid w:val="0069437F"/>
    <w:rsid w:val="00696429"/>
    <w:rsid w:val="006E65BA"/>
    <w:rsid w:val="00715DE9"/>
    <w:rsid w:val="00726C0A"/>
    <w:rsid w:val="00733E70"/>
    <w:rsid w:val="00737551"/>
    <w:rsid w:val="00747540"/>
    <w:rsid w:val="007533B3"/>
    <w:rsid w:val="00767C46"/>
    <w:rsid w:val="00782CA8"/>
    <w:rsid w:val="00800B92"/>
    <w:rsid w:val="00827D43"/>
    <w:rsid w:val="00836A69"/>
    <w:rsid w:val="00843DCD"/>
    <w:rsid w:val="008512E9"/>
    <w:rsid w:val="00851CE3"/>
    <w:rsid w:val="0085493E"/>
    <w:rsid w:val="0085682F"/>
    <w:rsid w:val="00862EA1"/>
    <w:rsid w:val="00875209"/>
    <w:rsid w:val="008800C8"/>
    <w:rsid w:val="008A46F8"/>
    <w:rsid w:val="008B2E26"/>
    <w:rsid w:val="008B342B"/>
    <w:rsid w:val="008B6A41"/>
    <w:rsid w:val="008E79D8"/>
    <w:rsid w:val="0092153B"/>
    <w:rsid w:val="00933156"/>
    <w:rsid w:val="00952984"/>
    <w:rsid w:val="009577F9"/>
    <w:rsid w:val="0096078B"/>
    <w:rsid w:val="0098308B"/>
    <w:rsid w:val="00986C29"/>
    <w:rsid w:val="009A34E6"/>
    <w:rsid w:val="009A5071"/>
    <w:rsid w:val="009A669E"/>
    <w:rsid w:val="009B0848"/>
    <w:rsid w:val="009C0257"/>
    <w:rsid w:val="009C3BC8"/>
    <w:rsid w:val="009C4AE2"/>
    <w:rsid w:val="009D2510"/>
    <w:rsid w:val="009D410D"/>
    <w:rsid w:val="009F2581"/>
    <w:rsid w:val="00A062BF"/>
    <w:rsid w:val="00A11A84"/>
    <w:rsid w:val="00A14E40"/>
    <w:rsid w:val="00A24ED5"/>
    <w:rsid w:val="00A530B8"/>
    <w:rsid w:val="00A55AAE"/>
    <w:rsid w:val="00A61E31"/>
    <w:rsid w:val="00A706B5"/>
    <w:rsid w:val="00A77A66"/>
    <w:rsid w:val="00A8136A"/>
    <w:rsid w:val="00A86F43"/>
    <w:rsid w:val="00AA4E33"/>
    <w:rsid w:val="00AA6525"/>
    <w:rsid w:val="00AB2BDB"/>
    <w:rsid w:val="00AB696D"/>
    <w:rsid w:val="00AC739D"/>
    <w:rsid w:val="00AD4A12"/>
    <w:rsid w:val="00AE3BAA"/>
    <w:rsid w:val="00AF29DD"/>
    <w:rsid w:val="00B1376E"/>
    <w:rsid w:val="00B21251"/>
    <w:rsid w:val="00B22629"/>
    <w:rsid w:val="00B30A5A"/>
    <w:rsid w:val="00B3576C"/>
    <w:rsid w:val="00B820A7"/>
    <w:rsid w:val="00BD04DD"/>
    <w:rsid w:val="00BD0530"/>
    <w:rsid w:val="00BF2CFC"/>
    <w:rsid w:val="00C031D5"/>
    <w:rsid w:val="00C05372"/>
    <w:rsid w:val="00C07856"/>
    <w:rsid w:val="00C23830"/>
    <w:rsid w:val="00C37B62"/>
    <w:rsid w:val="00C52234"/>
    <w:rsid w:val="00C52C99"/>
    <w:rsid w:val="00C615EE"/>
    <w:rsid w:val="00C66918"/>
    <w:rsid w:val="00CE2F04"/>
    <w:rsid w:val="00D02306"/>
    <w:rsid w:val="00D057AA"/>
    <w:rsid w:val="00D26C8A"/>
    <w:rsid w:val="00D4282C"/>
    <w:rsid w:val="00D43871"/>
    <w:rsid w:val="00D54ECE"/>
    <w:rsid w:val="00D87B4C"/>
    <w:rsid w:val="00D913E2"/>
    <w:rsid w:val="00D97609"/>
    <w:rsid w:val="00DA13DF"/>
    <w:rsid w:val="00DA7228"/>
    <w:rsid w:val="00DB624A"/>
    <w:rsid w:val="00DD3D87"/>
    <w:rsid w:val="00E0175F"/>
    <w:rsid w:val="00E069A1"/>
    <w:rsid w:val="00E145A7"/>
    <w:rsid w:val="00E158C3"/>
    <w:rsid w:val="00E16AC1"/>
    <w:rsid w:val="00E175B8"/>
    <w:rsid w:val="00E238F8"/>
    <w:rsid w:val="00E3270A"/>
    <w:rsid w:val="00E46771"/>
    <w:rsid w:val="00E621BE"/>
    <w:rsid w:val="00E65BCF"/>
    <w:rsid w:val="00E707B8"/>
    <w:rsid w:val="00E72CDC"/>
    <w:rsid w:val="00E75D3D"/>
    <w:rsid w:val="00E76ACC"/>
    <w:rsid w:val="00EA75C1"/>
    <w:rsid w:val="00ED21D9"/>
    <w:rsid w:val="00EF48BE"/>
    <w:rsid w:val="00EF719A"/>
    <w:rsid w:val="00F143D9"/>
    <w:rsid w:val="00F21153"/>
    <w:rsid w:val="00F217D4"/>
    <w:rsid w:val="00F2624D"/>
    <w:rsid w:val="00F32A3A"/>
    <w:rsid w:val="00F42B5E"/>
    <w:rsid w:val="00F53EDC"/>
    <w:rsid w:val="00F56070"/>
    <w:rsid w:val="00F623A2"/>
    <w:rsid w:val="00F76257"/>
    <w:rsid w:val="00F84811"/>
    <w:rsid w:val="00F85E49"/>
    <w:rsid w:val="00F9360D"/>
    <w:rsid w:val="00FA1C05"/>
    <w:rsid w:val="00FA61C9"/>
    <w:rsid w:val="00FB1102"/>
    <w:rsid w:val="00FD4353"/>
    <w:rsid w:val="00FD4F58"/>
    <w:rsid w:val="00FE12F0"/>
    <w:rsid w:val="00FE4B35"/>
    <w:rsid w:val="00FF5AC8"/>
    <w:rsid w:val="0A42B49D"/>
    <w:rsid w:val="15CD5E26"/>
    <w:rsid w:val="168D50D9"/>
    <w:rsid w:val="1BAE27BA"/>
    <w:rsid w:val="3123268D"/>
    <w:rsid w:val="320F1608"/>
    <w:rsid w:val="33E28B04"/>
    <w:rsid w:val="351D8F24"/>
    <w:rsid w:val="3F508A0B"/>
    <w:rsid w:val="424A88F3"/>
    <w:rsid w:val="433C0553"/>
    <w:rsid w:val="522CD6A4"/>
    <w:rsid w:val="56329DD5"/>
    <w:rsid w:val="781547E1"/>
    <w:rsid w:val="79A3AB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24A"/>
    <w:rPr>
      <w:rFonts w:eastAsiaTheme="majorEastAsia" w:cstheme="majorBidi"/>
      <w:color w:val="272727" w:themeColor="text1" w:themeTint="D8"/>
    </w:rPr>
  </w:style>
  <w:style w:type="paragraph" w:styleId="Title">
    <w:name w:val="Title"/>
    <w:basedOn w:val="Normal"/>
    <w:next w:val="Normal"/>
    <w:link w:val="TitleCha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624A"/>
    <w:rPr>
      <w:i/>
      <w:iCs/>
      <w:color w:val="404040" w:themeColor="text1" w:themeTint="BF"/>
    </w:rPr>
  </w:style>
  <w:style w:type="paragraph" w:styleId="ListParagraph">
    <w:name w:val="List Paragraph"/>
    <w:basedOn w:val="Normal"/>
    <w:uiPriority w:val="34"/>
    <w:qFormat/>
    <w:rsid w:val="00DB624A"/>
    <w:pPr>
      <w:ind w:left="720"/>
      <w:contextualSpacing/>
    </w:pPr>
  </w:style>
  <w:style w:type="character" w:styleId="IntenseEmphasis">
    <w:name w:val="Intense Emphasis"/>
    <w:basedOn w:val="DefaultParagraphFont"/>
    <w:uiPriority w:val="21"/>
    <w:qFormat/>
    <w:rsid w:val="00DB624A"/>
    <w:rPr>
      <w:i/>
      <w:iCs/>
      <w:color w:val="0F4761" w:themeColor="accent1" w:themeShade="BF"/>
    </w:rPr>
  </w:style>
  <w:style w:type="paragraph" w:styleId="IntenseQuote">
    <w:name w:val="Intense Quote"/>
    <w:basedOn w:val="Normal"/>
    <w:next w:val="Normal"/>
    <w:link w:val="IntenseQuoteCha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24A"/>
    <w:rPr>
      <w:i/>
      <w:iCs/>
      <w:color w:val="0F4761" w:themeColor="accent1" w:themeShade="BF"/>
    </w:rPr>
  </w:style>
  <w:style w:type="character" w:styleId="IntenseReference">
    <w:name w:val="Intense Reference"/>
    <w:basedOn w:val="DefaultParagraphFont"/>
    <w:uiPriority w:val="32"/>
    <w:qFormat/>
    <w:rsid w:val="00DB624A"/>
    <w:rPr>
      <w:b/>
      <w:bCs/>
      <w:smallCaps/>
      <w:color w:val="0F4761" w:themeColor="accent1" w:themeShade="BF"/>
      <w:spacing w:val="5"/>
    </w:rPr>
  </w:style>
  <w:style w:type="character" w:styleId="Hyperlink">
    <w:name w:val="Hyperlink"/>
    <w:basedOn w:val="DefaultParagraphFont"/>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Header">
    <w:name w:val="header"/>
    <w:basedOn w:val="Normal"/>
    <w:link w:val="HeaderChar"/>
    <w:uiPriority w:val="99"/>
    <w:unhideWhenUsed/>
    <w:rsid w:val="002F5A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AFD"/>
  </w:style>
  <w:style w:type="paragraph" w:styleId="Footer">
    <w:name w:val="footer"/>
    <w:basedOn w:val="Normal"/>
    <w:link w:val="FooterChar"/>
    <w:uiPriority w:val="99"/>
    <w:unhideWhenUsed/>
    <w:rsid w:val="002F5A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AFD"/>
  </w:style>
  <w:style w:type="character" w:styleId="CommentReference">
    <w:name w:val="annotation reference"/>
    <w:basedOn w:val="DefaultParagraphFont"/>
    <w:uiPriority w:val="99"/>
    <w:semiHidden/>
    <w:unhideWhenUsed/>
    <w:rsid w:val="00E158C3"/>
    <w:rPr>
      <w:sz w:val="16"/>
      <w:szCs w:val="16"/>
    </w:rPr>
  </w:style>
  <w:style w:type="paragraph" w:styleId="CommentText">
    <w:name w:val="annotation text"/>
    <w:basedOn w:val="Normal"/>
    <w:link w:val="CommentTextChar"/>
    <w:uiPriority w:val="99"/>
    <w:unhideWhenUsed/>
    <w:rsid w:val="00E158C3"/>
    <w:pPr>
      <w:spacing w:line="240" w:lineRule="auto"/>
    </w:pPr>
    <w:rPr>
      <w:sz w:val="20"/>
      <w:szCs w:val="20"/>
    </w:rPr>
  </w:style>
  <w:style w:type="character" w:customStyle="1" w:styleId="CommentTextChar">
    <w:name w:val="Comment Text Char"/>
    <w:basedOn w:val="DefaultParagraphFont"/>
    <w:link w:val="CommentText"/>
    <w:uiPriority w:val="99"/>
    <w:rsid w:val="00E158C3"/>
    <w:rPr>
      <w:sz w:val="20"/>
      <w:szCs w:val="20"/>
    </w:rPr>
  </w:style>
  <w:style w:type="paragraph" w:styleId="CommentSubject">
    <w:name w:val="annotation subject"/>
    <w:basedOn w:val="CommentText"/>
    <w:next w:val="CommentText"/>
    <w:link w:val="CommentSubjectChar"/>
    <w:uiPriority w:val="99"/>
    <w:semiHidden/>
    <w:unhideWhenUsed/>
    <w:rsid w:val="00E158C3"/>
    <w:rPr>
      <w:b/>
      <w:bCs/>
    </w:rPr>
  </w:style>
  <w:style w:type="character" w:customStyle="1" w:styleId="CommentSubjectChar">
    <w:name w:val="Comment Subject Char"/>
    <w:basedOn w:val="CommentTextChar"/>
    <w:link w:val="CommentSubject"/>
    <w:uiPriority w:val="99"/>
    <w:semiHidden/>
    <w:rsid w:val="00E158C3"/>
    <w:rPr>
      <w:b/>
      <w:bCs/>
      <w:sz w:val="20"/>
      <w:szCs w:val="20"/>
    </w:rPr>
  </w:style>
  <w:style w:type="paragraph" w:styleId="BalloonText">
    <w:name w:val="Balloon Text"/>
    <w:basedOn w:val="Normal"/>
    <w:link w:val="BalloonTextChar"/>
    <w:uiPriority w:val="99"/>
    <w:semiHidden/>
    <w:unhideWhenUsed/>
    <w:rsid w:val="0063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C7"/>
    <w:rPr>
      <w:rFonts w:ascii="Segoe UI" w:hAnsi="Segoe UI" w:cs="Segoe UI"/>
      <w:sz w:val="18"/>
      <w:szCs w:val="18"/>
    </w:rPr>
  </w:style>
  <w:style w:type="character" w:styleId="UnresolvedMention">
    <w:name w:val="Unresolved Mention"/>
    <w:basedOn w:val="DefaultParagraphFont"/>
    <w:uiPriority w:val="99"/>
    <w:semiHidden/>
    <w:unhideWhenUsed/>
    <w:rsid w:val="0098308B"/>
    <w:rPr>
      <w:color w:val="605E5C"/>
      <w:shd w:val="clear" w:color="auto" w:fill="E1DFDD"/>
    </w:rPr>
  </w:style>
  <w:style w:type="paragraph" w:styleId="Revision">
    <w:name w:val="Revision"/>
    <w:hidden/>
    <w:uiPriority w:val="99"/>
    <w:semiHidden/>
    <w:rsid w:val="00E621BE"/>
    <w:pPr>
      <w:spacing w:after="0" w:line="240" w:lineRule="auto"/>
    </w:pPr>
  </w:style>
  <w:style w:type="character" w:customStyle="1" w:styleId="citation-219">
    <w:name w:val="citation-219"/>
    <w:basedOn w:val="DefaultParagraphFont"/>
    <w:rsid w:val="00471B5E"/>
  </w:style>
  <w:style w:type="character" w:customStyle="1" w:styleId="citation-218">
    <w:name w:val="citation-218"/>
    <w:basedOn w:val="DefaultParagraphFont"/>
    <w:rsid w:val="0047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unice.gaspar@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una.rocha@lift.com.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pa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1" ma:contentTypeDescription="Create a new document." ma:contentTypeScope="" ma:versionID="c1a573578fcf8f6580739975a51b4507">
  <xsd:schema xmlns:xsd="http://www.w3.org/2001/XMLSchema" xmlns:xs="http://www.w3.org/2001/XMLSchema" xmlns:p="http://schemas.microsoft.com/office/2006/metadata/properties" xmlns:ns3="ba8ac7e5-b07f-4fea-965c-25c13cc33270" targetNamespace="http://schemas.microsoft.com/office/2006/metadata/properties" ma:root="true" ma:fieldsID="b0dd1f60b093c38a8e5cd7588735ff45"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1DD26-FF9B-4245-96E7-1FB9CDBB23CB}">
  <ds:schemaRefs>
    <ds:schemaRef ds:uri="http://schemas.microsoft.com/office/2006/documentManagement/types"/>
    <ds:schemaRef ds:uri="http://schemas.microsoft.com/office/2006/metadata/properties"/>
    <ds:schemaRef ds:uri="ba8ac7e5-b07f-4fea-965c-25c13cc33270"/>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27A3BE0-A453-429A-BD7E-5DCB5AAF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4299D-6F9B-4C5E-BF95-78222FE34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1057</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Sara Filipe</cp:lastModifiedBy>
  <cp:revision>28</cp:revision>
  <dcterms:created xsi:type="dcterms:W3CDTF">2026-05-12T16:04:00Z</dcterms:created>
  <dcterms:modified xsi:type="dcterms:W3CDTF">2026-05-25T10:01:00Z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y fmtid="{D5CDD505-2E9C-101B-9397-08002B2CF9AE}" pid="3" name="MSIP_Label_f279a6dc-b591-41d4-904b-64a6a782bdc8_Enabled">
    <vt:lpwstr>true</vt:lpwstr>
  </property>
  <property fmtid="{D5CDD505-2E9C-101B-9397-08002B2CF9AE}" pid="4" name="MSIP_Label_f279a6dc-b591-41d4-904b-64a6a782bdc8_SetDate">
    <vt:lpwstr>2026-05-07T19:51:11Z</vt:lpwstr>
  </property>
  <property fmtid="{D5CDD505-2E9C-101B-9397-08002B2CF9AE}" pid="5" name="MSIP_Label_f279a6dc-b591-41d4-904b-64a6a782bdc8_Method">
    <vt:lpwstr>Standard</vt:lpwstr>
  </property>
  <property fmtid="{D5CDD505-2E9C-101B-9397-08002B2CF9AE}" pid="6" name="MSIP_Label_f279a6dc-b591-41d4-904b-64a6a782bdc8_Name">
    <vt:lpwstr>Utilização interna</vt:lpwstr>
  </property>
  <property fmtid="{D5CDD505-2E9C-101B-9397-08002B2CF9AE}" pid="7" name="MSIP_Label_f279a6dc-b591-41d4-904b-64a6a782bdc8_SiteId">
    <vt:lpwstr>704e7b9d-2c07-4362-9768-3fef55c31b7f</vt:lpwstr>
  </property>
  <property fmtid="{D5CDD505-2E9C-101B-9397-08002B2CF9AE}" pid="8" name="MSIP_Label_f279a6dc-b591-41d4-904b-64a6a782bdc8_ActionId">
    <vt:lpwstr>ca75cbce-3258-444e-8825-63693905ced1</vt:lpwstr>
  </property>
  <property fmtid="{D5CDD505-2E9C-101B-9397-08002B2CF9AE}" pid="9" name="MSIP_Label_f279a6dc-b591-41d4-904b-64a6a782bdc8_ContentBits">
    <vt:lpwstr>0</vt:lpwstr>
  </property>
  <property fmtid="{D5CDD505-2E9C-101B-9397-08002B2CF9AE}" pid="10" name="MSIP_Label_f279a6dc-b591-41d4-904b-64a6a782bdc8_Tag">
    <vt:lpwstr>50, 3, 0, 1</vt:lpwstr>
  </property>
</Properties>
</file>