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56A9" w14:textId="062740AF" w:rsidR="00262854" w:rsidRPr="002B4818" w:rsidRDefault="00262854" w:rsidP="00165957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14:paraId="18579ADA" w14:textId="77777777" w:rsidR="00367FE7" w:rsidRDefault="00367FE7" w:rsidP="00B64416">
      <w:pPr>
        <w:spacing w:line="240" w:lineRule="auto"/>
        <w:jc w:val="center"/>
        <w:rPr>
          <w:rFonts w:ascii="Arial" w:hAnsi="Arial" w:cs="Arial"/>
          <w:b/>
          <w:bCs/>
          <w:lang w:val="pl-PL"/>
        </w:rPr>
      </w:pPr>
      <w:r w:rsidRPr="00367FE7">
        <w:rPr>
          <w:rFonts w:ascii="Arial" w:hAnsi="Arial" w:cs="Arial"/>
          <w:b/>
          <w:bCs/>
          <w:lang w:val="pl-PL"/>
        </w:rPr>
        <w:t>Parki handlowe wchodzą w etap dojrzałego zarządzania aktywami. Polska liderem skali w CEE</w:t>
      </w:r>
    </w:p>
    <w:p w14:paraId="66B68438" w14:textId="77777777" w:rsidR="00B64416" w:rsidRPr="00367FE7" w:rsidRDefault="00B64416" w:rsidP="00B64416">
      <w:pPr>
        <w:spacing w:line="240" w:lineRule="auto"/>
        <w:jc w:val="center"/>
        <w:rPr>
          <w:rFonts w:ascii="Arial" w:hAnsi="Arial" w:cs="Arial"/>
          <w:lang w:val="pl-PL"/>
        </w:rPr>
      </w:pPr>
    </w:p>
    <w:p w14:paraId="36367A69" w14:textId="303FCBBD" w:rsidR="00FB35AD" w:rsidRPr="00FB35AD" w:rsidRDefault="00FB35AD" w:rsidP="00FB35AD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FB35AD">
        <w:rPr>
          <w:rFonts w:ascii="Arial" w:hAnsi="Arial" w:cs="Arial"/>
          <w:b/>
          <w:bCs/>
          <w:lang w:val="pl-PL"/>
        </w:rPr>
        <w:t>Jak wynika z danych międzynarodowej agencji doradczej Cushman &amp; Wakefield, w 2025 roku wolumen inwestycyjny w segmencie parków handlowych w Polsce osiągnął 466 mln EUR, co stanowi najwyższy wynik w historii tej klasy aktywów. Polska pozostaje jednocześnie największym rynkiem parków handlowych w regionie Europy Środkowo-Wschodniej, odpowiadając za ponad jedną trzecią jego zasobów. Mimo tej skali</w:t>
      </w:r>
      <w:r w:rsidR="001648EF">
        <w:rPr>
          <w:rFonts w:ascii="Arial" w:hAnsi="Arial" w:cs="Arial"/>
          <w:b/>
          <w:bCs/>
          <w:lang w:val="pl-PL"/>
        </w:rPr>
        <w:t xml:space="preserve"> </w:t>
      </w:r>
      <w:r w:rsidRPr="00FB35AD">
        <w:rPr>
          <w:rFonts w:ascii="Arial" w:hAnsi="Arial" w:cs="Arial"/>
          <w:b/>
          <w:bCs/>
          <w:lang w:val="pl-PL"/>
        </w:rPr>
        <w:t xml:space="preserve">segment nadal ma istotny potencjał dalszego wzrostu. Jednocześnie rosnąca dojrzałość tego formatu zmienia podejście inwestorów, </w:t>
      </w:r>
      <w:r>
        <w:rPr>
          <w:rFonts w:ascii="Arial" w:hAnsi="Arial" w:cs="Arial"/>
          <w:b/>
          <w:bCs/>
          <w:lang w:val="pl-PL"/>
        </w:rPr>
        <w:t xml:space="preserve">mocniej </w:t>
      </w:r>
      <w:r w:rsidRPr="00FB35AD">
        <w:rPr>
          <w:rFonts w:ascii="Arial" w:hAnsi="Arial" w:cs="Arial"/>
          <w:b/>
          <w:bCs/>
          <w:lang w:val="pl-PL"/>
        </w:rPr>
        <w:t xml:space="preserve">przesuwając </w:t>
      </w:r>
      <w:r>
        <w:rPr>
          <w:rFonts w:ascii="Arial" w:hAnsi="Arial" w:cs="Arial"/>
          <w:b/>
          <w:bCs/>
          <w:lang w:val="pl-PL"/>
        </w:rPr>
        <w:t>uwagę</w:t>
      </w:r>
      <w:r w:rsidRPr="00FB35AD">
        <w:rPr>
          <w:rFonts w:ascii="Arial" w:hAnsi="Arial" w:cs="Arial"/>
          <w:b/>
          <w:bCs/>
          <w:lang w:val="pl-PL"/>
        </w:rPr>
        <w:t xml:space="preserve"> w kierunku </w:t>
      </w:r>
      <w:r>
        <w:rPr>
          <w:rFonts w:ascii="Arial" w:hAnsi="Arial" w:cs="Arial"/>
          <w:b/>
          <w:bCs/>
          <w:lang w:val="pl-PL"/>
        </w:rPr>
        <w:t xml:space="preserve">szytej na miarę komercjalizacji, </w:t>
      </w:r>
      <w:r w:rsidRPr="00FB35AD">
        <w:rPr>
          <w:rFonts w:ascii="Arial" w:hAnsi="Arial" w:cs="Arial"/>
          <w:b/>
          <w:bCs/>
          <w:lang w:val="pl-PL"/>
        </w:rPr>
        <w:t>zarządzania wartością i efektywności operacyjnej.</w:t>
      </w:r>
    </w:p>
    <w:p w14:paraId="683A6F32" w14:textId="77777777" w:rsidR="00367FE7" w:rsidRPr="00D738F3" w:rsidRDefault="00367FE7" w:rsidP="00367FE7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D738F3">
        <w:rPr>
          <w:rFonts w:ascii="Arial" w:hAnsi="Arial" w:cs="Arial"/>
          <w:b/>
          <w:bCs/>
          <w:lang w:val="pl-PL"/>
        </w:rPr>
        <w:t>Kapitał stawia na skalę</w:t>
      </w:r>
    </w:p>
    <w:p w14:paraId="76FFC109" w14:textId="77777777" w:rsidR="00B43643" w:rsidRPr="00B43643" w:rsidRDefault="00B43643" w:rsidP="00B43643">
      <w:pPr>
        <w:spacing w:line="240" w:lineRule="auto"/>
        <w:jc w:val="both"/>
        <w:rPr>
          <w:rFonts w:ascii="Arial" w:hAnsi="Arial" w:cs="Arial"/>
          <w:lang w:val="pl-PL"/>
        </w:rPr>
      </w:pPr>
      <w:r w:rsidRPr="00B43643">
        <w:rPr>
          <w:rFonts w:ascii="Arial" w:hAnsi="Arial" w:cs="Arial"/>
          <w:lang w:val="pl-PL"/>
        </w:rPr>
        <w:t xml:space="preserve">W 2025 roku na polskim rynku nieruchomości handlowych odnotowano 52 transakcje, co potwierdza stabilną aktywność inwestorów. Równolegle rynek przyspiesza w kierunku konsolidacji, czego efektem są coraz większe transakcje portfelowe. Przykładem jest przejęcie 36 parków handlowych od TREI Real </w:t>
      </w:r>
      <w:proofErr w:type="spellStart"/>
      <w:r w:rsidRPr="00B43643">
        <w:rPr>
          <w:rFonts w:ascii="Arial" w:hAnsi="Arial" w:cs="Arial"/>
          <w:lang w:val="pl-PL"/>
        </w:rPr>
        <w:t>Estate</w:t>
      </w:r>
      <w:proofErr w:type="spellEnd"/>
      <w:r w:rsidRPr="00B43643">
        <w:rPr>
          <w:rFonts w:ascii="Arial" w:hAnsi="Arial" w:cs="Arial"/>
          <w:lang w:val="pl-PL"/>
        </w:rPr>
        <w:t xml:space="preserve"> przez joint venture Slate </w:t>
      </w:r>
      <w:proofErr w:type="spellStart"/>
      <w:r w:rsidRPr="00B43643">
        <w:rPr>
          <w:rFonts w:ascii="Arial" w:hAnsi="Arial" w:cs="Arial"/>
          <w:lang w:val="pl-PL"/>
        </w:rPr>
        <w:t>Asset</w:t>
      </w:r>
      <w:proofErr w:type="spellEnd"/>
      <w:r w:rsidRPr="00B43643">
        <w:rPr>
          <w:rFonts w:ascii="Arial" w:hAnsi="Arial" w:cs="Arial"/>
          <w:lang w:val="pl-PL"/>
        </w:rPr>
        <w:t xml:space="preserve"> Management oraz Ares Management Corporation za ponad 300 mln EUR. Podobne procesy widoczne są również na rynkach Europy Zachodniej, w tym w Niemczech, gdzie jedna z największych transakcji </w:t>
      </w:r>
      <w:proofErr w:type="spellStart"/>
      <w:r w:rsidRPr="00B43643">
        <w:rPr>
          <w:rFonts w:ascii="Arial" w:hAnsi="Arial" w:cs="Arial"/>
          <w:lang w:val="pl-PL"/>
        </w:rPr>
        <w:t>retailowych</w:t>
      </w:r>
      <w:proofErr w:type="spellEnd"/>
      <w:r w:rsidRPr="00B43643">
        <w:rPr>
          <w:rFonts w:ascii="Arial" w:hAnsi="Arial" w:cs="Arial"/>
          <w:lang w:val="pl-PL"/>
        </w:rPr>
        <w:t xml:space="preserve"> 2025 roku objęła portfel ponad 100 parków handlowych.</w:t>
      </w:r>
    </w:p>
    <w:p w14:paraId="4F323956" w14:textId="11262858" w:rsidR="00034CD1" w:rsidRPr="00034CD1" w:rsidRDefault="00034CD1" w:rsidP="00034CD1">
      <w:pPr>
        <w:spacing w:line="240" w:lineRule="auto"/>
        <w:jc w:val="both"/>
        <w:rPr>
          <w:rFonts w:ascii="Arial" w:hAnsi="Arial" w:cs="Arial"/>
          <w:lang w:val="pl-PL"/>
        </w:rPr>
      </w:pPr>
      <w:r w:rsidRPr="00034CD1">
        <w:rPr>
          <w:rFonts w:ascii="Arial" w:hAnsi="Arial" w:cs="Arial"/>
          <w:lang w:val="pl-PL"/>
        </w:rPr>
        <w:t>Zainteresowanie inwestorów tym formatem utrzyma</w:t>
      </w:r>
      <w:r w:rsidRPr="00034CD1">
        <w:rPr>
          <w:rFonts w:ascii="Arial" w:hAnsi="Arial" w:cs="Arial" w:hint="cs"/>
          <w:lang w:val="pl-PL"/>
        </w:rPr>
        <w:t>ł</w:t>
      </w:r>
      <w:r w:rsidRPr="00034CD1">
        <w:rPr>
          <w:rFonts w:ascii="Arial" w:hAnsi="Arial" w:cs="Arial"/>
          <w:lang w:val="pl-PL"/>
        </w:rPr>
        <w:t>o si</w:t>
      </w:r>
      <w:r w:rsidRPr="00034CD1">
        <w:rPr>
          <w:rFonts w:ascii="Arial" w:hAnsi="Arial" w:cs="Arial" w:hint="cs"/>
          <w:lang w:val="pl-PL"/>
        </w:rPr>
        <w:t>ę</w:t>
      </w:r>
      <w:r w:rsidRPr="00034CD1">
        <w:rPr>
          <w:rFonts w:ascii="Arial" w:hAnsi="Arial" w:cs="Arial"/>
          <w:lang w:val="pl-PL"/>
        </w:rPr>
        <w:t xml:space="preserve"> tak</w:t>
      </w:r>
      <w:r w:rsidRPr="00034CD1">
        <w:rPr>
          <w:rFonts w:ascii="Arial" w:hAnsi="Arial" w:cs="Arial" w:hint="cs"/>
          <w:lang w:val="pl-PL"/>
        </w:rPr>
        <w:t>ż</w:t>
      </w:r>
      <w:r w:rsidRPr="00034CD1">
        <w:rPr>
          <w:rFonts w:ascii="Arial" w:hAnsi="Arial" w:cs="Arial"/>
          <w:lang w:val="pl-PL"/>
        </w:rPr>
        <w:t>e na pocz</w:t>
      </w:r>
      <w:r w:rsidRPr="00034CD1">
        <w:rPr>
          <w:rFonts w:ascii="Arial" w:hAnsi="Arial" w:cs="Arial" w:hint="cs"/>
          <w:lang w:val="pl-PL"/>
        </w:rPr>
        <w:t>ą</w:t>
      </w:r>
      <w:r w:rsidRPr="00034CD1">
        <w:rPr>
          <w:rFonts w:ascii="Arial" w:hAnsi="Arial" w:cs="Arial"/>
          <w:lang w:val="pl-PL"/>
        </w:rPr>
        <w:t>tku 2026 roku. W pierwszym kwartale warto</w:t>
      </w:r>
      <w:r w:rsidRPr="00034CD1">
        <w:rPr>
          <w:rFonts w:ascii="Arial" w:hAnsi="Arial" w:cs="Arial" w:hint="cs"/>
          <w:lang w:val="pl-PL"/>
        </w:rPr>
        <w:t>ść</w:t>
      </w:r>
      <w:r w:rsidRPr="00034CD1">
        <w:rPr>
          <w:rFonts w:ascii="Arial" w:hAnsi="Arial" w:cs="Arial"/>
          <w:lang w:val="pl-PL"/>
        </w:rPr>
        <w:t xml:space="preserve"> transakcji w segmencie parków handlowych wynios</w:t>
      </w:r>
      <w:r w:rsidRPr="00034CD1">
        <w:rPr>
          <w:rFonts w:ascii="Arial" w:hAnsi="Arial" w:cs="Arial" w:hint="cs"/>
          <w:lang w:val="pl-PL"/>
        </w:rPr>
        <w:t>ł</w:t>
      </w:r>
      <w:r w:rsidRPr="00034CD1">
        <w:rPr>
          <w:rFonts w:ascii="Arial" w:hAnsi="Arial" w:cs="Arial"/>
          <w:lang w:val="pl-PL"/>
        </w:rPr>
        <w:t>a 87,25 mln EUR, co stanowi</w:t>
      </w:r>
      <w:r w:rsidRPr="00034CD1">
        <w:rPr>
          <w:rFonts w:ascii="Arial" w:hAnsi="Arial" w:cs="Arial" w:hint="cs"/>
          <w:lang w:val="pl-PL"/>
        </w:rPr>
        <w:t>ł</w:t>
      </w:r>
      <w:r w:rsidRPr="00034CD1">
        <w:rPr>
          <w:rFonts w:ascii="Arial" w:hAnsi="Arial" w:cs="Arial"/>
          <w:lang w:val="pl-PL"/>
        </w:rPr>
        <w:t>o 27% ca</w:t>
      </w:r>
      <w:r w:rsidRPr="00034CD1">
        <w:rPr>
          <w:rFonts w:ascii="Arial" w:hAnsi="Arial" w:cs="Arial" w:hint="cs"/>
          <w:lang w:val="pl-PL"/>
        </w:rPr>
        <w:t>ł</w:t>
      </w:r>
      <w:r w:rsidRPr="00034CD1">
        <w:rPr>
          <w:rFonts w:ascii="Arial" w:hAnsi="Arial" w:cs="Arial"/>
          <w:lang w:val="pl-PL"/>
        </w:rPr>
        <w:t>kowitej aktywno</w:t>
      </w:r>
      <w:r w:rsidRPr="00034CD1">
        <w:rPr>
          <w:rFonts w:ascii="Arial" w:hAnsi="Arial" w:cs="Arial" w:hint="cs"/>
          <w:lang w:val="pl-PL"/>
        </w:rPr>
        <w:t>ś</w:t>
      </w:r>
      <w:r w:rsidRPr="00034CD1">
        <w:rPr>
          <w:rFonts w:ascii="Arial" w:hAnsi="Arial" w:cs="Arial"/>
          <w:lang w:val="pl-PL"/>
        </w:rPr>
        <w:t xml:space="preserve">ci inwestycyjnej w sektorze </w:t>
      </w:r>
      <w:proofErr w:type="spellStart"/>
      <w:r w:rsidRPr="00034CD1">
        <w:rPr>
          <w:rFonts w:ascii="Arial" w:hAnsi="Arial" w:cs="Arial"/>
          <w:lang w:val="pl-PL"/>
        </w:rPr>
        <w:t>retail</w:t>
      </w:r>
      <w:proofErr w:type="spellEnd"/>
      <w:r w:rsidRPr="00034CD1">
        <w:rPr>
          <w:rFonts w:ascii="Arial" w:hAnsi="Arial" w:cs="Arial"/>
          <w:lang w:val="pl-PL"/>
        </w:rPr>
        <w:t>.</w:t>
      </w:r>
    </w:p>
    <w:p w14:paraId="52F566B2" w14:textId="74A09A04" w:rsidR="00034CD1" w:rsidRPr="00034CD1" w:rsidRDefault="00034CD1" w:rsidP="00034CD1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B43643">
        <w:rPr>
          <w:rFonts w:ascii="Arial" w:hAnsi="Arial" w:cs="Arial"/>
          <w:lang w:val="pl-PL"/>
        </w:rPr>
        <w:t>–</w:t>
      </w:r>
      <w:r>
        <w:rPr>
          <w:rFonts w:ascii="Arial" w:hAnsi="Arial" w:cs="Arial"/>
          <w:lang w:val="pl-PL"/>
        </w:rPr>
        <w:t xml:space="preserve"> </w:t>
      </w:r>
      <w:r w:rsidRPr="00034CD1">
        <w:rPr>
          <w:rFonts w:ascii="Arial" w:hAnsi="Arial" w:cs="Arial"/>
          <w:i/>
          <w:iCs/>
          <w:lang w:val="pl-PL"/>
        </w:rPr>
        <w:t>Parki handlowe odpowiada</w:t>
      </w:r>
      <w:r w:rsidRPr="00034CD1">
        <w:rPr>
          <w:rFonts w:ascii="Arial" w:hAnsi="Arial" w:cs="Arial" w:hint="cs"/>
          <w:i/>
          <w:iCs/>
          <w:lang w:val="pl-PL"/>
        </w:rPr>
        <w:t>ł</w:t>
      </w:r>
      <w:r w:rsidRPr="00034CD1">
        <w:rPr>
          <w:rFonts w:ascii="Arial" w:hAnsi="Arial" w:cs="Arial"/>
          <w:i/>
          <w:iCs/>
          <w:lang w:val="pl-PL"/>
        </w:rPr>
        <w:t>y w 2025 roku za 466 mln EUR zainwestowanego kapita</w:t>
      </w:r>
      <w:r w:rsidRPr="00034CD1">
        <w:rPr>
          <w:rFonts w:ascii="Arial" w:hAnsi="Arial" w:cs="Arial" w:hint="cs"/>
          <w:i/>
          <w:iCs/>
          <w:lang w:val="pl-PL"/>
        </w:rPr>
        <w:t>ł</w:t>
      </w:r>
      <w:r w:rsidRPr="00034CD1">
        <w:rPr>
          <w:rFonts w:ascii="Arial" w:hAnsi="Arial" w:cs="Arial"/>
          <w:i/>
          <w:iCs/>
          <w:lang w:val="pl-PL"/>
        </w:rPr>
        <w:t>u, osi</w:t>
      </w:r>
      <w:r w:rsidRPr="00034CD1">
        <w:rPr>
          <w:rFonts w:ascii="Arial" w:hAnsi="Arial" w:cs="Arial" w:hint="cs"/>
          <w:i/>
          <w:iCs/>
          <w:lang w:val="pl-PL"/>
        </w:rPr>
        <w:t>ą</w:t>
      </w:r>
      <w:r w:rsidRPr="00034CD1">
        <w:rPr>
          <w:rFonts w:ascii="Arial" w:hAnsi="Arial" w:cs="Arial"/>
          <w:i/>
          <w:iCs/>
          <w:lang w:val="pl-PL"/>
        </w:rPr>
        <w:t>gaj</w:t>
      </w:r>
      <w:r w:rsidRPr="00034CD1">
        <w:rPr>
          <w:rFonts w:ascii="Arial" w:hAnsi="Arial" w:cs="Arial" w:hint="cs"/>
          <w:i/>
          <w:iCs/>
          <w:lang w:val="pl-PL"/>
        </w:rPr>
        <w:t>ą</w:t>
      </w:r>
      <w:r w:rsidRPr="00034CD1">
        <w:rPr>
          <w:rFonts w:ascii="Arial" w:hAnsi="Arial" w:cs="Arial"/>
          <w:i/>
          <w:iCs/>
          <w:lang w:val="pl-PL"/>
        </w:rPr>
        <w:t>c najwy</w:t>
      </w:r>
      <w:r w:rsidRPr="00034CD1">
        <w:rPr>
          <w:rFonts w:ascii="Arial" w:hAnsi="Arial" w:cs="Arial" w:hint="cs"/>
          <w:i/>
          <w:iCs/>
          <w:lang w:val="pl-PL"/>
        </w:rPr>
        <w:t>ż</w:t>
      </w:r>
      <w:r w:rsidRPr="00034CD1">
        <w:rPr>
          <w:rFonts w:ascii="Arial" w:hAnsi="Arial" w:cs="Arial"/>
          <w:i/>
          <w:iCs/>
          <w:lang w:val="pl-PL"/>
        </w:rPr>
        <w:t xml:space="preserve">szy wynik w historii polskiego rynku dla tej klasy aktywów. To potwierdza, </w:t>
      </w:r>
      <w:r w:rsidRPr="00034CD1">
        <w:rPr>
          <w:rFonts w:ascii="Arial" w:hAnsi="Arial" w:cs="Arial" w:hint="cs"/>
          <w:i/>
          <w:iCs/>
          <w:lang w:val="pl-PL"/>
        </w:rPr>
        <w:t>ż</w:t>
      </w:r>
      <w:r w:rsidRPr="00034CD1">
        <w:rPr>
          <w:rFonts w:ascii="Arial" w:hAnsi="Arial" w:cs="Arial"/>
          <w:i/>
          <w:iCs/>
          <w:lang w:val="pl-PL"/>
        </w:rPr>
        <w:t>e nale</w:t>
      </w:r>
      <w:r w:rsidRPr="00034CD1">
        <w:rPr>
          <w:rFonts w:ascii="Arial" w:hAnsi="Arial" w:cs="Arial" w:hint="cs"/>
          <w:i/>
          <w:iCs/>
          <w:lang w:val="pl-PL"/>
        </w:rPr>
        <w:t>żą</w:t>
      </w:r>
      <w:r w:rsidRPr="00034CD1">
        <w:rPr>
          <w:rFonts w:ascii="Arial" w:hAnsi="Arial" w:cs="Arial"/>
          <w:i/>
          <w:iCs/>
          <w:lang w:val="pl-PL"/>
        </w:rPr>
        <w:t xml:space="preserve"> dzi</w:t>
      </w:r>
      <w:r w:rsidRPr="00034CD1">
        <w:rPr>
          <w:rFonts w:ascii="Arial" w:hAnsi="Arial" w:cs="Arial" w:hint="cs"/>
          <w:i/>
          <w:iCs/>
          <w:lang w:val="pl-PL"/>
        </w:rPr>
        <w:t>ś</w:t>
      </w:r>
      <w:r w:rsidRPr="00034CD1">
        <w:rPr>
          <w:rFonts w:ascii="Arial" w:hAnsi="Arial" w:cs="Arial"/>
          <w:i/>
          <w:iCs/>
          <w:lang w:val="pl-PL"/>
        </w:rPr>
        <w:t xml:space="preserve"> do najbardziej p</w:t>
      </w:r>
      <w:r w:rsidRPr="00034CD1">
        <w:rPr>
          <w:rFonts w:ascii="Arial" w:hAnsi="Arial" w:cs="Arial" w:hint="cs"/>
          <w:i/>
          <w:iCs/>
          <w:lang w:val="pl-PL"/>
        </w:rPr>
        <w:t>ł</w:t>
      </w:r>
      <w:r w:rsidRPr="00034CD1">
        <w:rPr>
          <w:rFonts w:ascii="Arial" w:hAnsi="Arial" w:cs="Arial"/>
          <w:i/>
          <w:iCs/>
          <w:lang w:val="pl-PL"/>
        </w:rPr>
        <w:t>ynnych i przewidywalnych formatów na rynku nieruchomo</w:t>
      </w:r>
      <w:r w:rsidRPr="00034CD1">
        <w:rPr>
          <w:rFonts w:ascii="Arial" w:hAnsi="Arial" w:cs="Arial" w:hint="cs"/>
          <w:i/>
          <w:iCs/>
          <w:lang w:val="pl-PL"/>
        </w:rPr>
        <w:t>ś</w:t>
      </w:r>
      <w:r w:rsidRPr="00034CD1">
        <w:rPr>
          <w:rFonts w:ascii="Arial" w:hAnsi="Arial" w:cs="Arial"/>
          <w:i/>
          <w:iCs/>
          <w:lang w:val="pl-PL"/>
        </w:rPr>
        <w:t>ci handlowych. Co istotne, mocny pocz</w:t>
      </w:r>
      <w:r w:rsidRPr="00034CD1">
        <w:rPr>
          <w:rFonts w:ascii="Arial" w:hAnsi="Arial" w:cs="Arial" w:hint="cs"/>
          <w:i/>
          <w:iCs/>
          <w:lang w:val="pl-PL"/>
        </w:rPr>
        <w:t>ą</w:t>
      </w:r>
      <w:r w:rsidRPr="00034CD1">
        <w:rPr>
          <w:rFonts w:ascii="Arial" w:hAnsi="Arial" w:cs="Arial"/>
          <w:i/>
          <w:iCs/>
          <w:lang w:val="pl-PL"/>
        </w:rPr>
        <w:t xml:space="preserve">tek 2026 roku pokazuje, </w:t>
      </w:r>
      <w:r w:rsidRPr="00034CD1">
        <w:rPr>
          <w:rFonts w:ascii="Arial" w:hAnsi="Arial" w:cs="Arial" w:hint="cs"/>
          <w:i/>
          <w:iCs/>
          <w:lang w:val="pl-PL"/>
        </w:rPr>
        <w:t>ż</w:t>
      </w:r>
      <w:r w:rsidRPr="00034CD1">
        <w:rPr>
          <w:rFonts w:ascii="Arial" w:hAnsi="Arial" w:cs="Arial"/>
          <w:i/>
          <w:iCs/>
          <w:lang w:val="pl-PL"/>
        </w:rPr>
        <w:t>e zainteresowanie inwestorów tym segmentem pozostaje wysokie. Skala kapita</w:t>
      </w:r>
      <w:r w:rsidRPr="00034CD1">
        <w:rPr>
          <w:rFonts w:ascii="Arial" w:hAnsi="Arial" w:cs="Arial" w:hint="cs"/>
          <w:i/>
          <w:iCs/>
          <w:lang w:val="pl-PL"/>
        </w:rPr>
        <w:t>ł</w:t>
      </w:r>
      <w:r w:rsidRPr="00034CD1">
        <w:rPr>
          <w:rFonts w:ascii="Arial" w:hAnsi="Arial" w:cs="Arial"/>
          <w:i/>
          <w:iCs/>
          <w:lang w:val="pl-PL"/>
        </w:rPr>
        <w:t xml:space="preserve">u ulokowanego w parkach oraz aktywny </w:t>
      </w:r>
      <w:proofErr w:type="spellStart"/>
      <w:r w:rsidRPr="00034CD1">
        <w:rPr>
          <w:rFonts w:ascii="Arial" w:hAnsi="Arial" w:cs="Arial"/>
          <w:i/>
          <w:iCs/>
          <w:lang w:val="pl-PL"/>
        </w:rPr>
        <w:t>pipeline</w:t>
      </w:r>
      <w:proofErr w:type="spellEnd"/>
      <w:r w:rsidRPr="00034CD1">
        <w:rPr>
          <w:rFonts w:ascii="Arial" w:hAnsi="Arial" w:cs="Arial"/>
          <w:i/>
          <w:iCs/>
          <w:lang w:val="pl-PL"/>
        </w:rPr>
        <w:t xml:space="preserve"> projektów na 2026 rok pozwalaj</w:t>
      </w:r>
      <w:r w:rsidRPr="00034CD1">
        <w:rPr>
          <w:rFonts w:ascii="Arial" w:hAnsi="Arial" w:cs="Arial" w:hint="cs"/>
          <w:i/>
          <w:iCs/>
          <w:lang w:val="pl-PL"/>
        </w:rPr>
        <w:t>ą</w:t>
      </w:r>
      <w:r w:rsidRPr="00034CD1">
        <w:rPr>
          <w:rFonts w:ascii="Arial" w:hAnsi="Arial" w:cs="Arial"/>
          <w:i/>
          <w:iCs/>
          <w:lang w:val="pl-PL"/>
        </w:rPr>
        <w:t xml:space="preserve"> nam s</w:t>
      </w:r>
      <w:r w:rsidRPr="00034CD1">
        <w:rPr>
          <w:rFonts w:ascii="Arial" w:hAnsi="Arial" w:cs="Arial" w:hint="cs"/>
          <w:i/>
          <w:iCs/>
          <w:lang w:val="pl-PL"/>
        </w:rPr>
        <w:t>ą</w:t>
      </w:r>
      <w:r w:rsidRPr="00034CD1">
        <w:rPr>
          <w:rFonts w:ascii="Arial" w:hAnsi="Arial" w:cs="Arial"/>
          <w:i/>
          <w:iCs/>
          <w:lang w:val="pl-PL"/>
        </w:rPr>
        <w:t>dzi</w:t>
      </w:r>
      <w:r w:rsidRPr="00034CD1">
        <w:rPr>
          <w:rFonts w:ascii="Arial" w:hAnsi="Arial" w:cs="Arial" w:hint="cs"/>
          <w:i/>
          <w:iCs/>
          <w:lang w:val="pl-PL"/>
        </w:rPr>
        <w:t>ć</w:t>
      </w:r>
      <w:r w:rsidRPr="00034CD1">
        <w:rPr>
          <w:rFonts w:ascii="Arial" w:hAnsi="Arial" w:cs="Arial"/>
          <w:i/>
          <w:iCs/>
          <w:lang w:val="pl-PL"/>
        </w:rPr>
        <w:t xml:space="preserve">, </w:t>
      </w:r>
      <w:r w:rsidRPr="00034CD1">
        <w:rPr>
          <w:rFonts w:ascii="Arial" w:hAnsi="Arial" w:cs="Arial" w:hint="cs"/>
          <w:i/>
          <w:iCs/>
          <w:lang w:val="pl-PL"/>
        </w:rPr>
        <w:t>ż</w:t>
      </w:r>
      <w:r w:rsidRPr="00034CD1">
        <w:rPr>
          <w:rFonts w:ascii="Arial" w:hAnsi="Arial" w:cs="Arial"/>
          <w:i/>
          <w:iCs/>
          <w:lang w:val="pl-PL"/>
        </w:rPr>
        <w:t>e nie mamy do czynienia z krótkoterminowym trendem, ale z dojrzewaniem ca</w:t>
      </w:r>
      <w:r w:rsidRPr="00034CD1">
        <w:rPr>
          <w:rFonts w:ascii="Arial" w:hAnsi="Arial" w:cs="Arial" w:hint="cs"/>
          <w:i/>
          <w:iCs/>
          <w:lang w:val="pl-PL"/>
        </w:rPr>
        <w:t>ł</w:t>
      </w:r>
      <w:r w:rsidRPr="00034CD1">
        <w:rPr>
          <w:rFonts w:ascii="Arial" w:hAnsi="Arial" w:cs="Arial"/>
          <w:i/>
          <w:iCs/>
          <w:lang w:val="pl-PL"/>
        </w:rPr>
        <w:t>ego rynku i jego dalsz</w:t>
      </w:r>
      <w:r w:rsidRPr="00034CD1">
        <w:rPr>
          <w:rFonts w:ascii="Arial" w:hAnsi="Arial" w:cs="Arial" w:hint="cs"/>
          <w:i/>
          <w:iCs/>
          <w:lang w:val="pl-PL"/>
        </w:rPr>
        <w:t>ą</w:t>
      </w:r>
      <w:r w:rsidRPr="00034CD1">
        <w:rPr>
          <w:rFonts w:ascii="Arial" w:hAnsi="Arial" w:cs="Arial"/>
          <w:i/>
          <w:iCs/>
          <w:lang w:val="pl-PL"/>
        </w:rPr>
        <w:t xml:space="preserve"> integracj</w:t>
      </w:r>
      <w:r w:rsidRPr="00034CD1">
        <w:rPr>
          <w:rFonts w:ascii="Arial" w:hAnsi="Arial" w:cs="Arial" w:hint="cs"/>
          <w:i/>
          <w:iCs/>
          <w:lang w:val="pl-PL"/>
        </w:rPr>
        <w:t>ą</w:t>
      </w:r>
      <w:r>
        <w:rPr>
          <w:rFonts w:ascii="Arial" w:hAnsi="Arial" w:cs="Arial"/>
          <w:lang w:val="pl-PL"/>
        </w:rPr>
        <w:t xml:space="preserve"> </w:t>
      </w:r>
      <w:r w:rsidRPr="00B43643">
        <w:rPr>
          <w:rFonts w:ascii="Arial" w:hAnsi="Arial" w:cs="Arial"/>
          <w:lang w:val="pl-PL"/>
        </w:rPr>
        <w:t xml:space="preserve">– mówi </w:t>
      </w:r>
      <w:r w:rsidRPr="00B43643">
        <w:rPr>
          <w:rFonts w:ascii="Arial" w:hAnsi="Arial" w:cs="Arial"/>
          <w:b/>
          <w:bCs/>
          <w:lang w:val="pl-PL"/>
        </w:rPr>
        <w:t xml:space="preserve">Paweł Partyka, </w:t>
      </w:r>
      <w:proofErr w:type="spellStart"/>
      <w:r w:rsidRPr="00B43643">
        <w:rPr>
          <w:rFonts w:ascii="Arial" w:hAnsi="Arial" w:cs="Arial"/>
          <w:b/>
          <w:bCs/>
          <w:lang w:val="pl-PL"/>
        </w:rPr>
        <w:t>Head</w:t>
      </w:r>
      <w:proofErr w:type="spellEnd"/>
      <w:r w:rsidRPr="00B43643">
        <w:rPr>
          <w:rFonts w:ascii="Arial" w:hAnsi="Arial" w:cs="Arial"/>
          <w:b/>
          <w:bCs/>
          <w:lang w:val="pl-PL"/>
        </w:rPr>
        <w:t xml:space="preserve"> of Capital </w:t>
      </w:r>
      <w:proofErr w:type="spellStart"/>
      <w:r w:rsidRPr="00B43643">
        <w:rPr>
          <w:rFonts w:ascii="Arial" w:hAnsi="Arial" w:cs="Arial"/>
          <w:b/>
          <w:bCs/>
          <w:lang w:val="pl-PL"/>
        </w:rPr>
        <w:t>Markets</w:t>
      </w:r>
      <w:proofErr w:type="spellEnd"/>
      <w:r w:rsidRPr="00B43643">
        <w:rPr>
          <w:rFonts w:ascii="Arial" w:hAnsi="Arial" w:cs="Arial"/>
          <w:b/>
          <w:bCs/>
          <w:lang w:val="pl-PL"/>
        </w:rPr>
        <w:t xml:space="preserve"> Poland, Cushman &amp; Wakefield.</w:t>
      </w:r>
    </w:p>
    <w:p w14:paraId="54B0273A" w14:textId="77777777" w:rsidR="00367FE7" w:rsidRPr="00D738F3" w:rsidRDefault="00367FE7" w:rsidP="00367FE7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D738F3">
        <w:rPr>
          <w:rFonts w:ascii="Arial" w:hAnsi="Arial" w:cs="Arial"/>
          <w:b/>
          <w:bCs/>
          <w:lang w:val="pl-PL"/>
        </w:rPr>
        <w:t>Polska buduje przewagę w regionie</w:t>
      </w:r>
    </w:p>
    <w:p w14:paraId="04DDB564" w14:textId="1F1ED428" w:rsidR="00367FE7" w:rsidRPr="00367FE7" w:rsidRDefault="00367FE7" w:rsidP="00367FE7">
      <w:pPr>
        <w:spacing w:line="240" w:lineRule="auto"/>
        <w:jc w:val="both"/>
        <w:rPr>
          <w:rFonts w:ascii="Arial" w:hAnsi="Arial" w:cs="Arial"/>
          <w:lang w:val="pl-PL"/>
        </w:rPr>
      </w:pPr>
      <w:r w:rsidRPr="00367FE7">
        <w:rPr>
          <w:rFonts w:ascii="Arial" w:hAnsi="Arial" w:cs="Arial"/>
          <w:lang w:val="pl-PL"/>
        </w:rPr>
        <w:t xml:space="preserve">W segmencie parków handlowych (i nie tylko) </w:t>
      </w:r>
      <w:r w:rsidRPr="00D738F3">
        <w:rPr>
          <w:rFonts w:ascii="Arial" w:hAnsi="Arial" w:cs="Arial"/>
          <w:lang w:val="pl-PL"/>
        </w:rPr>
        <w:t xml:space="preserve">Polska </w:t>
      </w:r>
      <w:r w:rsidRPr="00367FE7">
        <w:rPr>
          <w:rFonts w:ascii="Arial" w:hAnsi="Arial" w:cs="Arial"/>
          <w:lang w:val="pl-PL"/>
        </w:rPr>
        <w:t>osiągnęła</w:t>
      </w:r>
      <w:r w:rsidRPr="00D738F3">
        <w:rPr>
          <w:rFonts w:ascii="Arial" w:hAnsi="Arial" w:cs="Arial"/>
          <w:lang w:val="pl-PL"/>
        </w:rPr>
        <w:t xml:space="preserve"> pozycję lidera w skali całego CEE. </w:t>
      </w:r>
      <w:r w:rsidRPr="00367FE7">
        <w:rPr>
          <w:rFonts w:ascii="Arial" w:hAnsi="Arial" w:cs="Arial"/>
          <w:lang w:val="pl-PL"/>
        </w:rPr>
        <w:t>Całkowite z</w:t>
      </w:r>
      <w:r w:rsidRPr="00D738F3">
        <w:rPr>
          <w:rFonts w:ascii="Arial" w:hAnsi="Arial" w:cs="Arial"/>
          <w:lang w:val="pl-PL"/>
        </w:rPr>
        <w:t xml:space="preserve">asoby </w:t>
      </w:r>
      <w:r w:rsidRPr="00367FE7">
        <w:rPr>
          <w:rFonts w:ascii="Arial" w:hAnsi="Arial" w:cs="Arial"/>
          <w:lang w:val="pl-PL"/>
        </w:rPr>
        <w:t>w ramach tego formatu</w:t>
      </w:r>
      <w:r w:rsidRPr="00D738F3">
        <w:rPr>
          <w:rFonts w:ascii="Arial" w:hAnsi="Arial" w:cs="Arial"/>
          <w:lang w:val="pl-PL"/>
        </w:rPr>
        <w:t xml:space="preserve"> w regionie wynoszą obecnie blisko 9,78 mln mkw., z czego ponad 3,37 mln mkw.</w:t>
      </w:r>
      <w:r w:rsidRPr="00367FE7">
        <w:rPr>
          <w:rFonts w:ascii="Arial" w:hAnsi="Arial" w:cs="Arial"/>
          <w:lang w:val="pl-PL"/>
        </w:rPr>
        <w:t>, czyli 34%,</w:t>
      </w:r>
      <w:r w:rsidRPr="00D738F3">
        <w:rPr>
          <w:rFonts w:ascii="Arial" w:hAnsi="Arial" w:cs="Arial"/>
          <w:lang w:val="pl-PL"/>
        </w:rPr>
        <w:t xml:space="preserve"> przypada na Polskę. </w:t>
      </w:r>
      <w:r w:rsidRPr="00092A85">
        <w:rPr>
          <w:rFonts w:ascii="Arial" w:hAnsi="Arial" w:cs="Arial"/>
          <w:lang w:val="pl-PL"/>
        </w:rPr>
        <w:t>Nasz kraj deklasuje pod tym względem rynki takie jak Rumunia (1,87 mln mkw.), Węgry (1,77 mln mkw.) czy Czechy (1,36 mln mkw).</w:t>
      </w:r>
      <w:r w:rsidRPr="00367FE7">
        <w:rPr>
          <w:rFonts w:ascii="Arial" w:hAnsi="Arial" w:cs="Arial"/>
          <w:lang w:val="pl-PL"/>
        </w:rPr>
        <w:t xml:space="preserve"> </w:t>
      </w:r>
      <w:r w:rsidRPr="00092A85">
        <w:rPr>
          <w:rFonts w:ascii="Arial" w:hAnsi="Arial" w:cs="Arial"/>
          <w:lang w:val="pl-PL"/>
        </w:rPr>
        <w:t>Jeszcze silniejszą dominację widać w planach inwestycyjnych – polski rynek odpowiada za 44% nowej podaży w budowie w całym regionie.</w:t>
      </w:r>
    </w:p>
    <w:p w14:paraId="48845E39" w14:textId="4AB60C3F" w:rsidR="00367FE7" w:rsidRPr="00367FE7" w:rsidRDefault="00367FE7" w:rsidP="00367FE7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D738F3">
        <w:rPr>
          <w:rFonts w:ascii="Arial" w:hAnsi="Arial" w:cs="Arial"/>
          <w:lang w:val="pl-PL"/>
        </w:rPr>
        <w:t>–</w:t>
      </w:r>
      <w:r w:rsidR="008777C1">
        <w:rPr>
          <w:rFonts w:ascii="Arial" w:hAnsi="Arial" w:cs="Arial"/>
          <w:lang w:val="pl-PL"/>
        </w:rPr>
        <w:t xml:space="preserve"> </w:t>
      </w:r>
      <w:r w:rsidRPr="00D738F3">
        <w:rPr>
          <w:rFonts w:ascii="Arial" w:hAnsi="Arial" w:cs="Arial"/>
          <w:i/>
          <w:iCs/>
          <w:lang w:val="pl-PL"/>
        </w:rPr>
        <w:t>W całym 2025 roku na rynek trafiło około 545</w:t>
      </w:r>
      <w:r w:rsidRPr="00367FE7">
        <w:rPr>
          <w:rFonts w:ascii="Arial" w:hAnsi="Arial" w:cs="Arial"/>
          <w:i/>
          <w:iCs/>
          <w:lang w:val="pl-PL"/>
        </w:rPr>
        <w:t xml:space="preserve"> 000 </w:t>
      </w:r>
      <w:r w:rsidRPr="00D738F3">
        <w:rPr>
          <w:rFonts w:ascii="Arial" w:hAnsi="Arial" w:cs="Arial"/>
          <w:i/>
          <w:iCs/>
          <w:lang w:val="pl-PL"/>
        </w:rPr>
        <w:t xml:space="preserve">mkw. nowej powierzchni, a 75% tej podaży stanowiły parki handlowe. Na koniec czwartego kwartału w budowie pozostawało około 644 </w:t>
      </w:r>
      <w:r w:rsidRPr="00367FE7">
        <w:rPr>
          <w:rFonts w:ascii="Arial" w:hAnsi="Arial" w:cs="Arial"/>
          <w:i/>
          <w:iCs/>
          <w:lang w:val="pl-PL"/>
        </w:rPr>
        <w:t>000</w:t>
      </w:r>
      <w:r w:rsidRPr="00D738F3">
        <w:rPr>
          <w:rFonts w:ascii="Arial" w:hAnsi="Arial" w:cs="Arial"/>
          <w:i/>
          <w:iCs/>
          <w:lang w:val="pl-PL"/>
        </w:rPr>
        <w:t xml:space="preserve"> mkw., </w:t>
      </w:r>
      <w:r w:rsidR="008777C1" w:rsidRPr="008777C1">
        <w:rPr>
          <w:rFonts w:ascii="Arial" w:hAnsi="Arial" w:cs="Arial"/>
          <w:i/>
          <w:iCs/>
          <w:lang w:val="pl-PL"/>
        </w:rPr>
        <w:t xml:space="preserve">a parki odpowiadały </w:t>
      </w:r>
      <w:r w:rsidR="00F31839">
        <w:rPr>
          <w:rFonts w:ascii="Arial" w:hAnsi="Arial" w:cs="Arial"/>
          <w:i/>
          <w:iCs/>
          <w:lang w:val="pl-PL"/>
        </w:rPr>
        <w:t xml:space="preserve">aż </w:t>
      </w:r>
      <w:r w:rsidR="008777C1" w:rsidRPr="008777C1">
        <w:rPr>
          <w:rFonts w:ascii="Arial" w:hAnsi="Arial" w:cs="Arial"/>
          <w:i/>
          <w:iCs/>
          <w:lang w:val="pl-PL"/>
        </w:rPr>
        <w:t>za 8</w:t>
      </w:r>
      <w:r w:rsidR="00F31839">
        <w:rPr>
          <w:rFonts w:ascii="Arial" w:hAnsi="Arial" w:cs="Arial"/>
          <w:i/>
          <w:iCs/>
          <w:lang w:val="pl-PL"/>
        </w:rPr>
        <w:t>4</w:t>
      </w:r>
      <w:r w:rsidR="008777C1" w:rsidRPr="008777C1">
        <w:rPr>
          <w:rFonts w:ascii="Arial" w:hAnsi="Arial" w:cs="Arial"/>
          <w:i/>
          <w:iCs/>
          <w:lang w:val="pl-PL"/>
        </w:rPr>
        <w:t xml:space="preserve">% tego wolumenu. Dodatkowo, </w:t>
      </w:r>
      <w:r w:rsidRPr="00D738F3">
        <w:rPr>
          <w:rFonts w:ascii="Arial" w:hAnsi="Arial" w:cs="Arial"/>
          <w:i/>
          <w:iCs/>
          <w:lang w:val="pl-PL"/>
        </w:rPr>
        <w:t xml:space="preserve">tylko co czwarty metr kwadratowy nowej powierzchni powstaje w aglomeracjach liczących ponad 400 tys. </w:t>
      </w:r>
      <w:r w:rsidRPr="00D738F3">
        <w:rPr>
          <w:rFonts w:ascii="Arial" w:hAnsi="Arial" w:cs="Arial"/>
          <w:i/>
          <w:iCs/>
          <w:lang w:val="pl-PL"/>
        </w:rPr>
        <w:lastRenderedPageBreak/>
        <w:t>mieszkańców</w:t>
      </w:r>
      <w:r w:rsidRPr="00367FE7">
        <w:rPr>
          <w:rFonts w:ascii="Arial" w:hAnsi="Arial" w:cs="Arial"/>
          <w:lang w:val="pl-PL"/>
        </w:rPr>
        <w:t xml:space="preserve"> </w:t>
      </w:r>
      <w:r w:rsidRPr="00D738F3">
        <w:rPr>
          <w:rFonts w:ascii="Arial" w:hAnsi="Arial" w:cs="Arial"/>
          <w:lang w:val="pl-PL"/>
        </w:rPr>
        <w:t xml:space="preserve">– komentuje </w:t>
      </w:r>
      <w:r w:rsidRPr="00D738F3">
        <w:rPr>
          <w:rFonts w:ascii="Arial" w:hAnsi="Arial" w:cs="Arial"/>
          <w:b/>
          <w:bCs/>
          <w:lang w:val="pl-PL"/>
        </w:rPr>
        <w:t xml:space="preserve">Ewa Derlatka-Chilewicz, </w:t>
      </w:r>
      <w:proofErr w:type="spellStart"/>
      <w:r w:rsidRPr="00367FE7">
        <w:rPr>
          <w:rFonts w:ascii="Arial" w:hAnsi="Arial" w:cs="Arial"/>
          <w:b/>
          <w:bCs/>
          <w:lang w:val="pl-PL"/>
        </w:rPr>
        <w:t>Head</w:t>
      </w:r>
      <w:proofErr w:type="spellEnd"/>
      <w:r w:rsidRPr="00367FE7">
        <w:rPr>
          <w:rFonts w:ascii="Arial" w:hAnsi="Arial" w:cs="Arial"/>
          <w:b/>
          <w:bCs/>
          <w:lang w:val="pl-PL"/>
        </w:rPr>
        <w:t xml:space="preserve"> of </w:t>
      </w:r>
      <w:proofErr w:type="spellStart"/>
      <w:r w:rsidRPr="00367FE7">
        <w:rPr>
          <w:rFonts w:ascii="Arial" w:hAnsi="Arial" w:cs="Arial"/>
          <w:b/>
          <w:bCs/>
          <w:lang w:val="pl-PL"/>
        </w:rPr>
        <w:t>Research</w:t>
      </w:r>
      <w:proofErr w:type="spellEnd"/>
      <w:r w:rsidRPr="00367FE7">
        <w:rPr>
          <w:rFonts w:ascii="Arial" w:hAnsi="Arial" w:cs="Arial"/>
          <w:b/>
          <w:bCs/>
          <w:lang w:val="pl-PL"/>
        </w:rPr>
        <w:t xml:space="preserve">, </w:t>
      </w:r>
      <w:r w:rsidRPr="00D738F3">
        <w:rPr>
          <w:rFonts w:ascii="Arial" w:hAnsi="Arial" w:cs="Arial"/>
          <w:b/>
          <w:bCs/>
          <w:lang w:val="pl-PL"/>
        </w:rPr>
        <w:t>Cushman &amp; Wakefield.</w:t>
      </w:r>
    </w:p>
    <w:p w14:paraId="28C0AD57" w14:textId="77777777" w:rsidR="00367FE7" w:rsidRPr="00D738F3" w:rsidRDefault="00367FE7" w:rsidP="00367FE7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D738F3">
        <w:rPr>
          <w:rFonts w:ascii="Arial" w:hAnsi="Arial" w:cs="Arial"/>
          <w:b/>
          <w:bCs/>
          <w:lang w:val="pl-PL"/>
        </w:rPr>
        <w:t>Koniec powtarzalnych schematów</w:t>
      </w:r>
    </w:p>
    <w:p w14:paraId="66B836E4" w14:textId="00AFFC93" w:rsidR="00D75EEC" w:rsidRPr="00D75EEC" w:rsidRDefault="00D75EEC" w:rsidP="00367FE7">
      <w:pPr>
        <w:spacing w:line="240" w:lineRule="auto"/>
        <w:jc w:val="both"/>
        <w:rPr>
          <w:rFonts w:ascii="Arial" w:hAnsi="Arial" w:cs="Arial"/>
          <w:lang w:val="pl-PL"/>
        </w:rPr>
      </w:pPr>
      <w:r w:rsidRPr="00D75EEC">
        <w:rPr>
          <w:rFonts w:ascii="Arial" w:hAnsi="Arial" w:cs="Arial"/>
          <w:lang w:val="pl-PL"/>
        </w:rPr>
        <w:t>Rosnąca skala rynku oznacza również wyższy poziom jego dojrzałości. W praktyce powinno to przełożyć się na odejście od prostych, powtarzalnych modeli komercjalizacji</w:t>
      </w:r>
      <w:r>
        <w:rPr>
          <w:rFonts w:ascii="Arial" w:hAnsi="Arial" w:cs="Arial"/>
          <w:lang w:val="pl-PL"/>
        </w:rPr>
        <w:t>, dzięki czemu p</w:t>
      </w:r>
      <w:r w:rsidRPr="00D75EEC">
        <w:rPr>
          <w:rFonts w:ascii="Arial" w:hAnsi="Arial" w:cs="Arial"/>
          <w:lang w:val="pl-PL"/>
        </w:rPr>
        <w:t xml:space="preserve">ark handlowy </w:t>
      </w:r>
      <w:r>
        <w:rPr>
          <w:rFonts w:ascii="Arial" w:hAnsi="Arial" w:cs="Arial"/>
          <w:lang w:val="pl-PL"/>
        </w:rPr>
        <w:t>nie będzie</w:t>
      </w:r>
      <w:r w:rsidRPr="00D75EEC">
        <w:rPr>
          <w:rFonts w:ascii="Arial" w:hAnsi="Arial" w:cs="Arial"/>
          <w:lang w:val="pl-PL"/>
        </w:rPr>
        <w:t xml:space="preserve"> uniwersalny</w:t>
      </w:r>
      <w:r>
        <w:rPr>
          <w:rFonts w:ascii="Arial" w:hAnsi="Arial" w:cs="Arial"/>
          <w:lang w:val="pl-PL"/>
        </w:rPr>
        <w:t xml:space="preserve">m </w:t>
      </w:r>
      <w:r w:rsidRPr="00D75EEC">
        <w:rPr>
          <w:rFonts w:ascii="Arial" w:hAnsi="Arial" w:cs="Arial"/>
          <w:lang w:val="pl-PL"/>
        </w:rPr>
        <w:t>zestaw</w:t>
      </w:r>
      <w:r>
        <w:rPr>
          <w:rFonts w:ascii="Arial" w:hAnsi="Arial" w:cs="Arial"/>
          <w:lang w:val="pl-PL"/>
        </w:rPr>
        <w:t>em</w:t>
      </w:r>
      <w:r w:rsidRPr="00D75EEC">
        <w:rPr>
          <w:rFonts w:ascii="Arial" w:hAnsi="Arial" w:cs="Arial"/>
          <w:lang w:val="pl-PL"/>
        </w:rPr>
        <w:t xml:space="preserve"> kilku tych samych kategorii najemców, a zacz</w:t>
      </w:r>
      <w:r>
        <w:rPr>
          <w:rFonts w:ascii="Arial" w:hAnsi="Arial" w:cs="Arial"/>
          <w:lang w:val="pl-PL"/>
        </w:rPr>
        <w:t>nie</w:t>
      </w:r>
      <w:r w:rsidRPr="00D75EEC">
        <w:rPr>
          <w:rFonts w:ascii="Arial" w:hAnsi="Arial" w:cs="Arial"/>
          <w:lang w:val="pl-PL"/>
        </w:rPr>
        <w:t xml:space="preserve"> pełnić funkcję lokalnego centrum codziennych usług i zakupów.</w:t>
      </w:r>
    </w:p>
    <w:p w14:paraId="19C2DAEC" w14:textId="6AE8209D" w:rsidR="00367FE7" w:rsidRDefault="00367FE7" w:rsidP="00367FE7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D738F3">
        <w:rPr>
          <w:rFonts w:ascii="Arial" w:hAnsi="Arial" w:cs="Arial"/>
          <w:lang w:val="pl-PL"/>
        </w:rPr>
        <w:t>–</w:t>
      </w:r>
      <w:r w:rsidRPr="00367FE7">
        <w:rPr>
          <w:rFonts w:ascii="Arial" w:hAnsi="Arial" w:cs="Arial"/>
          <w:lang w:val="pl-PL"/>
        </w:rPr>
        <w:t xml:space="preserve"> </w:t>
      </w:r>
      <w:r w:rsidR="008777C1" w:rsidRPr="008777C1">
        <w:rPr>
          <w:rFonts w:ascii="Arial" w:hAnsi="Arial" w:cs="Arial"/>
          <w:i/>
          <w:iCs/>
          <w:lang w:val="pl-PL"/>
        </w:rPr>
        <w:t xml:space="preserve">Dziś </w:t>
      </w:r>
      <w:proofErr w:type="spellStart"/>
      <w:r w:rsidR="008777C1" w:rsidRPr="008777C1">
        <w:rPr>
          <w:rFonts w:ascii="Arial" w:hAnsi="Arial" w:cs="Arial"/>
          <w:i/>
          <w:iCs/>
          <w:lang w:val="pl-PL"/>
        </w:rPr>
        <w:t>tenant</w:t>
      </w:r>
      <w:proofErr w:type="spellEnd"/>
      <w:r w:rsidR="008777C1" w:rsidRPr="008777C1">
        <w:rPr>
          <w:rFonts w:ascii="Arial" w:hAnsi="Arial" w:cs="Arial"/>
          <w:i/>
          <w:iCs/>
          <w:lang w:val="pl-PL"/>
        </w:rPr>
        <w:t xml:space="preserve">-mix dla parku handlowego nie może być kalką rozwiązań z innej lokalizacji. O jego skuteczności decyduje analiza realnych potrzeb mieszkańców, siły nabywczej czy pożądanych przez konsumentów funkcji. Widzimy to szczególnie w kontekście tzw. „srebrnej gospodarki”. Pokolenia 40+ i 50+, które dysponują obecnie największą siłą nabywczą, stawiają na pragmatyzm i oszczędność czasu. Dlatego obok operatorów spożywczych czy modowych coraz częściej pojawiają się tam usługi zdrowotne, apteki, punkty </w:t>
      </w:r>
      <w:proofErr w:type="spellStart"/>
      <w:r w:rsidR="008777C1" w:rsidRPr="008777C1">
        <w:rPr>
          <w:rFonts w:ascii="Arial" w:hAnsi="Arial" w:cs="Arial"/>
          <w:i/>
          <w:iCs/>
          <w:lang w:val="pl-PL"/>
        </w:rPr>
        <w:t>beauty</w:t>
      </w:r>
      <w:proofErr w:type="spellEnd"/>
      <w:r w:rsidR="008777C1" w:rsidRPr="008777C1">
        <w:rPr>
          <w:rFonts w:ascii="Arial" w:hAnsi="Arial" w:cs="Arial"/>
          <w:i/>
          <w:iCs/>
          <w:lang w:val="pl-PL"/>
        </w:rPr>
        <w:t xml:space="preserve">, fitness czy sklepy zoologiczne. </w:t>
      </w:r>
      <w:r w:rsidR="00D75EEC" w:rsidRPr="00D75EEC">
        <w:rPr>
          <w:rFonts w:ascii="Arial" w:hAnsi="Arial" w:cs="Arial"/>
          <w:i/>
          <w:iCs/>
          <w:lang w:val="pl-PL"/>
        </w:rPr>
        <w:t>W dobrze zaprojektowanym parku handlowym chodzi nie o liczbę sklepów, ale o trafność oferty – o taki dobór marek i usług, który odpowiada na rzeczywiste potrzeby klientów w danej lokalizacji i buduje regularną, codzienną odwiedzalność</w:t>
      </w:r>
      <w:r w:rsidR="00D75EEC">
        <w:rPr>
          <w:rFonts w:ascii="Arial" w:hAnsi="Arial" w:cs="Arial"/>
          <w:i/>
          <w:iCs/>
          <w:lang w:val="pl-PL"/>
        </w:rPr>
        <w:t xml:space="preserve"> </w:t>
      </w:r>
      <w:r w:rsidRPr="00D738F3">
        <w:rPr>
          <w:rFonts w:ascii="Arial" w:hAnsi="Arial" w:cs="Arial"/>
          <w:lang w:val="pl-PL"/>
        </w:rPr>
        <w:t xml:space="preserve">– mówi </w:t>
      </w:r>
      <w:r w:rsidRPr="00D738F3">
        <w:rPr>
          <w:rFonts w:ascii="Arial" w:hAnsi="Arial" w:cs="Arial"/>
          <w:b/>
          <w:bCs/>
          <w:lang w:val="pl-PL"/>
        </w:rPr>
        <w:t xml:space="preserve">Michał Masztakowski, </w:t>
      </w:r>
      <w:proofErr w:type="spellStart"/>
      <w:r w:rsidRPr="00367FE7">
        <w:rPr>
          <w:rFonts w:ascii="Arial" w:hAnsi="Arial" w:cs="Arial"/>
          <w:b/>
          <w:bCs/>
          <w:lang w:val="pl-PL"/>
        </w:rPr>
        <w:t>Head</w:t>
      </w:r>
      <w:proofErr w:type="spellEnd"/>
      <w:r w:rsidRPr="00367FE7">
        <w:rPr>
          <w:rFonts w:ascii="Arial" w:hAnsi="Arial" w:cs="Arial"/>
          <w:b/>
          <w:bCs/>
          <w:lang w:val="pl-PL"/>
        </w:rPr>
        <w:t xml:space="preserve"> of Retail, </w:t>
      </w:r>
      <w:r w:rsidRPr="00D738F3">
        <w:rPr>
          <w:rFonts w:ascii="Arial" w:hAnsi="Arial" w:cs="Arial"/>
          <w:b/>
          <w:bCs/>
          <w:lang w:val="pl-PL"/>
        </w:rPr>
        <w:t>Cushman &amp; Wakefield.</w:t>
      </w:r>
    </w:p>
    <w:p w14:paraId="6355460F" w14:textId="77777777" w:rsidR="00367FE7" w:rsidRPr="00D738F3" w:rsidRDefault="00367FE7" w:rsidP="00367FE7">
      <w:pPr>
        <w:spacing w:line="240" w:lineRule="auto"/>
        <w:jc w:val="both"/>
        <w:rPr>
          <w:rFonts w:ascii="Arial" w:hAnsi="Arial" w:cs="Arial"/>
          <w:lang w:val="pl-PL"/>
        </w:rPr>
      </w:pPr>
      <w:r w:rsidRPr="00D738F3">
        <w:rPr>
          <w:rFonts w:ascii="Arial" w:hAnsi="Arial" w:cs="Arial"/>
          <w:lang w:val="pl-PL"/>
        </w:rPr>
        <w:t xml:space="preserve">Właściciele coraz częściej oczekują modelu, który łączy komercjalizację, </w:t>
      </w:r>
      <w:proofErr w:type="spellStart"/>
      <w:r w:rsidRPr="00D738F3">
        <w:rPr>
          <w:rFonts w:ascii="Arial" w:hAnsi="Arial" w:cs="Arial"/>
          <w:lang w:val="pl-PL"/>
        </w:rPr>
        <w:t>property</w:t>
      </w:r>
      <w:proofErr w:type="spellEnd"/>
      <w:r w:rsidRPr="00D738F3">
        <w:rPr>
          <w:rFonts w:ascii="Arial" w:hAnsi="Arial" w:cs="Arial"/>
          <w:lang w:val="pl-PL"/>
        </w:rPr>
        <w:t xml:space="preserve"> management i marketing w jeden spójny proces nastawiony na wzrost wartości aktywa. W przypadku rosnących portfeli o przewadze nie decyduje już samo posiadanie obiektów, ale zdolność do utrzymania obłożenia, kontroli kosztów operacyjnych i budowania lojalności klientów.</w:t>
      </w:r>
    </w:p>
    <w:p w14:paraId="596D9260" w14:textId="4716AA4C" w:rsidR="00367FE7" w:rsidRPr="00D738F3" w:rsidRDefault="00367FE7" w:rsidP="00367FE7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D738F3">
        <w:rPr>
          <w:rFonts w:ascii="Arial" w:hAnsi="Arial" w:cs="Arial"/>
          <w:lang w:val="pl-PL"/>
        </w:rPr>
        <w:t>–</w:t>
      </w:r>
      <w:r w:rsidRPr="00367FE7">
        <w:rPr>
          <w:rFonts w:ascii="Arial" w:hAnsi="Arial" w:cs="Arial"/>
          <w:lang w:val="pl-PL"/>
        </w:rPr>
        <w:t xml:space="preserve"> </w:t>
      </w:r>
      <w:r w:rsidR="00D75EEC" w:rsidRPr="00D75EEC">
        <w:rPr>
          <w:rFonts w:ascii="Arial" w:hAnsi="Arial" w:cs="Arial"/>
          <w:i/>
          <w:iCs/>
          <w:lang w:val="pl-PL"/>
        </w:rPr>
        <w:t xml:space="preserve">W parkach handlowych efektywność operacyjna musi iść w parze z doświadczeniem klienta. Dziś zarządzanie takim aktywem to nie tylko sprawna operacja, ale również przemyślana strategia marketingowa, wzmacnianie lokalnej rozpoznawalności oraz działania przekładające się na wysoki poziom </w:t>
      </w:r>
      <w:proofErr w:type="spellStart"/>
      <w:r w:rsidR="00D75EEC" w:rsidRPr="00D75EEC">
        <w:rPr>
          <w:rFonts w:ascii="Arial" w:hAnsi="Arial" w:cs="Arial"/>
          <w:i/>
          <w:iCs/>
          <w:lang w:val="pl-PL"/>
        </w:rPr>
        <w:t>odwiedzalności</w:t>
      </w:r>
      <w:proofErr w:type="spellEnd"/>
      <w:r w:rsidR="00D75EEC" w:rsidRPr="00D75EEC">
        <w:rPr>
          <w:rFonts w:ascii="Arial" w:hAnsi="Arial" w:cs="Arial"/>
          <w:i/>
          <w:iCs/>
          <w:lang w:val="pl-PL"/>
        </w:rPr>
        <w:t>. Równie istotne są właściwie skalkulowane i transparentnie zarządzane koszty wspólne, które mają bezpośredni wpływ zarówno na atrakcyjność obiektu dla najemców, jak i na stabilność jego funkcjonowania. To właśnie połączenie kontroli kosztów, sprawnej operacji i jakości codziennego doświadczenia użytkownika pozwala na uzyskanie stabilności przychodów i długoterminowej wartości nieruchomości</w:t>
      </w:r>
      <w:r w:rsidR="00D75EEC">
        <w:rPr>
          <w:rFonts w:ascii="Arial" w:hAnsi="Arial" w:cs="Arial"/>
          <w:i/>
          <w:iCs/>
          <w:lang w:val="pl-PL"/>
        </w:rPr>
        <w:t xml:space="preserve"> </w:t>
      </w:r>
      <w:r w:rsidRPr="00D738F3">
        <w:rPr>
          <w:rFonts w:ascii="Arial" w:hAnsi="Arial" w:cs="Arial"/>
          <w:lang w:val="pl-PL"/>
        </w:rPr>
        <w:t xml:space="preserve">– podkreśla </w:t>
      </w:r>
      <w:r w:rsidRPr="00D738F3">
        <w:rPr>
          <w:rFonts w:ascii="Arial" w:hAnsi="Arial" w:cs="Arial"/>
          <w:b/>
          <w:bCs/>
          <w:lang w:val="pl-PL"/>
        </w:rPr>
        <w:t xml:space="preserve">Agnieszka </w:t>
      </w:r>
      <w:proofErr w:type="spellStart"/>
      <w:r w:rsidRPr="00D738F3">
        <w:rPr>
          <w:rFonts w:ascii="Arial" w:hAnsi="Arial" w:cs="Arial"/>
          <w:b/>
          <w:bCs/>
          <w:lang w:val="pl-PL"/>
        </w:rPr>
        <w:t>Bobela</w:t>
      </w:r>
      <w:proofErr w:type="spellEnd"/>
      <w:r w:rsidRPr="00D738F3">
        <w:rPr>
          <w:rFonts w:ascii="Arial" w:hAnsi="Arial" w:cs="Arial"/>
          <w:b/>
          <w:bCs/>
          <w:lang w:val="pl-PL"/>
        </w:rPr>
        <w:t xml:space="preserve">-Musiał, </w:t>
      </w:r>
      <w:proofErr w:type="spellStart"/>
      <w:r w:rsidRPr="00367FE7">
        <w:rPr>
          <w:rFonts w:ascii="Arial" w:hAnsi="Arial" w:cs="Arial"/>
          <w:b/>
          <w:bCs/>
          <w:lang w:val="pl-PL"/>
        </w:rPr>
        <w:t>Head</w:t>
      </w:r>
      <w:proofErr w:type="spellEnd"/>
      <w:r w:rsidRPr="00367FE7">
        <w:rPr>
          <w:rFonts w:ascii="Arial" w:hAnsi="Arial" w:cs="Arial"/>
          <w:b/>
          <w:bCs/>
          <w:lang w:val="pl-PL"/>
        </w:rPr>
        <w:t xml:space="preserve"> of Retail, </w:t>
      </w:r>
      <w:proofErr w:type="spellStart"/>
      <w:r w:rsidRPr="00367FE7">
        <w:rPr>
          <w:rFonts w:ascii="Arial" w:hAnsi="Arial" w:cs="Arial"/>
          <w:b/>
          <w:bCs/>
          <w:lang w:val="pl-PL"/>
        </w:rPr>
        <w:t>Asset</w:t>
      </w:r>
      <w:proofErr w:type="spellEnd"/>
      <w:r w:rsidRPr="00367FE7">
        <w:rPr>
          <w:rFonts w:ascii="Arial" w:hAnsi="Arial" w:cs="Arial"/>
          <w:b/>
          <w:bCs/>
          <w:lang w:val="pl-PL"/>
        </w:rPr>
        <w:t xml:space="preserve"> Services, </w:t>
      </w:r>
      <w:r w:rsidRPr="00D738F3">
        <w:rPr>
          <w:rFonts w:ascii="Arial" w:hAnsi="Arial" w:cs="Arial"/>
          <w:b/>
          <w:bCs/>
          <w:lang w:val="pl-PL"/>
        </w:rPr>
        <w:t>Cushman &amp; Wakefield.</w:t>
      </w:r>
    </w:p>
    <w:p w14:paraId="123008C1" w14:textId="45DD823F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0CF7F984" w14:textId="77777777" w:rsidR="0072155A" w:rsidRPr="00AC68CC" w:rsidRDefault="0072155A" w:rsidP="00D60FE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1E478EB1" w14:textId="05B3024F" w:rsidR="00DD1E0C" w:rsidRPr="008F550C" w:rsidRDefault="0035169F" w:rsidP="00F270D6">
      <w:pPr>
        <w:spacing w:line="240" w:lineRule="auto"/>
        <w:jc w:val="center"/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</w:pP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  <w:r w:rsidR="008F7059"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KONIEC</w:t>
      </w: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</w:p>
    <w:p w14:paraId="4BC21898" w14:textId="133FB2D8" w:rsidR="00267AD2" w:rsidRPr="008F550C" w:rsidRDefault="00267AD2" w:rsidP="00D60FED">
      <w:pPr>
        <w:spacing w:after="0" w:line="240" w:lineRule="auto"/>
        <w:jc w:val="both"/>
        <w:rPr>
          <w:rFonts w:ascii="Arial" w:hAnsi="Arial" w:cs="Arial"/>
          <w:bCs/>
          <w:color w:val="000000" w:themeColor="text1" w:themeShade="BF"/>
          <w:sz w:val="20"/>
          <w:szCs w:val="20"/>
          <w:lang w:val="pl-PL"/>
        </w:rPr>
      </w:pPr>
    </w:p>
    <w:p w14:paraId="7E6209AD" w14:textId="77777777" w:rsidR="00E61826" w:rsidRPr="008F550C" w:rsidRDefault="00E61826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</w:p>
    <w:p w14:paraId="5716EE10" w14:textId="38A856B3" w:rsidR="00B4789E" w:rsidRPr="008F550C" w:rsidRDefault="008F7059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  <w:r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>O</w:t>
      </w:r>
      <w:r w:rsidR="00B4789E"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 xml:space="preserve"> Cushman &amp; Wakefield  </w:t>
      </w:r>
    </w:p>
    <w:p w14:paraId="7318E1E3" w14:textId="77777777" w:rsidR="009207AD" w:rsidRPr="008F550C" w:rsidRDefault="009207AD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highlight w:val="yellow"/>
          <w:lang w:val="pl-PL"/>
        </w:rPr>
      </w:pPr>
    </w:p>
    <w:p w14:paraId="2B63D07E" w14:textId="5AC4C646" w:rsidR="00374DB0" w:rsidRPr="008F550C" w:rsidRDefault="00367FE7" w:rsidP="00367FE7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 w:rsidRPr="00367FE7">
        <w:rPr>
          <w:rFonts w:ascii="Arial" w:hAnsi="Arial" w:cs="Arial"/>
          <w:sz w:val="18"/>
          <w:szCs w:val="18"/>
          <w:lang w:val="pl-PL"/>
        </w:rPr>
        <w:t>Cushman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RPr="00367FE7">
        <w:rPr>
          <w:rFonts w:ascii="Arial" w:hAnsi="Arial" w:cs="Arial"/>
          <w:i/>
          <w:iCs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 Cushman &amp; Wakefield otrzymuje wiele wyróżnień oraz nagród w konkursach branżowych i biznesowych.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Dodatkowe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informacje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na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stronie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> </w:t>
      </w:r>
      <w:hyperlink r:id="rId11" w:tgtFrame="_blank" w:history="1">
        <w:r w:rsidRPr="00367FE7">
          <w:rPr>
            <w:rStyle w:val="Hipercze"/>
            <w:rFonts w:ascii="Arial" w:hAnsi="Arial" w:cs="Arial"/>
            <w:sz w:val="18"/>
            <w:szCs w:val="18"/>
            <w:lang w:val="en-GB"/>
          </w:rPr>
          <w:t>www.cushmanwakefield.com</w:t>
        </w:r>
      </w:hyperlink>
      <w:r w:rsidRPr="00367FE7">
        <w:rPr>
          <w:rFonts w:ascii="Arial" w:hAnsi="Arial" w:cs="Arial"/>
          <w:sz w:val="18"/>
          <w:szCs w:val="18"/>
          <w:lang w:val="en-GB"/>
        </w:rPr>
        <w:t>.</w:t>
      </w:r>
    </w:p>
    <w:sectPr w:rsidR="00374DB0" w:rsidRPr="008F55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B27E" w14:textId="77777777" w:rsidR="002D4302" w:rsidRDefault="002D4302" w:rsidP="00B4789E">
      <w:pPr>
        <w:spacing w:after="0" w:line="240" w:lineRule="auto"/>
      </w:pPr>
      <w:r>
        <w:separator/>
      </w:r>
    </w:p>
  </w:endnote>
  <w:endnote w:type="continuationSeparator" w:id="0">
    <w:p w14:paraId="23183D9C" w14:textId="77777777" w:rsidR="002D4302" w:rsidRDefault="002D4302" w:rsidP="00B4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ABDD" w14:textId="77777777" w:rsidR="00AC68CC" w:rsidRDefault="00AC68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A4108" w:rsidRPr="00D90F1F" w14:paraId="4D959A4E" w14:textId="77777777" w:rsidTr="005A4108">
      <w:trPr>
        <w:trHeight w:val="630"/>
      </w:trPr>
      <w:tc>
        <w:tcPr>
          <w:tcW w:w="9072" w:type="dxa"/>
          <w:vAlign w:val="bottom"/>
        </w:tcPr>
        <w:p w14:paraId="5AA04813" w14:textId="77777777" w:rsidR="005A4108" w:rsidRPr="00D90F1F" w:rsidRDefault="005A4108" w:rsidP="005A4108">
          <w:pPr>
            <w:pStyle w:val="Nagwek2"/>
            <w:spacing w:after="0"/>
            <w:rPr>
              <w:rFonts w:ascii="Arial" w:hAnsi="Arial" w:cs="Arial"/>
              <w:color w:val="000000" w:themeColor="text1"/>
              <w:szCs w:val="18"/>
            </w:rPr>
          </w:pPr>
          <w:r w:rsidRPr="00D90F1F">
            <w:rPr>
              <w:rFonts w:ascii="Arial" w:hAnsi="Arial" w:cs="Arial"/>
              <w:color w:val="000000" w:themeColor="text1"/>
              <w:szCs w:val="18"/>
            </w:rPr>
            <w:t>Dodatkowe informacje:</w:t>
          </w:r>
        </w:p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90"/>
            <w:gridCol w:w="283"/>
            <w:gridCol w:w="4389"/>
          </w:tblGrid>
          <w:tr w:rsidR="00D90F1F" w:rsidRPr="00D90F1F" w14:paraId="6A6C1766" w14:textId="77777777" w:rsidTr="00D90F1F">
            <w:tc>
              <w:tcPr>
                <w:tcW w:w="4390" w:type="dxa"/>
              </w:tcPr>
              <w:p w14:paraId="3F32F890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 xml:space="preserve">Karolina </w:t>
                </w:r>
                <w:proofErr w:type="spellStart"/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Samczyńska</w:t>
                </w:r>
                <w:proofErr w:type="spellEnd"/>
              </w:p>
              <w:p w14:paraId="0CB5CBE3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Cushman &amp; Wakefield</w:t>
                </w:r>
              </w:p>
              <w:p w14:paraId="18CD5389" w14:textId="5E2DC5E0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Karolina.samczynska@cushwake.com</w:t>
                </w:r>
              </w:p>
            </w:tc>
            <w:tc>
              <w:tcPr>
                <w:tcW w:w="283" w:type="dxa"/>
              </w:tcPr>
              <w:p w14:paraId="180A64F2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</w:p>
            </w:tc>
            <w:tc>
              <w:tcPr>
                <w:tcW w:w="4389" w:type="dxa"/>
              </w:tcPr>
              <w:p w14:paraId="1CB4134C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Magdalena Znyk-Ossowska</w:t>
                </w:r>
              </w:p>
              <w:p w14:paraId="03EB2711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Linkleaders</w:t>
                </w:r>
              </w:p>
              <w:p w14:paraId="20B6FF72" w14:textId="12F1D66A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hyperlink r:id="rId1" w:history="1">
                  <w:r w:rsidRPr="00E62AA2">
                    <w:rPr>
                      <w:rStyle w:val="Hipercze"/>
                      <w:rFonts w:ascii="Arial" w:hAnsi="Arial" w:cs="Arial"/>
                      <w:sz w:val="18"/>
                      <w:szCs w:val="18"/>
                      <w:lang w:val="pl-PL" w:eastAsia="en-GB"/>
                    </w:rPr>
                    <w:t>Magdalena.ossowska@linkleaders.pl</w:t>
                  </w:r>
                </w:hyperlink>
              </w:p>
              <w:p w14:paraId="61CF57E7" w14:textId="2AD6C4D9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+48 502 556 846</w:t>
                </w:r>
              </w:p>
            </w:tc>
          </w:tr>
        </w:tbl>
        <w:p w14:paraId="7B6ADC62" w14:textId="347A28EF" w:rsidR="005A4108" w:rsidRPr="00D90F1F" w:rsidRDefault="005A4108" w:rsidP="005A4108">
          <w:pPr>
            <w:rPr>
              <w:rFonts w:ascii="Arial" w:hAnsi="Arial" w:cs="Arial"/>
              <w:sz w:val="18"/>
              <w:szCs w:val="18"/>
              <w:lang w:eastAsia="en-GB"/>
            </w:rPr>
          </w:pPr>
        </w:p>
      </w:tc>
    </w:tr>
  </w:tbl>
  <w:p w14:paraId="7E1394D2" w14:textId="77777777" w:rsidR="00423291" w:rsidRDefault="004232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EB34" w14:textId="77777777" w:rsidR="00AC68CC" w:rsidRDefault="00AC6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DB65" w14:textId="77777777" w:rsidR="002D4302" w:rsidRDefault="002D4302" w:rsidP="00B4789E">
      <w:pPr>
        <w:spacing w:after="0" w:line="240" w:lineRule="auto"/>
      </w:pPr>
      <w:r>
        <w:separator/>
      </w:r>
    </w:p>
  </w:footnote>
  <w:footnote w:type="continuationSeparator" w:id="0">
    <w:p w14:paraId="338A84C3" w14:textId="77777777" w:rsidR="002D4302" w:rsidRDefault="002D4302" w:rsidP="00B4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C9E8" w14:textId="77777777" w:rsidR="00AC68CC" w:rsidRDefault="00AC68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0E69" w14:textId="1F0B0BF5" w:rsidR="00B4789E" w:rsidRDefault="00B4789E">
    <w:pPr>
      <w:pStyle w:val="Nagwek"/>
    </w:pPr>
    <w:r>
      <w:rPr>
        <w:noProof/>
        <w:lang w:eastAsia="en-GB"/>
      </w:rPr>
      <w:drawing>
        <wp:inline distT="0" distB="0" distL="0" distR="0" wp14:anchorId="05D67C11" wp14:editId="10624549">
          <wp:extent cx="2303780" cy="484505"/>
          <wp:effectExtent l="0" t="0" r="1270" b="0"/>
          <wp:docPr id="1" name="Picture 1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F015D" w14:textId="77777777" w:rsidR="003E3B94" w:rsidRDefault="003E3B94">
    <w:pPr>
      <w:pStyle w:val="Nagwek"/>
    </w:pPr>
  </w:p>
  <w:p w14:paraId="2ED2DE24" w14:textId="77777777" w:rsidR="003E3B94" w:rsidRDefault="003E3B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A674" w14:textId="77777777" w:rsidR="00AC68CC" w:rsidRDefault="00AC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7C1"/>
    <w:multiLevelType w:val="hybridMultilevel"/>
    <w:tmpl w:val="F7EC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4C13"/>
    <w:multiLevelType w:val="hybridMultilevel"/>
    <w:tmpl w:val="6720D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F7D35"/>
    <w:multiLevelType w:val="multilevel"/>
    <w:tmpl w:val="72F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E5759"/>
    <w:multiLevelType w:val="hybridMultilevel"/>
    <w:tmpl w:val="B9DC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B3687"/>
    <w:multiLevelType w:val="hybridMultilevel"/>
    <w:tmpl w:val="52EA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529"/>
    <w:multiLevelType w:val="hybridMultilevel"/>
    <w:tmpl w:val="C3B81DFC"/>
    <w:lvl w:ilvl="0" w:tplc="6EAE8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8915">
    <w:abstractNumId w:val="5"/>
  </w:num>
  <w:num w:numId="2" w16cid:durableId="828979821">
    <w:abstractNumId w:val="3"/>
  </w:num>
  <w:num w:numId="3" w16cid:durableId="341512513">
    <w:abstractNumId w:val="3"/>
  </w:num>
  <w:num w:numId="4" w16cid:durableId="2109498111">
    <w:abstractNumId w:val="0"/>
  </w:num>
  <w:num w:numId="5" w16cid:durableId="1684627706">
    <w:abstractNumId w:val="1"/>
  </w:num>
  <w:num w:numId="6" w16cid:durableId="1095906722">
    <w:abstractNumId w:val="4"/>
  </w:num>
  <w:num w:numId="7" w16cid:durableId="155007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B0"/>
    <w:rsid w:val="00000E9F"/>
    <w:rsid w:val="000067D7"/>
    <w:rsid w:val="00006833"/>
    <w:rsid w:val="00006DAA"/>
    <w:rsid w:val="000108E6"/>
    <w:rsid w:val="000112BB"/>
    <w:rsid w:val="00011B30"/>
    <w:rsid w:val="000132C1"/>
    <w:rsid w:val="000133D7"/>
    <w:rsid w:val="000149B7"/>
    <w:rsid w:val="00016906"/>
    <w:rsid w:val="0002024E"/>
    <w:rsid w:val="00023BAB"/>
    <w:rsid w:val="00027407"/>
    <w:rsid w:val="000306E9"/>
    <w:rsid w:val="0003213E"/>
    <w:rsid w:val="000325A9"/>
    <w:rsid w:val="00034CD1"/>
    <w:rsid w:val="0003575D"/>
    <w:rsid w:val="000404E1"/>
    <w:rsid w:val="000405CD"/>
    <w:rsid w:val="00040853"/>
    <w:rsid w:val="00054C66"/>
    <w:rsid w:val="00070062"/>
    <w:rsid w:val="00071142"/>
    <w:rsid w:val="00077CD8"/>
    <w:rsid w:val="00085206"/>
    <w:rsid w:val="00093715"/>
    <w:rsid w:val="00094B65"/>
    <w:rsid w:val="00096511"/>
    <w:rsid w:val="000A173D"/>
    <w:rsid w:val="000B0652"/>
    <w:rsid w:val="000B2DCA"/>
    <w:rsid w:val="000B437C"/>
    <w:rsid w:val="000B49B9"/>
    <w:rsid w:val="000B6A55"/>
    <w:rsid w:val="000C4963"/>
    <w:rsid w:val="000D39A7"/>
    <w:rsid w:val="000D4F32"/>
    <w:rsid w:val="000D5C1C"/>
    <w:rsid w:val="000D6E96"/>
    <w:rsid w:val="000D7599"/>
    <w:rsid w:val="000E2D90"/>
    <w:rsid w:val="000E3621"/>
    <w:rsid w:val="000E7313"/>
    <w:rsid w:val="000E76DC"/>
    <w:rsid w:val="000F0C81"/>
    <w:rsid w:val="000F2C92"/>
    <w:rsid w:val="000F5826"/>
    <w:rsid w:val="000F5D59"/>
    <w:rsid w:val="000F661E"/>
    <w:rsid w:val="000F6980"/>
    <w:rsid w:val="000F6D1C"/>
    <w:rsid w:val="000F7AC5"/>
    <w:rsid w:val="000F7F0D"/>
    <w:rsid w:val="001002DD"/>
    <w:rsid w:val="001042E2"/>
    <w:rsid w:val="00114D59"/>
    <w:rsid w:val="0011789D"/>
    <w:rsid w:val="00122F7F"/>
    <w:rsid w:val="00124F11"/>
    <w:rsid w:val="001269A2"/>
    <w:rsid w:val="00126DBD"/>
    <w:rsid w:val="00130E33"/>
    <w:rsid w:val="00136558"/>
    <w:rsid w:val="00136AAF"/>
    <w:rsid w:val="001423BC"/>
    <w:rsid w:val="00145D6A"/>
    <w:rsid w:val="00153C6B"/>
    <w:rsid w:val="001550B3"/>
    <w:rsid w:val="001608DD"/>
    <w:rsid w:val="001625A5"/>
    <w:rsid w:val="001648EF"/>
    <w:rsid w:val="00165957"/>
    <w:rsid w:val="001731B1"/>
    <w:rsid w:val="00173741"/>
    <w:rsid w:val="00180B34"/>
    <w:rsid w:val="001845B0"/>
    <w:rsid w:val="001A14BE"/>
    <w:rsid w:val="001B14F7"/>
    <w:rsid w:val="001B1A57"/>
    <w:rsid w:val="001B7E7F"/>
    <w:rsid w:val="001C4652"/>
    <w:rsid w:val="001D055C"/>
    <w:rsid w:val="001D3354"/>
    <w:rsid w:val="001D4385"/>
    <w:rsid w:val="001D4B86"/>
    <w:rsid w:val="001D5D43"/>
    <w:rsid w:val="001D7E4A"/>
    <w:rsid w:val="001E4332"/>
    <w:rsid w:val="001E4AC4"/>
    <w:rsid w:val="001E4C15"/>
    <w:rsid w:val="001F0591"/>
    <w:rsid w:val="001F3D2C"/>
    <w:rsid w:val="001F4DE5"/>
    <w:rsid w:val="001F70C5"/>
    <w:rsid w:val="001F7D1A"/>
    <w:rsid w:val="00200EC1"/>
    <w:rsid w:val="0020248A"/>
    <w:rsid w:val="00204FC5"/>
    <w:rsid w:val="002050DA"/>
    <w:rsid w:val="00205E80"/>
    <w:rsid w:val="00210FDB"/>
    <w:rsid w:val="00212060"/>
    <w:rsid w:val="00213339"/>
    <w:rsid w:val="002158ED"/>
    <w:rsid w:val="00216986"/>
    <w:rsid w:val="002254D9"/>
    <w:rsid w:val="002352BD"/>
    <w:rsid w:val="00241AE9"/>
    <w:rsid w:val="00241C09"/>
    <w:rsid w:val="0024422A"/>
    <w:rsid w:val="00246BE5"/>
    <w:rsid w:val="00255A14"/>
    <w:rsid w:val="00257250"/>
    <w:rsid w:val="00262854"/>
    <w:rsid w:val="002634B2"/>
    <w:rsid w:val="00265676"/>
    <w:rsid w:val="00267AD2"/>
    <w:rsid w:val="00270237"/>
    <w:rsid w:val="002717E1"/>
    <w:rsid w:val="00271C58"/>
    <w:rsid w:val="002727FD"/>
    <w:rsid w:val="002742DC"/>
    <w:rsid w:val="00276A3C"/>
    <w:rsid w:val="00280665"/>
    <w:rsid w:val="00281D3B"/>
    <w:rsid w:val="00285D78"/>
    <w:rsid w:val="0028721A"/>
    <w:rsid w:val="002876CB"/>
    <w:rsid w:val="00290FA7"/>
    <w:rsid w:val="00292575"/>
    <w:rsid w:val="00292E43"/>
    <w:rsid w:val="002A45BD"/>
    <w:rsid w:val="002A5FF2"/>
    <w:rsid w:val="002A670E"/>
    <w:rsid w:val="002B3C16"/>
    <w:rsid w:val="002B4818"/>
    <w:rsid w:val="002C0015"/>
    <w:rsid w:val="002C3421"/>
    <w:rsid w:val="002D4302"/>
    <w:rsid w:val="002D4B8D"/>
    <w:rsid w:val="002D53E2"/>
    <w:rsid w:val="002E23AC"/>
    <w:rsid w:val="002E7BB8"/>
    <w:rsid w:val="002F1273"/>
    <w:rsid w:val="002F48DE"/>
    <w:rsid w:val="002F6042"/>
    <w:rsid w:val="00300089"/>
    <w:rsid w:val="00300A21"/>
    <w:rsid w:val="003014BA"/>
    <w:rsid w:val="003023A9"/>
    <w:rsid w:val="003024DB"/>
    <w:rsid w:val="00303DE2"/>
    <w:rsid w:val="00303F8E"/>
    <w:rsid w:val="00310A1E"/>
    <w:rsid w:val="00312A8D"/>
    <w:rsid w:val="00313D4E"/>
    <w:rsid w:val="003141E8"/>
    <w:rsid w:val="00321D37"/>
    <w:rsid w:val="00330E14"/>
    <w:rsid w:val="00332821"/>
    <w:rsid w:val="00332ECC"/>
    <w:rsid w:val="00334009"/>
    <w:rsid w:val="003367FA"/>
    <w:rsid w:val="00337761"/>
    <w:rsid w:val="0033791A"/>
    <w:rsid w:val="003446B4"/>
    <w:rsid w:val="0035169F"/>
    <w:rsid w:val="00354D36"/>
    <w:rsid w:val="00362944"/>
    <w:rsid w:val="00366956"/>
    <w:rsid w:val="0036720A"/>
    <w:rsid w:val="00367FE7"/>
    <w:rsid w:val="00374C28"/>
    <w:rsid w:val="00374DB0"/>
    <w:rsid w:val="00377AB0"/>
    <w:rsid w:val="00384E14"/>
    <w:rsid w:val="003856C7"/>
    <w:rsid w:val="00390809"/>
    <w:rsid w:val="00390AFE"/>
    <w:rsid w:val="003929C3"/>
    <w:rsid w:val="00393F8B"/>
    <w:rsid w:val="0039713F"/>
    <w:rsid w:val="003A085C"/>
    <w:rsid w:val="003A17A9"/>
    <w:rsid w:val="003A2C36"/>
    <w:rsid w:val="003B00AA"/>
    <w:rsid w:val="003B4D9C"/>
    <w:rsid w:val="003C14F6"/>
    <w:rsid w:val="003C2770"/>
    <w:rsid w:val="003C3C47"/>
    <w:rsid w:val="003C4087"/>
    <w:rsid w:val="003C5B82"/>
    <w:rsid w:val="003C6725"/>
    <w:rsid w:val="003D1EF7"/>
    <w:rsid w:val="003D4913"/>
    <w:rsid w:val="003D5075"/>
    <w:rsid w:val="003E0ED3"/>
    <w:rsid w:val="003E256A"/>
    <w:rsid w:val="003E2C2E"/>
    <w:rsid w:val="003E37D1"/>
    <w:rsid w:val="003E3B94"/>
    <w:rsid w:val="003E5BC2"/>
    <w:rsid w:val="003F6CD3"/>
    <w:rsid w:val="0040762B"/>
    <w:rsid w:val="00414985"/>
    <w:rsid w:val="00415B7E"/>
    <w:rsid w:val="00415EB3"/>
    <w:rsid w:val="00423291"/>
    <w:rsid w:val="00425507"/>
    <w:rsid w:val="004256CF"/>
    <w:rsid w:val="00441762"/>
    <w:rsid w:val="0044205C"/>
    <w:rsid w:val="0044524E"/>
    <w:rsid w:val="004506C7"/>
    <w:rsid w:val="00451BD3"/>
    <w:rsid w:val="00462439"/>
    <w:rsid w:val="00462BBA"/>
    <w:rsid w:val="004729B9"/>
    <w:rsid w:val="0047309C"/>
    <w:rsid w:val="00473ED2"/>
    <w:rsid w:val="00474A69"/>
    <w:rsid w:val="00485C6A"/>
    <w:rsid w:val="00487CAD"/>
    <w:rsid w:val="00494446"/>
    <w:rsid w:val="004A02E6"/>
    <w:rsid w:val="004A1613"/>
    <w:rsid w:val="004A49B5"/>
    <w:rsid w:val="004B048F"/>
    <w:rsid w:val="004B2173"/>
    <w:rsid w:val="004B4D12"/>
    <w:rsid w:val="004C4AE2"/>
    <w:rsid w:val="004C5545"/>
    <w:rsid w:val="004D03D8"/>
    <w:rsid w:val="004D16FF"/>
    <w:rsid w:val="004D2E9B"/>
    <w:rsid w:val="004E0D3A"/>
    <w:rsid w:val="004E3A72"/>
    <w:rsid w:val="004E488F"/>
    <w:rsid w:val="004F1406"/>
    <w:rsid w:val="004F5215"/>
    <w:rsid w:val="004F53F4"/>
    <w:rsid w:val="004F5AD1"/>
    <w:rsid w:val="004F7CA3"/>
    <w:rsid w:val="00502DAF"/>
    <w:rsid w:val="00522466"/>
    <w:rsid w:val="00523A74"/>
    <w:rsid w:val="00524B12"/>
    <w:rsid w:val="005255E7"/>
    <w:rsid w:val="0052651A"/>
    <w:rsid w:val="00545F5B"/>
    <w:rsid w:val="00546218"/>
    <w:rsid w:val="00554323"/>
    <w:rsid w:val="00557552"/>
    <w:rsid w:val="005575EF"/>
    <w:rsid w:val="00562AF3"/>
    <w:rsid w:val="0056340D"/>
    <w:rsid w:val="005676B0"/>
    <w:rsid w:val="00573390"/>
    <w:rsid w:val="0057425D"/>
    <w:rsid w:val="00576801"/>
    <w:rsid w:val="00577CC7"/>
    <w:rsid w:val="00581165"/>
    <w:rsid w:val="005A0E20"/>
    <w:rsid w:val="005A136E"/>
    <w:rsid w:val="005A4108"/>
    <w:rsid w:val="005A45D7"/>
    <w:rsid w:val="005A7B2D"/>
    <w:rsid w:val="005C1B9C"/>
    <w:rsid w:val="005C3DBB"/>
    <w:rsid w:val="005D412D"/>
    <w:rsid w:val="005E0DAB"/>
    <w:rsid w:val="005E1525"/>
    <w:rsid w:val="005E6D8A"/>
    <w:rsid w:val="005F0528"/>
    <w:rsid w:val="005F14CE"/>
    <w:rsid w:val="005F32FC"/>
    <w:rsid w:val="0060200D"/>
    <w:rsid w:val="00602CAD"/>
    <w:rsid w:val="0060382F"/>
    <w:rsid w:val="0060604A"/>
    <w:rsid w:val="006110F4"/>
    <w:rsid w:val="00611431"/>
    <w:rsid w:val="006178AB"/>
    <w:rsid w:val="00620733"/>
    <w:rsid w:val="00624E99"/>
    <w:rsid w:val="0063430D"/>
    <w:rsid w:val="0063470E"/>
    <w:rsid w:val="00643193"/>
    <w:rsid w:val="00650DEE"/>
    <w:rsid w:val="00651278"/>
    <w:rsid w:val="00653D5E"/>
    <w:rsid w:val="006546FF"/>
    <w:rsid w:val="00663BEA"/>
    <w:rsid w:val="00676D56"/>
    <w:rsid w:val="00680DE3"/>
    <w:rsid w:val="00682F5C"/>
    <w:rsid w:val="006868A8"/>
    <w:rsid w:val="0068799A"/>
    <w:rsid w:val="00690332"/>
    <w:rsid w:val="00692A56"/>
    <w:rsid w:val="00692BCA"/>
    <w:rsid w:val="006962E8"/>
    <w:rsid w:val="00697405"/>
    <w:rsid w:val="006A4AE7"/>
    <w:rsid w:val="006A6355"/>
    <w:rsid w:val="006A7548"/>
    <w:rsid w:val="006B1BF7"/>
    <w:rsid w:val="006B2B8F"/>
    <w:rsid w:val="006B2D2C"/>
    <w:rsid w:val="006B2DB1"/>
    <w:rsid w:val="006B2E15"/>
    <w:rsid w:val="006B2F4C"/>
    <w:rsid w:val="006B3754"/>
    <w:rsid w:val="006B47A8"/>
    <w:rsid w:val="006B5459"/>
    <w:rsid w:val="006C0081"/>
    <w:rsid w:val="006C119E"/>
    <w:rsid w:val="006C25FA"/>
    <w:rsid w:val="006C2AD7"/>
    <w:rsid w:val="006C453A"/>
    <w:rsid w:val="006D5DF9"/>
    <w:rsid w:val="006D786B"/>
    <w:rsid w:val="006E0D32"/>
    <w:rsid w:val="006E3794"/>
    <w:rsid w:val="006E4220"/>
    <w:rsid w:val="006E4C41"/>
    <w:rsid w:val="006F0A28"/>
    <w:rsid w:val="006F6967"/>
    <w:rsid w:val="00702974"/>
    <w:rsid w:val="0070680F"/>
    <w:rsid w:val="00707C05"/>
    <w:rsid w:val="00713C0A"/>
    <w:rsid w:val="00715308"/>
    <w:rsid w:val="0072155A"/>
    <w:rsid w:val="0072337E"/>
    <w:rsid w:val="00725C6C"/>
    <w:rsid w:val="007414B1"/>
    <w:rsid w:val="007417F6"/>
    <w:rsid w:val="00743612"/>
    <w:rsid w:val="00747169"/>
    <w:rsid w:val="00752535"/>
    <w:rsid w:val="00752763"/>
    <w:rsid w:val="00756DCC"/>
    <w:rsid w:val="00757440"/>
    <w:rsid w:val="00763FCD"/>
    <w:rsid w:val="00765C5A"/>
    <w:rsid w:val="00775342"/>
    <w:rsid w:val="00775C21"/>
    <w:rsid w:val="00780863"/>
    <w:rsid w:val="0078123E"/>
    <w:rsid w:val="0078330D"/>
    <w:rsid w:val="00790779"/>
    <w:rsid w:val="00793D47"/>
    <w:rsid w:val="007A12EC"/>
    <w:rsid w:val="007A28A1"/>
    <w:rsid w:val="007A416D"/>
    <w:rsid w:val="007A6472"/>
    <w:rsid w:val="007B4269"/>
    <w:rsid w:val="007B5E28"/>
    <w:rsid w:val="007B611D"/>
    <w:rsid w:val="007B7258"/>
    <w:rsid w:val="007B7EBD"/>
    <w:rsid w:val="007C0F1A"/>
    <w:rsid w:val="007C33AA"/>
    <w:rsid w:val="007C5BAD"/>
    <w:rsid w:val="007C7051"/>
    <w:rsid w:val="007D6E93"/>
    <w:rsid w:val="007E73A0"/>
    <w:rsid w:val="007F05C3"/>
    <w:rsid w:val="007F4213"/>
    <w:rsid w:val="007F4542"/>
    <w:rsid w:val="007F595B"/>
    <w:rsid w:val="00801675"/>
    <w:rsid w:val="0080245F"/>
    <w:rsid w:val="00802AF0"/>
    <w:rsid w:val="00805E3A"/>
    <w:rsid w:val="00806884"/>
    <w:rsid w:val="008069A7"/>
    <w:rsid w:val="00807467"/>
    <w:rsid w:val="008102B4"/>
    <w:rsid w:val="00815717"/>
    <w:rsid w:val="0082015F"/>
    <w:rsid w:val="008236F3"/>
    <w:rsid w:val="00824AF5"/>
    <w:rsid w:val="00825D06"/>
    <w:rsid w:val="00826FA4"/>
    <w:rsid w:val="0082710A"/>
    <w:rsid w:val="008329B6"/>
    <w:rsid w:val="00834025"/>
    <w:rsid w:val="00837997"/>
    <w:rsid w:val="00843DEF"/>
    <w:rsid w:val="0084444A"/>
    <w:rsid w:val="00844B35"/>
    <w:rsid w:val="008552F1"/>
    <w:rsid w:val="008624B6"/>
    <w:rsid w:val="00863F30"/>
    <w:rsid w:val="00866D4A"/>
    <w:rsid w:val="00870A33"/>
    <w:rsid w:val="008777C1"/>
    <w:rsid w:val="00884E37"/>
    <w:rsid w:val="0089723B"/>
    <w:rsid w:val="008A2E45"/>
    <w:rsid w:val="008A3DF5"/>
    <w:rsid w:val="008A6BFC"/>
    <w:rsid w:val="008B094B"/>
    <w:rsid w:val="008B18EA"/>
    <w:rsid w:val="008B4582"/>
    <w:rsid w:val="008B4F2F"/>
    <w:rsid w:val="008C149B"/>
    <w:rsid w:val="008C1CC7"/>
    <w:rsid w:val="008C2D44"/>
    <w:rsid w:val="008C55D8"/>
    <w:rsid w:val="008C6DCF"/>
    <w:rsid w:val="008C74DA"/>
    <w:rsid w:val="008D5758"/>
    <w:rsid w:val="008E0C82"/>
    <w:rsid w:val="008E0D1B"/>
    <w:rsid w:val="008E1A5B"/>
    <w:rsid w:val="008E1C2E"/>
    <w:rsid w:val="008F550C"/>
    <w:rsid w:val="008F7059"/>
    <w:rsid w:val="0090636D"/>
    <w:rsid w:val="009072A0"/>
    <w:rsid w:val="00907C30"/>
    <w:rsid w:val="00914559"/>
    <w:rsid w:val="00920688"/>
    <w:rsid w:val="009207AD"/>
    <w:rsid w:val="009210F8"/>
    <w:rsid w:val="00921E2A"/>
    <w:rsid w:val="009231EA"/>
    <w:rsid w:val="009252CD"/>
    <w:rsid w:val="009274DC"/>
    <w:rsid w:val="00933F4B"/>
    <w:rsid w:val="009351EE"/>
    <w:rsid w:val="009420D1"/>
    <w:rsid w:val="009462E2"/>
    <w:rsid w:val="009516B4"/>
    <w:rsid w:val="00951B5E"/>
    <w:rsid w:val="00951E7F"/>
    <w:rsid w:val="00952321"/>
    <w:rsid w:val="00954A76"/>
    <w:rsid w:val="00955639"/>
    <w:rsid w:val="009629ED"/>
    <w:rsid w:val="00964F69"/>
    <w:rsid w:val="00966B13"/>
    <w:rsid w:val="00974927"/>
    <w:rsid w:val="009808B8"/>
    <w:rsid w:val="00984BF9"/>
    <w:rsid w:val="00986A19"/>
    <w:rsid w:val="00986B64"/>
    <w:rsid w:val="009924DF"/>
    <w:rsid w:val="009949E8"/>
    <w:rsid w:val="00994C68"/>
    <w:rsid w:val="00994CB3"/>
    <w:rsid w:val="009A2A96"/>
    <w:rsid w:val="009A4501"/>
    <w:rsid w:val="009B080C"/>
    <w:rsid w:val="009B08AC"/>
    <w:rsid w:val="009B301B"/>
    <w:rsid w:val="009B5091"/>
    <w:rsid w:val="009C0E50"/>
    <w:rsid w:val="009C614D"/>
    <w:rsid w:val="009C69F3"/>
    <w:rsid w:val="009D5AF7"/>
    <w:rsid w:val="009D75D2"/>
    <w:rsid w:val="009D7CC8"/>
    <w:rsid w:val="009E05E2"/>
    <w:rsid w:val="009E6D1E"/>
    <w:rsid w:val="009F0BE9"/>
    <w:rsid w:val="009F32D6"/>
    <w:rsid w:val="009F399D"/>
    <w:rsid w:val="009F72E8"/>
    <w:rsid w:val="00A04DCE"/>
    <w:rsid w:val="00A07146"/>
    <w:rsid w:val="00A12F9F"/>
    <w:rsid w:val="00A163DB"/>
    <w:rsid w:val="00A1709B"/>
    <w:rsid w:val="00A238F3"/>
    <w:rsid w:val="00A30DB9"/>
    <w:rsid w:val="00A35E58"/>
    <w:rsid w:val="00A46943"/>
    <w:rsid w:val="00A55E27"/>
    <w:rsid w:val="00A62E01"/>
    <w:rsid w:val="00A64AFD"/>
    <w:rsid w:val="00A70B06"/>
    <w:rsid w:val="00A71FD4"/>
    <w:rsid w:val="00A72D03"/>
    <w:rsid w:val="00A81FD9"/>
    <w:rsid w:val="00A82125"/>
    <w:rsid w:val="00A8383A"/>
    <w:rsid w:val="00A87F4A"/>
    <w:rsid w:val="00A93F19"/>
    <w:rsid w:val="00A949B2"/>
    <w:rsid w:val="00A96D6F"/>
    <w:rsid w:val="00A9787C"/>
    <w:rsid w:val="00AA7253"/>
    <w:rsid w:val="00AB0662"/>
    <w:rsid w:val="00AB1978"/>
    <w:rsid w:val="00AB6D1C"/>
    <w:rsid w:val="00AC33BC"/>
    <w:rsid w:val="00AC68CC"/>
    <w:rsid w:val="00AD610C"/>
    <w:rsid w:val="00AE21DF"/>
    <w:rsid w:val="00AE5A5A"/>
    <w:rsid w:val="00AF71D1"/>
    <w:rsid w:val="00AF7F06"/>
    <w:rsid w:val="00B016D9"/>
    <w:rsid w:val="00B017D7"/>
    <w:rsid w:val="00B0291B"/>
    <w:rsid w:val="00B144B1"/>
    <w:rsid w:val="00B2126E"/>
    <w:rsid w:val="00B27F0A"/>
    <w:rsid w:val="00B35A1E"/>
    <w:rsid w:val="00B37038"/>
    <w:rsid w:val="00B375C4"/>
    <w:rsid w:val="00B43643"/>
    <w:rsid w:val="00B4789E"/>
    <w:rsid w:val="00B5039A"/>
    <w:rsid w:val="00B50769"/>
    <w:rsid w:val="00B51F97"/>
    <w:rsid w:val="00B527C2"/>
    <w:rsid w:val="00B6279C"/>
    <w:rsid w:val="00B64416"/>
    <w:rsid w:val="00B73358"/>
    <w:rsid w:val="00B82311"/>
    <w:rsid w:val="00BA0F99"/>
    <w:rsid w:val="00BA1E66"/>
    <w:rsid w:val="00BA2600"/>
    <w:rsid w:val="00BA2603"/>
    <w:rsid w:val="00BB035E"/>
    <w:rsid w:val="00BB2E42"/>
    <w:rsid w:val="00BC0ADB"/>
    <w:rsid w:val="00BC637B"/>
    <w:rsid w:val="00BC6501"/>
    <w:rsid w:val="00BC76A0"/>
    <w:rsid w:val="00BD2408"/>
    <w:rsid w:val="00BD780A"/>
    <w:rsid w:val="00BE3E76"/>
    <w:rsid w:val="00BE4682"/>
    <w:rsid w:val="00BE4753"/>
    <w:rsid w:val="00BE784A"/>
    <w:rsid w:val="00BF03CB"/>
    <w:rsid w:val="00C00442"/>
    <w:rsid w:val="00C04930"/>
    <w:rsid w:val="00C04C32"/>
    <w:rsid w:val="00C07DC3"/>
    <w:rsid w:val="00C10397"/>
    <w:rsid w:val="00C13FBD"/>
    <w:rsid w:val="00C159DE"/>
    <w:rsid w:val="00C22951"/>
    <w:rsid w:val="00C26D0C"/>
    <w:rsid w:val="00C306C9"/>
    <w:rsid w:val="00C30942"/>
    <w:rsid w:val="00C31D78"/>
    <w:rsid w:val="00C33694"/>
    <w:rsid w:val="00C376D7"/>
    <w:rsid w:val="00C37A80"/>
    <w:rsid w:val="00C45545"/>
    <w:rsid w:val="00C63A46"/>
    <w:rsid w:val="00C67886"/>
    <w:rsid w:val="00C77ABF"/>
    <w:rsid w:val="00C80D69"/>
    <w:rsid w:val="00C83B52"/>
    <w:rsid w:val="00C85F6C"/>
    <w:rsid w:val="00C905B1"/>
    <w:rsid w:val="00C92E49"/>
    <w:rsid w:val="00C949AA"/>
    <w:rsid w:val="00CA3151"/>
    <w:rsid w:val="00CA42A6"/>
    <w:rsid w:val="00CA6EC8"/>
    <w:rsid w:val="00CC10C2"/>
    <w:rsid w:val="00CC30C0"/>
    <w:rsid w:val="00CC39F6"/>
    <w:rsid w:val="00CC57EC"/>
    <w:rsid w:val="00CC5A86"/>
    <w:rsid w:val="00CC67F0"/>
    <w:rsid w:val="00CD1BC8"/>
    <w:rsid w:val="00CD3CF9"/>
    <w:rsid w:val="00CE780F"/>
    <w:rsid w:val="00D00D00"/>
    <w:rsid w:val="00D01FCE"/>
    <w:rsid w:val="00D075EF"/>
    <w:rsid w:val="00D07A7C"/>
    <w:rsid w:val="00D13C84"/>
    <w:rsid w:val="00D21FB5"/>
    <w:rsid w:val="00D337DA"/>
    <w:rsid w:val="00D42E58"/>
    <w:rsid w:val="00D43209"/>
    <w:rsid w:val="00D44D66"/>
    <w:rsid w:val="00D47D77"/>
    <w:rsid w:val="00D5467A"/>
    <w:rsid w:val="00D568B1"/>
    <w:rsid w:val="00D57881"/>
    <w:rsid w:val="00D60FED"/>
    <w:rsid w:val="00D6473E"/>
    <w:rsid w:val="00D66E75"/>
    <w:rsid w:val="00D75EEC"/>
    <w:rsid w:val="00D76AE1"/>
    <w:rsid w:val="00D76E08"/>
    <w:rsid w:val="00D83C1D"/>
    <w:rsid w:val="00D87098"/>
    <w:rsid w:val="00D90F1F"/>
    <w:rsid w:val="00D915E0"/>
    <w:rsid w:val="00D91AA3"/>
    <w:rsid w:val="00D923E1"/>
    <w:rsid w:val="00D92F22"/>
    <w:rsid w:val="00D93943"/>
    <w:rsid w:val="00D93E7B"/>
    <w:rsid w:val="00DA158E"/>
    <w:rsid w:val="00DA3C73"/>
    <w:rsid w:val="00DA3D98"/>
    <w:rsid w:val="00DA579D"/>
    <w:rsid w:val="00DA600D"/>
    <w:rsid w:val="00DB70A1"/>
    <w:rsid w:val="00DB7336"/>
    <w:rsid w:val="00DD1E0C"/>
    <w:rsid w:val="00DD25B1"/>
    <w:rsid w:val="00DD3BBC"/>
    <w:rsid w:val="00DD6D94"/>
    <w:rsid w:val="00DE1230"/>
    <w:rsid w:val="00DE641E"/>
    <w:rsid w:val="00DF075D"/>
    <w:rsid w:val="00DF09D0"/>
    <w:rsid w:val="00DF674E"/>
    <w:rsid w:val="00E10442"/>
    <w:rsid w:val="00E122D4"/>
    <w:rsid w:val="00E14F35"/>
    <w:rsid w:val="00E22061"/>
    <w:rsid w:val="00E2400D"/>
    <w:rsid w:val="00E24D77"/>
    <w:rsid w:val="00E3252F"/>
    <w:rsid w:val="00E32E2E"/>
    <w:rsid w:val="00E35B38"/>
    <w:rsid w:val="00E60BA3"/>
    <w:rsid w:val="00E61826"/>
    <w:rsid w:val="00E62AA2"/>
    <w:rsid w:val="00E63226"/>
    <w:rsid w:val="00E65938"/>
    <w:rsid w:val="00E73A25"/>
    <w:rsid w:val="00E749C3"/>
    <w:rsid w:val="00E81522"/>
    <w:rsid w:val="00E83D7A"/>
    <w:rsid w:val="00E84847"/>
    <w:rsid w:val="00E939E3"/>
    <w:rsid w:val="00EA2B76"/>
    <w:rsid w:val="00EA39D6"/>
    <w:rsid w:val="00EA4C99"/>
    <w:rsid w:val="00EB0A4A"/>
    <w:rsid w:val="00EC0877"/>
    <w:rsid w:val="00EC19A4"/>
    <w:rsid w:val="00EC7C8A"/>
    <w:rsid w:val="00ED0B39"/>
    <w:rsid w:val="00ED0FA9"/>
    <w:rsid w:val="00ED1CD0"/>
    <w:rsid w:val="00ED2DEF"/>
    <w:rsid w:val="00ED3455"/>
    <w:rsid w:val="00ED7332"/>
    <w:rsid w:val="00EE655F"/>
    <w:rsid w:val="00EF0B98"/>
    <w:rsid w:val="00EF1350"/>
    <w:rsid w:val="00EF3487"/>
    <w:rsid w:val="00EF41B2"/>
    <w:rsid w:val="00F17293"/>
    <w:rsid w:val="00F17D59"/>
    <w:rsid w:val="00F20EFC"/>
    <w:rsid w:val="00F212D3"/>
    <w:rsid w:val="00F213CF"/>
    <w:rsid w:val="00F22417"/>
    <w:rsid w:val="00F26664"/>
    <w:rsid w:val="00F270D6"/>
    <w:rsid w:val="00F27B09"/>
    <w:rsid w:val="00F31839"/>
    <w:rsid w:val="00F36DD7"/>
    <w:rsid w:val="00F506E4"/>
    <w:rsid w:val="00F509E5"/>
    <w:rsid w:val="00F57B90"/>
    <w:rsid w:val="00F66226"/>
    <w:rsid w:val="00F71EB7"/>
    <w:rsid w:val="00F71F02"/>
    <w:rsid w:val="00F73A60"/>
    <w:rsid w:val="00F74386"/>
    <w:rsid w:val="00F81D18"/>
    <w:rsid w:val="00F846E1"/>
    <w:rsid w:val="00F92C6A"/>
    <w:rsid w:val="00F941D5"/>
    <w:rsid w:val="00FA4539"/>
    <w:rsid w:val="00FA4B0A"/>
    <w:rsid w:val="00FA51E0"/>
    <w:rsid w:val="00FB0713"/>
    <w:rsid w:val="00FB35AD"/>
    <w:rsid w:val="00FB44B6"/>
    <w:rsid w:val="00FC0CC7"/>
    <w:rsid w:val="00FC2E97"/>
    <w:rsid w:val="00FC4F8C"/>
    <w:rsid w:val="00FC5EAE"/>
    <w:rsid w:val="00FD184D"/>
    <w:rsid w:val="00FD2EF0"/>
    <w:rsid w:val="00FD3666"/>
    <w:rsid w:val="00FE15AB"/>
    <w:rsid w:val="00FE33FB"/>
    <w:rsid w:val="00FE3FFE"/>
    <w:rsid w:val="00FE4034"/>
    <w:rsid w:val="00FE67AF"/>
    <w:rsid w:val="00FF0CE7"/>
    <w:rsid w:val="00FF2027"/>
    <w:rsid w:val="00FF2499"/>
    <w:rsid w:val="00FF2FF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AC560"/>
  <w15:chartTrackingRefBased/>
  <w15:docId w15:val="{C2BAF26A-6A2E-4ED6-94E7-3BFEE6D8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397"/>
  </w:style>
  <w:style w:type="paragraph" w:styleId="Nagwek1">
    <w:name w:val="heading 1"/>
    <w:basedOn w:val="Normalny"/>
    <w:next w:val="Normalny"/>
    <w:link w:val="Nagwek1Znak"/>
    <w:uiPriority w:val="9"/>
    <w:qFormat/>
    <w:rsid w:val="0001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23291"/>
    <w:pPr>
      <w:keepNext/>
      <w:keepLines/>
      <w:spacing w:after="100" w:line="240" w:lineRule="atLeast"/>
      <w:outlineLvl w:val="1"/>
    </w:pPr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DB0"/>
    <w:pPr>
      <w:spacing w:after="0" w:line="240" w:lineRule="auto"/>
      <w:ind w:left="720"/>
    </w:pPr>
    <w:rPr>
      <w:rFonts w:ascii="Calibri" w:hAnsi="Calibri" w:cs="Calibri"/>
      <w:kern w:val="0"/>
      <w:lang w:eastAsia="en-GB"/>
    </w:rPr>
  </w:style>
  <w:style w:type="character" w:styleId="Wzmianka">
    <w:name w:val="Mention"/>
    <w:basedOn w:val="Domylnaczcionkaakapitu"/>
    <w:uiPriority w:val="99"/>
    <w:unhideWhenUsed/>
    <w:rsid w:val="00374DB0"/>
    <w:rPr>
      <w:color w:val="2B579A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374D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D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89E"/>
  </w:style>
  <w:style w:type="paragraph" w:styleId="Stopka">
    <w:name w:val="footer"/>
    <w:basedOn w:val="Normalny"/>
    <w:link w:val="StopkaZnak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89E"/>
  </w:style>
  <w:style w:type="character" w:styleId="Odwoaniedokomentarza">
    <w:name w:val="annotation reference"/>
    <w:basedOn w:val="Domylnaczcionkaakapitu"/>
    <w:uiPriority w:val="99"/>
    <w:semiHidden/>
    <w:unhideWhenUsed/>
    <w:rsid w:val="00FF7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2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49A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423291"/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customStyle="1" w:styleId="ContactName">
    <w:name w:val="ContactName"/>
    <w:basedOn w:val="Nagwek3"/>
    <w:qFormat/>
    <w:rsid w:val="00423291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kern w:val="0"/>
      <w:sz w:val="18"/>
      <w:lang w:eastAsia="en-GB"/>
      <w14:ligatures w14:val="none"/>
    </w:rPr>
  </w:style>
  <w:style w:type="paragraph" w:customStyle="1" w:styleId="ContactDetail">
    <w:name w:val="ContactDetail"/>
    <w:basedOn w:val="Normalny"/>
    <w:rsid w:val="00423291"/>
    <w:pPr>
      <w:spacing w:after="0" w:line="216" w:lineRule="atLeast"/>
    </w:pPr>
    <w:rPr>
      <w:rFonts w:ascii="Calibri" w:eastAsia="Times New Roman" w:hAnsi="Calibri" w:cs="Times New Roman"/>
      <w:color w:val="000000"/>
      <w:kern w:val="0"/>
      <w:sz w:val="18"/>
      <w:szCs w:val="24"/>
      <w:lang w:eastAsia="en-GB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B6D1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252C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5A410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5A4108"/>
  </w:style>
  <w:style w:type="character" w:customStyle="1" w:styleId="Hyperlink0">
    <w:name w:val="Hyperlink.0"/>
    <w:basedOn w:val="Brak"/>
    <w:rsid w:val="005A4108"/>
  </w:style>
  <w:style w:type="table" w:customStyle="1" w:styleId="PlainTable41">
    <w:name w:val="Plain Table 41"/>
    <w:basedOn w:val="Standardowy"/>
    <w:uiPriority w:val="44"/>
    <w:rsid w:val="005A410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gdalena.ossowska@linkleaders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ade Gothic Next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AE47156A07B49B3FAB89A82E8ED17" ma:contentTypeVersion="10" ma:contentTypeDescription="Utwórz nowy dokument." ma:contentTypeScope="" ma:versionID="2423509a949768f061f700496aa09d26">
  <xsd:schema xmlns:xsd="http://www.w3.org/2001/XMLSchema" xmlns:xs="http://www.w3.org/2001/XMLSchema" xmlns:p="http://schemas.microsoft.com/office/2006/metadata/properties" xmlns:ns3="88788cb7-3400-495d-9dab-0b1a27576ac8" targetNamespace="http://schemas.microsoft.com/office/2006/metadata/properties" ma:root="true" ma:fieldsID="ee870c2df24c576bdf793e093fae55be" ns3:_="">
    <xsd:import namespace="88788cb7-3400-495d-9dab-0b1a27576a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8cb7-3400-495d-9dab-0b1a27576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88cb7-3400-495d-9dab-0b1a27576ac8" xsi:nil="true"/>
  </documentManagement>
</p:properties>
</file>

<file path=customXml/itemProps1.xml><?xml version="1.0" encoding="utf-8"?>
<ds:datastoreItem xmlns:ds="http://schemas.openxmlformats.org/officeDocument/2006/customXml" ds:itemID="{DF51E0F4-8E2E-4E83-AF2D-43EA00FCC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D9C51-50B5-465A-92DF-DE552A48BA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747D6-6863-4C32-A558-6BF68C9FA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88cb7-3400-495d-9dab-0b1a27576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E74DE-1D20-43AC-BA7E-44ED0E35ECB6}">
  <ds:schemaRefs>
    <ds:schemaRef ds:uri="http://schemas.microsoft.com/office/2006/metadata/properties"/>
    <ds:schemaRef ds:uri="http://schemas.microsoft.com/office/infopath/2007/PartnerControls"/>
    <ds:schemaRef ds:uri="88788cb7-3400-495d-9dab-0b1a27576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917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Hamlyn</dc:creator>
  <cp:keywords/>
  <dc:description/>
  <cp:lastModifiedBy>Link Leaders</cp:lastModifiedBy>
  <cp:revision>2</cp:revision>
  <dcterms:created xsi:type="dcterms:W3CDTF">2026-05-25T09:22:00Z</dcterms:created>
  <dcterms:modified xsi:type="dcterms:W3CDTF">2026-05-25T09:22:00Z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86f961-1d3e-4cfe-b1e9-19b9bcf12554_Enabled">
    <vt:lpwstr>true</vt:lpwstr>
  </property>
  <property fmtid="{D5CDD505-2E9C-101B-9397-08002B2CF9AE}" pid="3" name="MSIP_Label_b086f961-1d3e-4cfe-b1e9-19b9bcf12554_SetDate">
    <vt:lpwstr>2023-10-11T16:45:55Z</vt:lpwstr>
  </property>
  <property fmtid="{D5CDD505-2E9C-101B-9397-08002B2CF9AE}" pid="4" name="MSIP_Label_b086f961-1d3e-4cfe-b1e9-19b9bcf12554_Method">
    <vt:lpwstr>Standard</vt:lpwstr>
  </property>
  <property fmtid="{D5CDD505-2E9C-101B-9397-08002B2CF9AE}" pid="5" name="MSIP_Label_b086f961-1d3e-4cfe-b1e9-19b9bcf12554_Name">
    <vt:lpwstr>Private</vt:lpwstr>
  </property>
  <property fmtid="{D5CDD505-2E9C-101B-9397-08002B2CF9AE}" pid="6" name="MSIP_Label_b086f961-1d3e-4cfe-b1e9-19b9bcf12554_SiteId">
    <vt:lpwstr>6facebd9-e318-4ea6-a98b-e892ee55070f</vt:lpwstr>
  </property>
  <property fmtid="{D5CDD505-2E9C-101B-9397-08002B2CF9AE}" pid="7" name="MSIP_Label_b086f961-1d3e-4cfe-b1e9-19b9bcf12554_ActionId">
    <vt:lpwstr>6a415784-dea8-4208-8d57-b4e4b2533bc0</vt:lpwstr>
  </property>
  <property fmtid="{D5CDD505-2E9C-101B-9397-08002B2CF9AE}" pid="8" name="MSIP_Label_b086f961-1d3e-4cfe-b1e9-19b9bcf12554_ContentBits">
    <vt:lpwstr>0</vt:lpwstr>
  </property>
  <property fmtid="{D5CDD505-2E9C-101B-9397-08002B2CF9AE}" pid="9" name="GrammarlyDocumentId">
    <vt:lpwstr>31ba37b54f0d3e143930a0619014cf697fbff079f683d56c7add9a11d8f1cbec</vt:lpwstr>
  </property>
  <property fmtid="{D5CDD505-2E9C-101B-9397-08002B2CF9AE}" pid="10" name="ContentTypeId">
    <vt:lpwstr>0x01010046FAE47156A07B49B3FAB89A82E8ED17</vt:lpwstr>
  </property>
  <property fmtid="{D5CDD505-2E9C-101B-9397-08002B2CF9AE}" pid="11" name="MediaServiceImageTags">
    <vt:lpwstr/>
  </property>
</Properties>
</file>