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21BC1" w14:textId="77777777" w:rsidR="00CE4E47" w:rsidRDefault="00CE4E47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14:paraId="08621BC2" w14:textId="77777777" w:rsidR="00CE4E47" w:rsidRDefault="006F3C22">
      <w:pPr>
        <w:jc w:val="right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Warszawa, 25 maja 2026 r.</w:t>
      </w:r>
    </w:p>
    <w:p w14:paraId="08621BC3" w14:textId="77777777" w:rsidR="00CE4E47" w:rsidRDefault="00CE4E47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14:paraId="08621BC4" w14:textId="77777777" w:rsidR="00CE4E47" w:rsidRDefault="006F3C22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Future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Mind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>: AI przyspiesza w polskich firmach</w:t>
      </w:r>
    </w:p>
    <w:p w14:paraId="08621BC5" w14:textId="77777777" w:rsidR="00CE4E47" w:rsidRDefault="006F3C22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W najnowszej edycji raportu firmy doradczo-technologicznej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“Jak AI zmienia codzienność Polaków? Sztuczna inteligencja w pracy i życiu osobistym w 2026 roku”, widać wyraźnie, że liderami codziennego wykorzystania AI pozostają duże firmy oraz branże takie jak IT i telekomunikacja (76 proc.). Jednak do czołówki coraz mocniej dołączają także szkolenia (59 proc.), nauka, badania i technologia (58 proc.) oraz nieruchomości (60 proc.). Jednocześnie transport, logistyka i administracja publiczna nadal należą do obszarów, w których adopcja AI jest wyraźnie słabs</w:t>
      </w:r>
      <w:r>
        <w:rPr>
          <w:rFonts w:ascii="Arial" w:eastAsia="Arial" w:hAnsi="Arial" w:cs="Arial"/>
          <w:b/>
          <w:bCs/>
          <w:sz w:val="22"/>
          <w:szCs w:val="22"/>
        </w:rPr>
        <w:t>za, co pokazuje, że rynek coraz mocniej różnicuje się nie tylko pod względem skali firm, ale też dojrzałości poszczególnych sektorów.</w:t>
      </w:r>
    </w:p>
    <w:p w14:paraId="08621BC6" w14:textId="77777777" w:rsidR="00CE4E47" w:rsidRDefault="006F3C22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Od eksperymentu do codziennego narzędzia pracy</w:t>
      </w:r>
    </w:p>
    <w:p w14:paraId="08621BC7" w14:textId="77777777" w:rsidR="00CE4E47" w:rsidRDefault="006F3C22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 ubiegłorocznej edycji badania różnice między firmami miały przede wszystkim charakter funkcjonalny. W średnich organizacjach niemal połowa pracowników (47 proc.) wskazywała, że AI pomaga im poszerzać wiedzę i zmieniać sposób myślenia, a w dużych firmach dokładnie taki sam odsetek (47 proc.) mówił przede wszystkim o poprawie jakości pracy. Dodatkowo co trzeci pracownik dużej organizacji traktował ją jako narzędzie zwiększające produktywność. Już wtedy było więc widać, że potrzeby wobec AI układają się inac</w:t>
      </w:r>
      <w:r>
        <w:rPr>
          <w:rFonts w:ascii="Arial" w:eastAsia="Arial" w:hAnsi="Arial" w:cs="Arial"/>
          <w:sz w:val="22"/>
          <w:szCs w:val="22"/>
        </w:rPr>
        <w:t>zej zależnie od skali organizacji. W mniejszych firmach technologia częściej była łączona z rozwojem kompetencji i wzmacnianiem konkurencyjności (23 proc.), a w mikroprzedsiębiorstwach – z odciążeniem w codziennych obowiązkach (24 proc.).</w:t>
      </w:r>
    </w:p>
    <w:p w14:paraId="08621BC8" w14:textId="77777777" w:rsidR="00CE4E47" w:rsidRDefault="006F3C22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Wyniki tegorocznego raportu pokazują jednak wyraźne przesunięcie. Dziś nie chodzi już tylko o to, do czego firmy chciałyby używać AI, ale o to, które z nich rzeczywiście włączają ją do codziennej pracy. W przekrojach według wielkości organizacji najwyższy poziom codziennego wykorzystania AI notują duże firmy - codzienne użycie deklaruje w nich 18 proc. pracowników, podczas gdy </w:t>
      </w:r>
      <w:proofErr w:type="spellStart"/>
      <w:r>
        <w:rPr>
          <w:rFonts w:ascii="Arial" w:eastAsia="Arial" w:hAnsi="Arial" w:cs="Arial"/>
          <w:sz w:val="22"/>
          <w:szCs w:val="22"/>
        </w:rPr>
        <w:t>mikrofirmy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 mniejsze podmioty wyraźnie częściej pozostają na etapie ostrożniejszego wdrażania tej technologii. Wśród tych najmniejszych, jedna czwarta pracowników wciąż nigdy nie korzystała z generatywnej sztucznej inteligencji. To sugeruje, że największe organizacje i branże oparte na wiedzy szybciej przechodzą od deklarowanego potencjału tej technologii do jej rzeczywistego, powtarzalnego użycia w pracy.</w:t>
      </w:r>
    </w:p>
    <w:p w14:paraId="08621BC9" w14:textId="77777777" w:rsidR="00CE4E47" w:rsidRDefault="006F3C22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Z danych w tegorocznym raporcie wyraźnie wynika, że polskie firmy weszły w nowy etap adopcji AI. Nie chodzi już o samo testowanie narzędzi, ale o to, czy organizacja potrafi przełożyć ich użycie na jakość pracy, produktywność i przewagę operacyjną. Najszybciej robią to dziś duże firmy oraz branże oparte na wiedzy, ale prawdziwym wyzwaniem pozostaje przejście od indywidualnych eksperymentów pracowników do spójnych, bezpiecznych i skalowalnych sposobów wykorzystania AI w całej organizacji </w:t>
      </w:r>
      <w:r>
        <w:rPr>
          <w:rFonts w:ascii="Arial" w:eastAsia="Arial" w:hAnsi="Arial" w:cs="Arial"/>
          <w:sz w:val="22"/>
          <w:szCs w:val="22"/>
        </w:rPr>
        <w:t xml:space="preserve">– mówi </w:t>
      </w:r>
      <w:r>
        <w:rPr>
          <w:rFonts w:ascii="Arial" w:eastAsia="Arial" w:hAnsi="Arial" w:cs="Arial"/>
          <w:b/>
          <w:bCs/>
          <w:sz w:val="22"/>
          <w:szCs w:val="22"/>
        </w:rPr>
        <w:t>Emil Waszkows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ki, VP of Commercial Development w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, 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Solita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company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08621BCA" w14:textId="77777777" w:rsidR="00CE4E47" w:rsidRDefault="006F3C22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Branże AI – nowa mapa liderów</w:t>
      </w:r>
    </w:p>
    <w:p w14:paraId="08621BCB" w14:textId="77777777" w:rsidR="00CE4E47" w:rsidRDefault="006F3C22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Najciekawsza zmiana względem poprzedniej edycji polega na tym, że rynek nie tyle wyłonił nowych liderów, ile rozszerzył ich grono. Rok temu najmocniej wyróżniały się sektory, w których praca opiera się na wiedzy, treściach i analizie, takie jak usługi prawne i konsultingowe, IT i telekomunikacja, marketing i komunikacja czy bankowość, finanse i księgowość. Tegoroczne dane pokazują, że ten wzorzec się utrzymuje, ale AI coraz wyraźniej przenika również do sektorów, które wcześniej pozostawały poza głównym nur</w:t>
      </w:r>
      <w:r>
        <w:rPr>
          <w:rFonts w:ascii="Arial" w:eastAsia="Arial" w:hAnsi="Arial" w:cs="Arial"/>
          <w:sz w:val="22"/>
          <w:szCs w:val="22"/>
        </w:rPr>
        <w:t xml:space="preserve">tem rozmowy o </w:t>
      </w:r>
      <w:proofErr w:type="spellStart"/>
      <w:r>
        <w:rPr>
          <w:rFonts w:ascii="Arial" w:eastAsia="Arial" w:hAnsi="Arial" w:cs="Arial"/>
          <w:sz w:val="22"/>
          <w:szCs w:val="22"/>
        </w:rPr>
        <w:t>GenAI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08621BCC" w14:textId="77777777" w:rsidR="00CE4E47" w:rsidRDefault="006F3C22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Niezmiennym liderem pozostaje IT i telekomunikacja, gdzie regularne korzystanie z AI deklaruje już 76 proc. badanych, a codzienne użycie wzrosło rok do roku o 22 pkt proc. – do poziomu 40 proc. Bardzo mocno przyspieszyły także szkolenia, gdzie regularne wykorzystanie AI sięga 59 proc., nauka, badania i technologia z wynikiem 58 proc. oraz nieruchomości, gdzie regularne użycie doszło do 60 proc. To pokazuje, że AI przestaje być domeną wyłącznie najbardziej oczywistych sektorów technologicznych i coraz szybci</w:t>
      </w:r>
      <w:r>
        <w:rPr>
          <w:rFonts w:ascii="Arial" w:eastAsia="Arial" w:hAnsi="Arial" w:cs="Arial"/>
          <w:sz w:val="22"/>
          <w:szCs w:val="22"/>
        </w:rPr>
        <w:t>ej staje się standardem pracy wszędzie tam, gdzie kluczowe są analiza, synteza informacji i tworzenie treści.</w:t>
      </w:r>
    </w:p>
    <w:p w14:paraId="08621BCD" w14:textId="77777777" w:rsidR="00CE4E47" w:rsidRDefault="006F3C22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Szczególnie interesujący jest przypadek budownictwa i infrastruktury, które rok temu należały do branż relatywnie słabiej kojarzonych z wykorzystaniem </w:t>
      </w:r>
      <w:proofErr w:type="spellStart"/>
      <w:r>
        <w:rPr>
          <w:rFonts w:ascii="Arial" w:eastAsia="Arial" w:hAnsi="Arial" w:cs="Arial"/>
          <w:sz w:val="22"/>
          <w:szCs w:val="22"/>
        </w:rPr>
        <w:t>GenAI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a dziś notują 43 proc. regularnego użycia (w tym 23 proc. codziennie). To ważny sygnał, że AI coraz skuteczniej wychodzi poza klasyczne środowisko pracy biurowej i zaczyna wspierać także sektory techniczne i projektowe. </w:t>
      </w:r>
    </w:p>
    <w:p w14:paraId="08621BCE" w14:textId="77777777" w:rsidR="00CE4E47" w:rsidRDefault="006F3C22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Na drugim biegunie pozostają branże, w których AI nadal wdrażana jest wolniej. W transporcie i logistyce 46 proc. badanych nie korzysta z AI w pracy, a administracja publiczna jest jedynym obszarem, w którym odnotowano spadek codziennego użycia rok do roku – z 12 proc. do 5 proc. </w:t>
      </w:r>
    </w:p>
    <w:p w14:paraId="08621BCF" w14:textId="77777777" w:rsidR="00CE4E47" w:rsidRDefault="006F3C22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Produktywność rośnie szybciej niż firmowe zasady</w:t>
      </w:r>
    </w:p>
    <w:p w14:paraId="08621BD0" w14:textId="77777777" w:rsidR="00CE4E47" w:rsidRDefault="006F3C22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Jednym z najważniejszych wniosków z tegorocznego badania jest to, że wzrost wykorzystania AI w pracy nie idzie w parze z równie szybkim dojrzewaniem zasad jej stosowania. W 2024 roku 44 proc. pracowników deklarowało, że zawsze stosuje się do wytycznych pracodawcy dotyczących AI. Rok później ten odsetek spadł do 37 proc., a jednocześnie wzrosła grupa osób, które przestrzegają ich jedynie czasami – z 20 proc. do 26 proc. Oznacza to, że wraz z upowszechnieniem się AI zasady nie stały się bardziej zakorzenione </w:t>
      </w:r>
      <w:r>
        <w:rPr>
          <w:rFonts w:ascii="Arial" w:eastAsia="Arial" w:hAnsi="Arial" w:cs="Arial"/>
          <w:sz w:val="22"/>
          <w:szCs w:val="22"/>
        </w:rPr>
        <w:t>w codziennej praktyce, lecz częściej są traktowane jako luźny punkt odniesienia niż ścisła instrukcja.</w:t>
      </w:r>
    </w:p>
    <w:p w14:paraId="08621BD1" w14:textId="77777777" w:rsidR="00CE4E47" w:rsidRDefault="006F3C22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szczególnie interesujące w zestawieniu z wynikami poprzedniej edycji. W ubiegłym roku największą świadomość zasad deklarowali pracownicy średnich firm, a w dużych organizacjach relatywnie wysoki był odsetek osób, które nie wiedziały, czy ich firma w ogóle posiada wytyczne. Z kolei w mikroprzedsiębiorstwach częściej niż gdzie indziej deklarowano całkowity brak formalnych zasad. Tegoroczne dane pokazują, że choć samo użycie AI wyraźnie przyspieszyło, luka organizacyjna nie została domknięta – jedna trzecia</w:t>
      </w:r>
      <w:r>
        <w:rPr>
          <w:rFonts w:ascii="Arial" w:eastAsia="Arial" w:hAnsi="Arial" w:cs="Arial"/>
          <w:sz w:val="22"/>
          <w:szCs w:val="22"/>
        </w:rPr>
        <w:t xml:space="preserve"> pracowników nadal przyznaje, że nie wie, czy w ich firmie istnieją jakiekolwiek wytyczne dotyczące AI, albo że takich wytycznych po prostu nie ma.</w:t>
      </w:r>
    </w:p>
    <w:p w14:paraId="08621BD3" w14:textId="4F538C01" w:rsidR="00CE4E47" w:rsidRDefault="006F3C22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 praktyce oznacza to, że część firm pozwoliła, by adopcja AI rosła oddolnie, bez równie szybkiego uporządkowania kwestii bezpieczeństwa, odpowiedzialności i codziennych standardów użycia. </w:t>
      </w:r>
    </w:p>
    <w:p w14:paraId="08621BD4" w14:textId="77777777" w:rsidR="00CE4E47" w:rsidRDefault="006F3C22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Duże firmy przyspieszają, MŚP i sektor publiczny nadal szukają modelu</w:t>
      </w:r>
    </w:p>
    <w:p w14:paraId="08621BD5" w14:textId="77777777" w:rsidR="00CE4E47" w:rsidRDefault="006F3C22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Z perspektywy rynku widać coraz wyraźniej, że największe organizacje odrywają się od reszty. To one najczęściej nadają tempo wdrożeń, szybciej przechodzą od podstawowego użycia do regularnej pracy z AI i częściej traktują tę technologię jako element poprawy efektywności całej organizacji, a nie wyłącznie pojedynczego stanowiska. W mniejszych firmach AI nadal częściej pełni rolę doraźnego wsparcia – pomaga szybciej wykonać konkretne zadanie, ale zazwyczaj nie jest jeszcze wpisana w szerszy model działania. D</w:t>
      </w:r>
      <w:r>
        <w:rPr>
          <w:rFonts w:ascii="Arial" w:eastAsia="Arial" w:hAnsi="Arial" w:cs="Arial"/>
          <w:sz w:val="22"/>
          <w:szCs w:val="22"/>
        </w:rPr>
        <w:t xml:space="preserve">ysproporcje widać także w wykorzystaniu tej technologii w sektorze publicznym względem prywatnego. W administracji, na szczeblu lokalnym, aż 29 proc. pracowników nigdy nie korzystało z </w:t>
      </w:r>
      <w:proofErr w:type="spellStart"/>
      <w:r>
        <w:rPr>
          <w:rFonts w:ascii="Arial" w:eastAsia="Arial" w:hAnsi="Arial" w:cs="Arial"/>
          <w:sz w:val="22"/>
          <w:szCs w:val="22"/>
        </w:rPr>
        <w:t>GenAI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 jest to najwyższy odsetek wśród wszystkich badanych branż. </w:t>
      </w:r>
    </w:p>
    <w:p w14:paraId="08621BD6" w14:textId="77777777" w:rsidR="00CE4E47" w:rsidRDefault="006F3C22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i/>
          <w:iCs/>
          <w:sz w:val="22"/>
          <w:szCs w:val="22"/>
        </w:rPr>
        <w:t>Polski rynek zaczyna dzielić się nie tyle na firmy, które „korzystają” i „nie korzystają” z AI, ile na te, w których strategii znajdzie się wykorzystanie tej technologii jako nowego standardu pracy, oraz te, które pozostają na etapie ostrożnego testowania. Zaryzykuję stwierdzenie, że na sukces w tym obszarze wpłyną nie tyle argumenty związane z bezpieczeństwem, lecz przede wszystkim jakość narzędzi oferowanych przez pracodawców i edukacja jak z nich efektywnie korzystać (w tym edukacja ukierunkowana na unik</w:t>
      </w:r>
      <w:r>
        <w:rPr>
          <w:rFonts w:ascii="Arial" w:eastAsia="Arial" w:hAnsi="Arial" w:cs="Arial"/>
          <w:i/>
          <w:iCs/>
          <w:sz w:val="22"/>
          <w:szCs w:val="22"/>
        </w:rPr>
        <w:t>anie bezrefleksyjnego korzystania z gotowych odpowiedzi AI). Członkowie organizacji powinni być zachęcani do wykorzystywania sztucznej inteligencji jako wsparcia w procesie myślenia, ale z zachowaniem ostrożnej i krytycznej oceny generowanych wyników</w:t>
      </w:r>
      <w:r>
        <w:rPr>
          <w:rFonts w:ascii="Arial" w:eastAsia="Arial" w:hAnsi="Arial" w:cs="Arial"/>
          <w:sz w:val="22"/>
          <w:szCs w:val="22"/>
        </w:rPr>
        <w:t xml:space="preserve"> – podsumowuje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Paweł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Josiek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, COO w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, 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Solita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company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. </w:t>
      </w:r>
    </w:p>
    <w:p w14:paraId="08621BD7" w14:textId="77777777" w:rsidR="00CE4E47" w:rsidRDefault="00CE4E47">
      <w:pPr>
        <w:jc w:val="both"/>
        <w:rPr>
          <w:rFonts w:ascii="Arial" w:eastAsia="Arial" w:hAnsi="Arial" w:cs="Arial"/>
          <w:sz w:val="18"/>
          <w:szCs w:val="18"/>
        </w:rPr>
      </w:pPr>
    </w:p>
    <w:p w14:paraId="08621BD8" w14:textId="77777777" w:rsidR="00CE4E47" w:rsidRDefault="006F3C22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Raport powstał na podstawie badania zrealizowanego na grupie 1047 pracowników biurowych i umysłowych z różnych branż w Polsce, przy użyciu metody wywiadów internetowych wspomaganych komputerowo (CAWI). Badanie zostało przeprowadzone w dniach 27 listopada – 8 grudnia 2025 roku we współpracy z agencją SW </w:t>
      </w:r>
      <w:proofErr w:type="spellStart"/>
      <w:r>
        <w:rPr>
          <w:rFonts w:ascii="Arial" w:eastAsia="Arial" w:hAnsi="Arial" w:cs="Arial"/>
          <w:sz w:val="18"/>
          <w:szCs w:val="18"/>
        </w:rPr>
        <w:t>Research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</w:p>
    <w:p w14:paraId="08621BD9" w14:textId="77777777" w:rsidR="00CE4E47" w:rsidRDefault="006F3C22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Głównym celem projektu było zbadanie, w jaki sposób </w:t>
      </w:r>
      <w:proofErr w:type="spellStart"/>
      <w:r>
        <w:rPr>
          <w:rFonts w:ascii="Arial" w:eastAsia="Arial" w:hAnsi="Arial" w:cs="Arial"/>
          <w:sz w:val="18"/>
          <w:szCs w:val="18"/>
        </w:rPr>
        <w:t>GenAI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zmienia pracę biurową i pracę opartą na wiedzy oraz jak technologia ta wpływa na życie prywatne Polaków. Przedstawione spostrzeżenia odzwierciedlają perspektywy osób aktywnych zawodowo oraz pozwalają zrozumieć, jaki wpływ sztucznej inteligencji na jednostki, społeczeństwo i firmy przewidują respondenci.</w:t>
      </w:r>
    </w:p>
    <w:p w14:paraId="08621BDA" w14:textId="77777777" w:rsidR="00CE4E47" w:rsidRDefault="006F3C22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***</w:t>
      </w:r>
    </w:p>
    <w:p w14:paraId="08621BDB" w14:textId="77777777" w:rsidR="00CE4E47" w:rsidRDefault="006F3C22">
      <w:pPr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18"/>
          <w:szCs w:val="18"/>
        </w:rPr>
        <w:t>Future</w:t>
      </w:r>
      <w:proofErr w:type="spellEnd"/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18"/>
          <w:szCs w:val="18"/>
        </w:rPr>
        <w:t>Mind</w:t>
      </w:r>
      <w:proofErr w:type="spellEnd"/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, część grupy </w:t>
      </w:r>
      <w:proofErr w:type="spellStart"/>
      <w:r>
        <w:rPr>
          <w:rFonts w:ascii="Arial" w:eastAsia="Arial" w:hAnsi="Arial" w:cs="Arial"/>
          <w:b/>
          <w:bCs/>
          <w:color w:val="000000"/>
          <w:sz w:val="18"/>
          <w:szCs w:val="18"/>
        </w:rPr>
        <w:t>Solita</w:t>
      </w:r>
      <w:proofErr w:type="spellEnd"/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,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to nagradzana spółka doradczo-technologiczna, która od 18 lat tworzy innowacyjne produkty cyfrowe. Zespół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Future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Mind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składa się z ponad 250 specjalistów, w tym doradców biznesowych i technologicznych, analityków, programistów oraz projektantów UX i UI. Dzięki eksperckiej wiedzy i doświadczeniu firma wspiera największe marki w podejmowaniu decyzji strategicznych i zarządzaniu zmianą w obszarze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digital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oraz rozwoju i utrzymaniu produktów cyfrowych. W projektach łączy potencjał tech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nologii mobilnych i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backendowych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z silnym zapleczem rozwiązań chmurowych, Data i AI. Współpraca z wyspecjalizowanymi partnerami technologicznymi z całego świata gwarantuje klientom najwyższą jakość w każdym projekcie. Tworzone przez ekspertów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Future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Mind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rozwiązania były wielokrotnie doceniane w konkursach branżowych, a dynamiczny wzrost firmy został wyróżniony przez takie magazyny jak Forbes i Financial Times.</w:t>
      </w:r>
    </w:p>
    <w:p w14:paraId="08621BDC" w14:textId="77777777" w:rsidR="00CE4E47" w:rsidRPr="00145CD1" w:rsidRDefault="006F3C22">
      <w:pPr>
        <w:jc w:val="both"/>
        <w:rPr>
          <w:rFonts w:ascii="Arial" w:eastAsia="Arial" w:hAnsi="Arial" w:cs="Arial"/>
          <w:lang w:val="en-GB"/>
        </w:rPr>
      </w:pPr>
      <w:proofErr w:type="spellStart"/>
      <w:r w:rsidRPr="00145CD1">
        <w:rPr>
          <w:rFonts w:ascii="Arial" w:eastAsia="Arial" w:hAnsi="Arial" w:cs="Arial"/>
          <w:color w:val="000000"/>
          <w:sz w:val="18"/>
          <w:szCs w:val="18"/>
          <w:lang w:val="en-GB"/>
        </w:rPr>
        <w:t>Więcej</w:t>
      </w:r>
      <w:proofErr w:type="spellEnd"/>
      <w:r w:rsidRPr="00145CD1">
        <w:rPr>
          <w:rFonts w:ascii="Arial" w:eastAsia="Arial" w:hAnsi="Arial" w:cs="Arial"/>
          <w:color w:val="000000"/>
          <w:sz w:val="18"/>
          <w:szCs w:val="18"/>
          <w:lang w:val="en-GB"/>
        </w:rPr>
        <w:t xml:space="preserve"> </w:t>
      </w:r>
      <w:proofErr w:type="spellStart"/>
      <w:r w:rsidRPr="00145CD1">
        <w:rPr>
          <w:rFonts w:ascii="Arial" w:eastAsia="Arial" w:hAnsi="Arial" w:cs="Arial"/>
          <w:color w:val="000000"/>
          <w:sz w:val="18"/>
          <w:szCs w:val="18"/>
          <w:lang w:val="en-GB"/>
        </w:rPr>
        <w:t>na</w:t>
      </w:r>
      <w:proofErr w:type="spellEnd"/>
      <w:r w:rsidRPr="00145CD1">
        <w:rPr>
          <w:rFonts w:ascii="Arial" w:eastAsia="Arial" w:hAnsi="Arial" w:cs="Arial"/>
          <w:color w:val="000000"/>
          <w:sz w:val="18"/>
          <w:szCs w:val="18"/>
          <w:lang w:val="en-GB"/>
        </w:rPr>
        <w:t xml:space="preserve"> </w:t>
      </w:r>
      <w:proofErr w:type="spellStart"/>
      <w:r w:rsidRPr="00145CD1">
        <w:rPr>
          <w:rFonts w:ascii="Arial" w:eastAsia="Arial" w:hAnsi="Arial" w:cs="Arial"/>
          <w:color w:val="000000"/>
          <w:sz w:val="18"/>
          <w:szCs w:val="18"/>
          <w:lang w:val="en-GB"/>
        </w:rPr>
        <w:t>stronie</w:t>
      </w:r>
      <w:proofErr w:type="spellEnd"/>
      <w:r w:rsidRPr="00145CD1">
        <w:rPr>
          <w:rFonts w:ascii="Arial" w:eastAsia="Arial" w:hAnsi="Arial" w:cs="Arial"/>
          <w:color w:val="000000"/>
          <w:sz w:val="18"/>
          <w:szCs w:val="18"/>
          <w:lang w:val="en-GB"/>
        </w:rPr>
        <w:t>:</w:t>
      </w:r>
      <w:r w:rsidRPr="00145CD1">
        <w:rPr>
          <w:rFonts w:ascii="Arial" w:eastAsia="Arial" w:hAnsi="Arial" w:cs="Arial"/>
          <w:b/>
          <w:bCs/>
          <w:color w:val="000000"/>
          <w:sz w:val="18"/>
          <w:szCs w:val="18"/>
          <w:lang w:val="en-GB"/>
        </w:rPr>
        <w:t xml:space="preserve"> </w:t>
      </w:r>
      <w:hyperlink r:id="rId9">
        <w:r w:rsidRPr="00145CD1">
          <w:rPr>
            <w:rFonts w:ascii="Arial" w:eastAsia="Arial" w:hAnsi="Arial" w:cs="Arial"/>
            <w:b/>
            <w:bCs/>
            <w:color w:val="0000FF"/>
            <w:sz w:val="18"/>
            <w:szCs w:val="18"/>
            <w:lang w:val="en-GB"/>
          </w:rPr>
          <w:t>Future Mind • Digital Advisory &amp; Delivery</w:t>
        </w:r>
      </w:hyperlink>
    </w:p>
    <w:p w14:paraId="08621BDD" w14:textId="77777777" w:rsidR="00CE4E47" w:rsidRPr="00145CD1" w:rsidRDefault="00CE4E47">
      <w:pPr>
        <w:jc w:val="both"/>
        <w:rPr>
          <w:rFonts w:ascii="Arial" w:eastAsia="Arial" w:hAnsi="Arial" w:cs="Arial"/>
          <w:sz w:val="22"/>
          <w:szCs w:val="22"/>
          <w:lang w:val="en-GB"/>
        </w:rPr>
      </w:pPr>
    </w:p>
    <w:sectPr w:rsidR="00CE4E47" w:rsidRPr="00145CD1">
      <w:head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AE23F" w14:textId="77777777" w:rsidR="006F3C22" w:rsidRDefault="006F3C22">
      <w:pPr>
        <w:spacing w:after="0" w:line="240" w:lineRule="auto"/>
      </w:pPr>
      <w:r>
        <w:separator/>
      </w:r>
    </w:p>
  </w:endnote>
  <w:endnote w:type="continuationSeparator" w:id="0">
    <w:p w14:paraId="117ED599" w14:textId="77777777" w:rsidR="006F3C22" w:rsidRDefault="006F3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9C73076-34CC-4BFA-91F0-27289D2AC355}"/>
    <w:embedItalic r:id="rId2" w:fontKey="{ABEABECD-216A-422C-8B3A-3FF56305D3C5}"/>
  </w:font>
  <w:font w:name="Play">
    <w:charset w:val="00"/>
    <w:family w:val="auto"/>
    <w:pitch w:val="default"/>
    <w:embedRegular r:id="rId3" w:fontKey="{47CF37C2-0682-4F83-8CF6-BEF529CCFE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4" w:fontKey="{8AE77ED2-E39A-4468-A4A5-A5E1F2A1FEC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BF9F8C6-84DB-49B2-ADC0-B40A1EF46A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608553" w14:textId="77777777" w:rsidR="006F3C22" w:rsidRDefault="006F3C22">
      <w:pPr>
        <w:spacing w:after="0" w:line="240" w:lineRule="auto"/>
      </w:pPr>
      <w:r>
        <w:separator/>
      </w:r>
    </w:p>
  </w:footnote>
  <w:footnote w:type="continuationSeparator" w:id="0">
    <w:p w14:paraId="61DC7160" w14:textId="77777777" w:rsidR="006F3C22" w:rsidRDefault="006F3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21BDE" w14:textId="77777777" w:rsidR="00CE4E47" w:rsidRDefault="006F3C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8621BDF" wp14:editId="08621BE0">
          <wp:simplePos x="0" y="0"/>
          <wp:positionH relativeFrom="column">
            <wp:posOffset>2787649</wp:posOffset>
          </wp:positionH>
          <wp:positionV relativeFrom="paragraph">
            <wp:posOffset>-130174</wp:posOffset>
          </wp:positionV>
          <wp:extent cx="2973070" cy="35814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3070" cy="358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E47"/>
    <w:rsid w:val="00131FAC"/>
    <w:rsid w:val="00145CD1"/>
    <w:rsid w:val="00661796"/>
    <w:rsid w:val="006F3C22"/>
    <w:rsid w:val="00CE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21BC1"/>
  <w15:docId w15:val="{9DBCB8C9-9736-433A-8759-4C8070105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futuremind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332A36832A0A41A9315B265E6415BB" ma:contentTypeVersion="17" ma:contentTypeDescription="Create a new document." ma:contentTypeScope="" ma:versionID="8e7c0819a58fc9be8e1a00e3feab3f44">
  <xsd:schema xmlns:xsd="http://www.w3.org/2001/XMLSchema" xmlns:xs="http://www.w3.org/2001/XMLSchema" xmlns:p="http://schemas.microsoft.com/office/2006/metadata/properties" xmlns:ns2="8a011db4-53a2-4d1b-82ae-320485071b7a" xmlns:ns3="deeda2bc-8a38-4937-ba20-8ba6d0b056de" targetNamespace="http://schemas.microsoft.com/office/2006/metadata/properties" ma:root="true" ma:fieldsID="e98d2f8280b82be590e13b4a95c0b90a" ns2:_="" ns3:_="">
    <xsd:import namespace="8a011db4-53a2-4d1b-82ae-320485071b7a"/>
    <xsd:import namespace="deeda2bc-8a38-4937-ba20-8ba6d0b056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11db4-53a2-4d1b-82ae-320485071b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452cbc4-2314-4220-9d01-4e90849f7c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da2bc-8a38-4937-ba20-8ba6d0b056d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011db4-53a2-4d1b-82ae-320485071b7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76A759-59C5-4820-8C04-6BF07951EDEA}"/>
</file>

<file path=customXml/itemProps2.xml><?xml version="1.0" encoding="utf-8"?>
<ds:datastoreItem xmlns:ds="http://schemas.openxmlformats.org/officeDocument/2006/customXml" ds:itemID="{79A06494-1E0C-47C3-B254-61EADD3B6883}">
  <ds:schemaRefs>
    <ds:schemaRef ds:uri="http://schemas.microsoft.com/office/2006/metadata/properties"/>
    <ds:schemaRef ds:uri="http://schemas.microsoft.com/office/infopath/2007/PartnerControls"/>
    <ds:schemaRef ds:uri="8a011db4-53a2-4d1b-82ae-320485071b7a"/>
  </ds:schemaRefs>
</ds:datastoreItem>
</file>

<file path=customXml/itemProps3.xml><?xml version="1.0" encoding="utf-8"?>
<ds:datastoreItem xmlns:ds="http://schemas.openxmlformats.org/officeDocument/2006/customXml" ds:itemID="{25B1C5D8-785D-4239-822F-91FAA3B464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1385</Words>
  <Characters>8312</Characters>
  <Application>Microsoft Office Word</Application>
  <DocSecurity>0</DocSecurity>
  <Lines>69</Lines>
  <Paragraphs>19</Paragraphs>
  <ScaleCrop>false</ScaleCrop>
  <Company/>
  <LinksUpToDate>false</LinksUpToDate>
  <CharactersWithSpaces>9678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Traczyk CCG</cp:lastModifiedBy>
  <cp:revision>3</cp:revision>
  <dcterms:created xsi:type="dcterms:W3CDTF">2026-05-19T10:59:00Z</dcterms:created>
  <dcterms:modified xsi:type="dcterms:W3CDTF">2026-05-19T11:00:00Z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0x01010026332A36832A0A41A9315B265E6415BB</vt:lpwstr>
  </property>
  <property fmtid="{D5CDD505-2E9C-101B-9397-08002B2CF9AE}" pid="3" name="MediaServiceImageTags">
    <vt:lpwstr>MediaServiceImageTags</vt:lpwstr>
  </property>
</Properties>
</file>