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F744" w14:textId="43A8EDB4" w:rsidR="00105BB6" w:rsidRPr="00105BB6" w:rsidRDefault="00105BB6" w:rsidP="00105BB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05BB6">
        <w:rPr>
          <w:rFonts w:ascii="Calibri" w:hAnsi="Calibri" w:cs="Calibri"/>
          <w:b/>
          <w:bCs/>
          <w:sz w:val="32"/>
          <w:szCs w:val="32"/>
        </w:rPr>
        <w:t>Morze dla wiatru, rybaków i turystów</w:t>
      </w:r>
    </w:p>
    <w:p w14:paraId="4B64B672" w14:textId="68D6C195" w:rsidR="00103C0C" w:rsidRPr="00103C0C" w:rsidRDefault="006B3691" w:rsidP="00103C0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B3691">
        <w:rPr>
          <w:rFonts w:ascii="Calibri" w:hAnsi="Calibri" w:cs="Calibri"/>
          <w:b/>
          <w:bCs/>
          <w:sz w:val="24"/>
          <w:szCs w:val="24"/>
        </w:rPr>
        <w:t>Doświadczenia z Danii, Niemiec i Wielkiej Brytanii</w:t>
      </w:r>
      <w:r w:rsidR="00B5248C">
        <w:rPr>
          <w:rFonts w:ascii="Calibri" w:hAnsi="Calibri" w:cs="Calibri"/>
          <w:b/>
          <w:bCs/>
          <w:sz w:val="24"/>
          <w:szCs w:val="24"/>
        </w:rPr>
        <w:t>, a</w:t>
      </w:r>
      <w:r w:rsidR="0010446B">
        <w:rPr>
          <w:rFonts w:ascii="Calibri" w:hAnsi="Calibri" w:cs="Calibri"/>
          <w:b/>
          <w:bCs/>
          <w:sz w:val="24"/>
          <w:szCs w:val="24"/>
        </w:rPr>
        <w:t xml:space="preserve"> od niemal roku </w:t>
      </w:r>
      <w:r w:rsidR="0024130C">
        <w:rPr>
          <w:rFonts w:ascii="Calibri" w:hAnsi="Calibri" w:cs="Calibri"/>
          <w:b/>
          <w:bCs/>
          <w:sz w:val="24"/>
          <w:szCs w:val="24"/>
        </w:rPr>
        <w:t xml:space="preserve">również </w:t>
      </w:r>
      <w:r w:rsidR="0010446B">
        <w:rPr>
          <w:rFonts w:ascii="Calibri" w:hAnsi="Calibri" w:cs="Calibri"/>
          <w:b/>
          <w:bCs/>
          <w:sz w:val="24"/>
          <w:szCs w:val="24"/>
        </w:rPr>
        <w:t xml:space="preserve">z polskiego </w:t>
      </w:r>
      <w:r w:rsidR="00B5248C">
        <w:rPr>
          <w:rFonts w:ascii="Calibri" w:hAnsi="Calibri" w:cs="Calibri"/>
          <w:b/>
          <w:bCs/>
          <w:sz w:val="24"/>
          <w:szCs w:val="24"/>
        </w:rPr>
        <w:t xml:space="preserve"> wybrzeża</w:t>
      </w:r>
      <w:r w:rsidRPr="006B3691">
        <w:rPr>
          <w:rFonts w:ascii="Calibri" w:hAnsi="Calibri" w:cs="Calibri"/>
          <w:b/>
          <w:bCs/>
          <w:sz w:val="24"/>
          <w:szCs w:val="24"/>
        </w:rPr>
        <w:t xml:space="preserve"> pokazują, że morskie farmy wiatrowe mogą współistnieć z rybołówstwem i turystyką. Lokalizacje turbin na morzu są wybierane tak, by minimalizować kolizje z tradycyjnymi łowiskami, a</w:t>
      </w:r>
      <w:r w:rsidR="0010446B">
        <w:rPr>
          <w:rFonts w:ascii="Calibri" w:hAnsi="Calibri" w:cs="Calibri"/>
          <w:b/>
          <w:bCs/>
          <w:sz w:val="24"/>
          <w:szCs w:val="24"/>
        </w:rPr>
        <w:t xml:space="preserve"> niektórzy</w:t>
      </w:r>
      <w:r w:rsidRPr="006B3691">
        <w:rPr>
          <w:rFonts w:ascii="Calibri" w:hAnsi="Calibri" w:cs="Calibri"/>
          <w:b/>
          <w:bCs/>
          <w:sz w:val="24"/>
          <w:szCs w:val="24"/>
        </w:rPr>
        <w:t xml:space="preserve"> inwestorzy wprowadzają </w:t>
      </w:r>
      <w:r w:rsidR="0010446B">
        <w:rPr>
          <w:rFonts w:ascii="Calibri" w:hAnsi="Calibri" w:cs="Calibri"/>
          <w:b/>
          <w:bCs/>
          <w:sz w:val="24"/>
          <w:szCs w:val="24"/>
        </w:rPr>
        <w:t xml:space="preserve">nawet </w:t>
      </w:r>
      <w:r w:rsidRPr="006B3691">
        <w:rPr>
          <w:rFonts w:ascii="Calibri" w:hAnsi="Calibri" w:cs="Calibri"/>
          <w:b/>
          <w:bCs/>
          <w:sz w:val="24"/>
          <w:szCs w:val="24"/>
        </w:rPr>
        <w:t xml:space="preserve">programy rekompensat dla rybaków </w:t>
      </w:r>
      <w:r w:rsidR="007761D6">
        <w:rPr>
          <w:rFonts w:ascii="Calibri" w:hAnsi="Calibri" w:cs="Calibri"/>
          <w:b/>
          <w:bCs/>
          <w:sz w:val="24"/>
          <w:szCs w:val="24"/>
        </w:rPr>
        <w:t>z tytułu utraty korzyści lub zwiększenia kosztów ich działalności. Podobne programy wdraża</w:t>
      </w:r>
      <w:r w:rsidR="0010446B">
        <w:rPr>
          <w:rFonts w:ascii="Calibri" w:hAnsi="Calibri" w:cs="Calibri"/>
          <w:b/>
          <w:bCs/>
          <w:sz w:val="24"/>
          <w:szCs w:val="24"/>
        </w:rPr>
        <w:t xml:space="preserve">ne są również przez firmy budujące morskie farmy wiatrowe </w:t>
      </w:r>
      <w:r w:rsidR="007761D6">
        <w:rPr>
          <w:rFonts w:ascii="Calibri" w:hAnsi="Calibri" w:cs="Calibri"/>
          <w:b/>
          <w:bCs/>
          <w:sz w:val="24"/>
          <w:szCs w:val="24"/>
        </w:rPr>
        <w:t xml:space="preserve"> w Polsce</w:t>
      </w:r>
      <w:r>
        <w:rPr>
          <w:rFonts w:ascii="Calibri" w:hAnsi="Calibri" w:cs="Calibri"/>
          <w:b/>
          <w:bCs/>
          <w:sz w:val="24"/>
          <w:szCs w:val="24"/>
        </w:rPr>
        <w:t>. W przypadku t</w:t>
      </w:r>
      <w:r w:rsidRPr="006B3691">
        <w:rPr>
          <w:rFonts w:ascii="Calibri" w:hAnsi="Calibri" w:cs="Calibri"/>
          <w:b/>
          <w:bCs/>
          <w:sz w:val="24"/>
          <w:szCs w:val="24"/>
        </w:rPr>
        <w:t>ury</w:t>
      </w:r>
      <w:r>
        <w:rPr>
          <w:rFonts w:ascii="Calibri" w:hAnsi="Calibri" w:cs="Calibri"/>
          <w:b/>
          <w:bCs/>
          <w:sz w:val="24"/>
          <w:szCs w:val="24"/>
        </w:rPr>
        <w:t>styki, dane</w:t>
      </w:r>
      <w:r w:rsidR="00B5248C">
        <w:rPr>
          <w:rFonts w:ascii="Calibri" w:hAnsi="Calibri" w:cs="Calibri"/>
          <w:b/>
          <w:bCs/>
          <w:sz w:val="24"/>
          <w:szCs w:val="24"/>
        </w:rPr>
        <w:t xml:space="preserve"> z rynków na jakich rozwijane są inwestycje w morską energetykę wiatrową, </w:t>
      </w:r>
      <w:r>
        <w:rPr>
          <w:rFonts w:ascii="Calibri" w:hAnsi="Calibri" w:cs="Calibri"/>
          <w:b/>
          <w:bCs/>
          <w:sz w:val="24"/>
          <w:szCs w:val="24"/>
        </w:rPr>
        <w:t xml:space="preserve">również </w:t>
      </w:r>
      <w:r w:rsidR="007761D6">
        <w:rPr>
          <w:rFonts w:ascii="Calibri" w:hAnsi="Calibri" w:cs="Calibri"/>
          <w:b/>
          <w:bCs/>
          <w:sz w:val="24"/>
          <w:szCs w:val="24"/>
        </w:rPr>
        <w:t xml:space="preserve">potwierdzają możliwość koegzystencji i </w:t>
      </w:r>
      <w:r>
        <w:rPr>
          <w:rFonts w:ascii="Calibri" w:hAnsi="Calibri" w:cs="Calibri"/>
          <w:b/>
          <w:bCs/>
          <w:sz w:val="24"/>
          <w:szCs w:val="24"/>
        </w:rPr>
        <w:t xml:space="preserve">pokazują, </w:t>
      </w:r>
      <w:r w:rsidR="00B16AFE">
        <w:rPr>
          <w:rFonts w:ascii="Calibri" w:hAnsi="Calibri" w:cs="Calibri"/>
          <w:b/>
          <w:bCs/>
          <w:sz w:val="24"/>
          <w:szCs w:val="24"/>
        </w:rPr>
        <w:t xml:space="preserve">że </w:t>
      </w:r>
      <w:r w:rsidR="00B16AFE" w:rsidRPr="00B16AFE">
        <w:rPr>
          <w:rFonts w:ascii="Calibri" w:hAnsi="Calibri" w:cs="Calibri"/>
          <w:b/>
          <w:bCs/>
          <w:sz w:val="24"/>
          <w:szCs w:val="24"/>
        </w:rPr>
        <w:t>obecność morskich farm wiatrowych nie obniża atrakcyjności regionów nadmorskich, a wręcz przyciąga nowe formy rekreacji morskiej.</w:t>
      </w:r>
    </w:p>
    <w:p w14:paraId="0B496BB0" w14:textId="29F6848F" w:rsidR="00B16AFE" w:rsidRDefault="007761D6" w:rsidP="00D30CC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Polska posiada plan zagospodarowania przestrzennego obszarów morskich, w którym wskazano obszary, na których mogą być lokalizowane morskie farmy wiatrowe. Przyjęcie planu było poprzedzone długotrwałym procesem konsultacji społecznych i uzgodnień ze wszystkimi użytkownikami morza, w tym z </w:t>
      </w:r>
      <w:r w:rsidR="0098020A">
        <w:rPr>
          <w:rFonts w:ascii="Calibri" w:hAnsi="Calibri" w:cs="Calibri"/>
          <w:sz w:val="24"/>
          <w:szCs w:val="24"/>
        </w:rPr>
        <w:t xml:space="preserve">przedstawicielami </w:t>
      </w:r>
      <w:r>
        <w:rPr>
          <w:rFonts w:ascii="Calibri" w:hAnsi="Calibri" w:cs="Calibri"/>
          <w:sz w:val="24"/>
          <w:szCs w:val="24"/>
        </w:rPr>
        <w:t>rybołówstw</w:t>
      </w:r>
      <w:r w:rsidR="0098020A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, wojsk</w:t>
      </w:r>
      <w:r w:rsidR="0098020A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, transport</w:t>
      </w:r>
      <w:r w:rsidR="0098020A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 morski</w:t>
      </w:r>
      <w:r w:rsidR="0098020A">
        <w:rPr>
          <w:rFonts w:ascii="Calibri" w:hAnsi="Calibri" w:cs="Calibri"/>
          <w:sz w:val="24"/>
          <w:szCs w:val="24"/>
        </w:rPr>
        <w:t>ego. P</w:t>
      </w:r>
      <w:r>
        <w:rPr>
          <w:rFonts w:ascii="Calibri" w:hAnsi="Calibri" w:cs="Calibri"/>
          <w:sz w:val="24"/>
          <w:szCs w:val="24"/>
        </w:rPr>
        <w:t xml:space="preserve">rzeprowadzono </w:t>
      </w:r>
      <w:r w:rsidR="0098020A">
        <w:rPr>
          <w:rFonts w:ascii="Calibri" w:hAnsi="Calibri" w:cs="Calibri"/>
          <w:sz w:val="24"/>
          <w:szCs w:val="24"/>
        </w:rPr>
        <w:t xml:space="preserve">również </w:t>
      </w:r>
      <w:r>
        <w:rPr>
          <w:rFonts w:ascii="Calibri" w:hAnsi="Calibri" w:cs="Calibri"/>
          <w:sz w:val="24"/>
          <w:szCs w:val="24"/>
        </w:rPr>
        <w:t>strategiczną ocenę oddziaływania na środowisko i konsultacje transgraniczne. Proces ten zapewnił</w:t>
      </w:r>
      <w:r w:rsidR="002B6CD1">
        <w:rPr>
          <w:rFonts w:ascii="Calibri" w:hAnsi="Calibri" w:cs="Calibri"/>
          <w:sz w:val="24"/>
          <w:szCs w:val="24"/>
        </w:rPr>
        <w:t xml:space="preserve"> osiągnięcie kompromisu między różnymi obszarami działalności morskiej, tak, aby wpływ poszczególnych aktywności był jak najmniejszy. W wyniku tych uzgodnień zadecydowano, że morskie farmy wiatrowe można lokalizować tylko na </w:t>
      </w:r>
      <w:r w:rsidR="00B16AFE">
        <w:rPr>
          <w:rFonts w:ascii="Calibri" w:hAnsi="Calibri" w:cs="Calibri"/>
          <w:sz w:val="24"/>
          <w:szCs w:val="24"/>
        </w:rPr>
        <w:t xml:space="preserve">polskiej </w:t>
      </w:r>
      <w:r w:rsidR="002B6CD1">
        <w:rPr>
          <w:rFonts w:ascii="Calibri" w:hAnsi="Calibri" w:cs="Calibri"/>
          <w:sz w:val="24"/>
          <w:szCs w:val="24"/>
        </w:rPr>
        <w:t xml:space="preserve">wyłącznej strefie ekonomicznej. </w:t>
      </w:r>
      <w:r w:rsidR="00CB009B">
        <w:rPr>
          <w:rFonts w:ascii="Calibri" w:hAnsi="Calibri" w:cs="Calibri"/>
          <w:sz w:val="24"/>
          <w:szCs w:val="24"/>
        </w:rPr>
        <w:t>Dodatkowo późniejsza r</w:t>
      </w:r>
      <w:r w:rsidR="002B6CD1">
        <w:rPr>
          <w:rFonts w:ascii="Calibri" w:hAnsi="Calibri" w:cs="Calibri"/>
          <w:sz w:val="24"/>
          <w:szCs w:val="24"/>
        </w:rPr>
        <w:t xml:space="preserve">ealizacja </w:t>
      </w:r>
      <w:r w:rsidR="00CB009B">
        <w:rPr>
          <w:rFonts w:ascii="Calibri" w:hAnsi="Calibri" w:cs="Calibri"/>
          <w:sz w:val="24"/>
          <w:szCs w:val="24"/>
        </w:rPr>
        <w:t xml:space="preserve">każdej </w:t>
      </w:r>
      <w:r w:rsidR="002B6CD1">
        <w:rPr>
          <w:rFonts w:ascii="Calibri" w:hAnsi="Calibri" w:cs="Calibri"/>
          <w:sz w:val="24"/>
          <w:szCs w:val="24"/>
        </w:rPr>
        <w:t>inwestycj</w:t>
      </w:r>
      <w:r w:rsidR="00CB009B">
        <w:rPr>
          <w:rFonts w:ascii="Calibri" w:hAnsi="Calibri" w:cs="Calibri"/>
          <w:sz w:val="24"/>
          <w:szCs w:val="24"/>
        </w:rPr>
        <w:t xml:space="preserve">i </w:t>
      </w:r>
      <w:r w:rsidR="002B6CD1">
        <w:rPr>
          <w:rFonts w:ascii="Calibri" w:hAnsi="Calibri" w:cs="Calibri"/>
          <w:sz w:val="24"/>
          <w:szCs w:val="24"/>
        </w:rPr>
        <w:t>poprzedzona jest wieloletnimi badaniami na oddziaływania na środowisko</w:t>
      </w:r>
      <w:r w:rsidR="00CB009B">
        <w:rPr>
          <w:rFonts w:ascii="Calibri" w:hAnsi="Calibri" w:cs="Calibri"/>
          <w:sz w:val="24"/>
          <w:szCs w:val="24"/>
        </w:rPr>
        <w:t>. To m.in. od ich wyników zależy to czy inwestor uzyska zgodę na budowę infrastruktury na morzu.</w:t>
      </w:r>
    </w:p>
    <w:p w14:paraId="7F738430" w14:textId="5F3A77D4" w:rsidR="006B3691" w:rsidRPr="006B3691" w:rsidRDefault="002B6CD1" w:rsidP="00376C4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Poza wpływem na środowisko, analizuje się również szeroko wpływ na bezpieczeństwo morskie oraz systemy ochrony państwa. </w:t>
      </w:r>
      <w:r w:rsidR="00F6297E">
        <w:rPr>
          <w:rFonts w:ascii="Calibri" w:hAnsi="Calibri" w:cs="Calibri"/>
          <w:sz w:val="24"/>
          <w:szCs w:val="24"/>
        </w:rPr>
        <w:t xml:space="preserve">Plan </w:t>
      </w:r>
      <w:r w:rsidR="00576E17">
        <w:rPr>
          <w:rFonts w:ascii="Calibri" w:hAnsi="Calibri" w:cs="Calibri"/>
          <w:sz w:val="24"/>
          <w:szCs w:val="24"/>
        </w:rPr>
        <w:t xml:space="preserve">zapewnia taką lokalizację turbin wiatrowych, aby omijały one główne szlaki połowowe i tradycyjne łowiska, co minimalizuje wpływ inwestycji na działalność rybacką. </w:t>
      </w:r>
      <w:r w:rsidR="00376C4F" w:rsidRPr="00376C4F">
        <w:rPr>
          <w:rFonts w:ascii="Calibri" w:hAnsi="Calibri" w:cs="Calibri"/>
          <w:sz w:val="24"/>
          <w:szCs w:val="24"/>
        </w:rPr>
        <w:t xml:space="preserve">Zgodnie z analizami ICES (International </w:t>
      </w:r>
      <w:proofErr w:type="spellStart"/>
      <w:r w:rsidR="00376C4F" w:rsidRPr="00376C4F">
        <w:rPr>
          <w:rFonts w:ascii="Calibri" w:hAnsi="Calibri" w:cs="Calibri"/>
          <w:sz w:val="24"/>
          <w:szCs w:val="24"/>
        </w:rPr>
        <w:t>Council</w:t>
      </w:r>
      <w:proofErr w:type="spellEnd"/>
      <w:r w:rsidR="00376C4F" w:rsidRPr="00376C4F">
        <w:rPr>
          <w:rFonts w:ascii="Calibri" w:hAnsi="Calibri" w:cs="Calibri"/>
          <w:sz w:val="24"/>
          <w:szCs w:val="24"/>
        </w:rPr>
        <w:t xml:space="preserve"> for the Exploration of the Sea) oraz doświadczeniami z Morza Północnego, fundamenty turbin offshore mogą zwiększać lokalną bioróżnorodność poprzez efekt sztucznej rafy, tworząc warunki sprzyjające organizmom dennym i części gatunków ryb.</w:t>
      </w:r>
      <w:r w:rsidR="00376C4F">
        <w:rPr>
          <w:rFonts w:ascii="Calibri" w:hAnsi="Calibri" w:cs="Calibri"/>
          <w:sz w:val="24"/>
          <w:szCs w:val="24"/>
        </w:rPr>
        <w:t xml:space="preserve"> </w:t>
      </w:r>
      <w:r w:rsidR="00376C4F" w:rsidRPr="00376C4F">
        <w:t xml:space="preserve"> </w:t>
      </w:r>
      <w:r w:rsidR="00376C4F" w:rsidRPr="00376C4F">
        <w:rPr>
          <w:rFonts w:ascii="Calibri" w:hAnsi="Calibri" w:cs="Calibri"/>
          <w:sz w:val="24"/>
          <w:szCs w:val="24"/>
        </w:rPr>
        <w:t xml:space="preserve">Jednocześnie wieloletnie obserwacje prowadzone wokół farm takich jak </w:t>
      </w:r>
      <w:proofErr w:type="spellStart"/>
      <w:r w:rsidR="00376C4F" w:rsidRPr="00376C4F">
        <w:rPr>
          <w:rFonts w:ascii="Calibri" w:hAnsi="Calibri" w:cs="Calibri"/>
          <w:sz w:val="24"/>
          <w:szCs w:val="24"/>
        </w:rPr>
        <w:t>Horns</w:t>
      </w:r>
      <w:proofErr w:type="spellEnd"/>
      <w:r w:rsidR="00376C4F" w:rsidRPr="00376C4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76C4F" w:rsidRPr="00376C4F">
        <w:rPr>
          <w:rFonts w:ascii="Calibri" w:hAnsi="Calibri" w:cs="Calibri"/>
          <w:sz w:val="24"/>
          <w:szCs w:val="24"/>
        </w:rPr>
        <w:t>Rev</w:t>
      </w:r>
      <w:proofErr w:type="spellEnd"/>
      <w:r w:rsidR="00376C4F" w:rsidRPr="00376C4F">
        <w:rPr>
          <w:rFonts w:ascii="Calibri" w:hAnsi="Calibri" w:cs="Calibri"/>
          <w:sz w:val="24"/>
          <w:szCs w:val="24"/>
        </w:rPr>
        <w:t xml:space="preserve"> w Danii nie wykazały jednoznacznego, długoterminowego spadku aktywności połowowej wynikającego z funkcjonowania morskich farm wiatrowych.</w:t>
      </w:r>
      <w:r w:rsidR="00376C4F">
        <w:rPr>
          <w:rFonts w:ascii="Calibri" w:hAnsi="Calibri" w:cs="Calibri"/>
          <w:sz w:val="24"/>
          <w:szCs w:val="24"/>
        </w:rPr>
        <w:t xml:space="preserve"> </w:t>
      </w:r>
      <w:r w:rsidR="00376C4F" w:rsidRPr="00376C4F">
        <w:rPr>
          <w:rFonts w:ascii="Calibri" w:hAnsi="Calibri" w:cs="Calibri"/>
          <w:sz w:val="24"/>
          <w:szCs w:val="24"/>
        </w:rPr>
        <w:t xml:space="preserve">Raport środowiskowy </w:t>
      </w:r>
      <w:r w:rsidR="00376C4F">
        <w:rPr>
          <w:rFonts w:ascii="Calibri" w:hAnsi="Calibri" w:cs="Calibri"/>
          <w:sz w:val="24"/>
          <w:szCs w:val="24"/>
        </w:rPr>
        <w:t xml:space="preserve">dla </w:t>
      </w:r>
      <w:proofErr w:type="spellStart"/>
      <w:r w:rsidR="00376C4F" w:rsidRPr="00376C4F">
        <w:rPr>
          <w:rFonts w:ascii="Calibri" w:hAnsi="Calibri" w:cs="Calibri"/>
          <w:sz w:val="24"/>
          <w:szCs w:val="24"/>
        </w:rPr>
        <w:t>Horns</w:t>
      </w:r>
      <w:proofErr w:type="spellEnd"/>
      <w:r w:rsidR="00376C4F" w:rsidRPr="00376C4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76C4F" w:rsidRPr="00376C4F">
        <w:rPr>
          <w:rFonts w:ascii="Calibri" w:hAnsi="Calibri" w:cs="Calibri"/>
          <w:sz w:val="24"/>
          <w:szCs w:val="24"/>
        </w:rPr>
        <w:t>Rev</w:t>
      </w:r>
      <w:proofErr w:type="spellEnd"/>
      <w:r w:rsidR="00376C4F" w:rsidRPr="00376C4F">
        <w:rPr>
          <w:rFonts w:ascii="Calibri" w:hAnsi="Calibri" w:cs="Calibri"/>
          <w:sz w:val="24"/>
          <w:szCs w:val="24"/>
        </w:rPr>
        <w:t xml:space="preserve"> 2 wskazuje</w:t>
      </w:r>
      <w:r w:rsidR="00376C4F">
        <w:rPr>
          <w:rFonts w:ascii="Calibri" w:hAnsi="Calibri" w:cs="Calibri"/>
          <w:sz w:val="24"/>
          <w:szCs w:val="24"/>
        </w:rPr>
        <w:t xml:space="preserve"> wprost</w:t>
      </w:r>
      <w:r w:rsidR="00376C4F" w:rsidRPr="00376C4F">
        <w:rPr>
          <w:rFonts w:ascii="Calibri" w:hAnsi="Calibri" w:cs="Calibri"/>
          <w:sz w:val="24"/>
          <w:szCs w:val="24"/>
        </w:rPr>
        <w:t>, że fundamenty i zabezpieczenia denne tworzą nowe siedliska, co może zwiększać bogactwo gatunkowe i różnorodność ryb.</w:t>
      </w:r>
    </w:p>
    <w:p w14:paraId="4DD9BE51" w14:textId="1F83C1AB" w:rsidR="006B3691" w:rsidRPr="006B3691" w:rsidRDefault="00AE6685" w:rsidP="00103C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 uwagi na brak </w:t>
      </w:r>
      <w:r w:rsidR="00CB009B">
        <w:rPr>
          <w:rFonts w:ascii="Calibri" w:hAnsi="Calibri" w:cs="Calibri"/>
          <w:sz w:val="24"/>
          <w:szCs w:val="24"/>
        </w:rPr>
        <w:t xml:space="preserve">obowiązujących w Polsce </w:t>
      </w:r>
      <w:r>
        <w:rPr>
          <w:rFonts w:ascii="Calibri" w:hAnsi="Calibri" w:cs="Calibri"/>
          <w:sz w:val="24"/>
          <w:szCs w:val="24"/>
        </w:rPr>
        <w:t>przepisów</w:t>
      </w:r>
      <w:r w:rsidR="00CB009B">
        <w:rPr>
          <w:rFonts w:ascii="Calibri" w:hAnsi="Calibri" w:cs="Calibri"/>
          <w:sz w:val="24"/>
          <w:szCs w:val="24"/>
        </w:rPr>
        <w:t xml:space="preserve"> regulujących zasady współistnienia i współpracy sektora rybackiego i morskiej energetyki wiatrowej</w:t>
      </w:r>
      <w:r w:rsidR="009345A8">
        <w:rPr>
          <w:rFonts w:ascii="Calibri" w:hAnsi="Calibri" w:cs="Calibri"/>
          <w:sz w:val="24"/>
          <w:szCs w:val="24"/>
        </w:rPr>
        <w:t>,</w:t>
      </w:r>
      <w:r w:rsidR="00CB009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każdy z inwestorów </w:t>
      </w:r>
      <w:r w:rsidR="009345A8">
        <w:rPr>
          <w:rFonts w:ascii="Calibri" w:hAnsi="Calibri" w:cs="Calibri"/>
          <w:sz w:val="24"/>
          <w:szCs w:val="24"/>
        </w:rPr>
        <w:t xml:space="preserve">opracował własne system rekompensat za utracone możliwości połowowe na etapie budowy jej części morskiej. Uwzględniają one potencjalnie utracone korzyści czy też </w:t>
      </w:r>
      <w:r>
        <w:rPr>
          <w:rFonts w:ascii="Calibri" w:hAnsi="Calibri" w:cs="Calibri"/>
          <w:sz w:val="24"/>
          <w:szCs w:val="24"/>
        </w:rPr>
        <w:t>zwiększon</w:t>
      </w:r>
      <w:r w:rsidR="009345A8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</w:t>
      </w:r>
      <w:r w:rsidR="009345A8">
        <w:rPr>
          <w:rFonts w:ascii="Calibri" w:hAnsi="Calibri" w:cs="Calibri"/>
          <w:sz w:val="24"/>
          <w:szCs w:val="24"/>
        </w:rPr>
        <w:t xml:space="preserve">koszty </w:t>
      </w:r>
      <w:r>
        <w:rPr>
          <w:rFonts w:ascii="Calibri" w:hAnsi="Calibri" w:cs="Calibri"/>
          <w:sz w:val="24"/>
          <w:szCs w:val="24"/>
        </w:rPr>
        <w:t>wykonywania działalności (wynikających np. z wydłużenia tras na łowisk</w:t>
      </w:r>
      <w:r w:rsidR="009345A8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).</w:t>
      </w:r>
    </w:p>
    <w:p w14:paraId="09494C66" w14:textId="1945BE2B" w:rsidR="00E244F0" w:rsidRDefault="00E244F0" w:rsidP="00103C0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E244F0">
        <w:rPr>
          <w:rFonts w:ascii="Calibri" w:hAnsi="Calibri" w:cs="Calibri"/>
          <w:sz w:val="24"/>
          <w:szCs w:val="24"/>
        </w:rPr>
        <w:t xml:space="preserve">– </w:t>
      </w:r>
      <w:r w:rsidRPr="00E244F0">
        <w:rPr>
          <w:rFonts w:ascii="Calibri" w:hAnsi="Calibri" w:cs="Calibri"/>
          <w:i/>
          <w:iCs/>
          <w:sz w:val="24"/>
          <w:szCs w:val="24"/>
        </w:rPr>
        <w:t xml:space="preserve">MEW i rybołówstwo mogą tworzyć zrównoważony, wspólny obszar gospodarczy. </w:t>
      </w:r>
      <w:r w:rsidR="00AE6685">
        <w:rPr>
          <w:rFonts w:ascii="Calibri" w:hAnsi="Calibri" w:cs="Calibri"/>
          <w:i/>
          <w:iCs/>
          <w:sz w:val="24"/>
          <w:szCs w:val="24"/>
        </w:rPr>
        <w:t>Dostępne są badania</w:t>
      </w:r>
      <w:r w:rsidR="00376C4F">
        <w:rPr>
          <w:rFonts w:ascii="Calibri" w:hAnsi="Calibri" w:cs="Calibri"/>
          <w:i/>
          <w:iCs/>
          <w:sz w:val="24"/>
          <w:szCs w:val="24"/>
        </w:rPr>
        <w:t xml:space="preserve"> z </w:t>
      </w:r>
      <w:r w:rsidR="003B1C62">
        <w:rPr>
          <w:rFonts w:ascii="Calibri" w:hAnsi="Calibri" w:cs="Calibri"/>
          <w:i/>
          <w:iCs/>
          <w:sz w:val="24"/>
          <w:szCs w:val="24"/>
        </w:rPr>
        <w:t>innych krajów rozwijających energetykę wiatrową na Bałtyku</w:t>
      </w:r>
      <w:r w:rsidR="00AE6685">
        <w:rPr>
          <w:rFonts w:ascii="Calibri" w:hAnsi="Calibri" w:cs="Calibri"/>
          <w:i/>
          <w:iCs/>
          <w:sz w:val="24"/>
          <w:szCs w:val="24"/>
        </w:rPr>
        <w:t>, które pokazują</w:t>
      </w:r>
      <w:r w:rsidRPr="00E244F0">
        <w:rPr>
          <w:rFonts w:ascii="Calibri" w:hAnsi="Calibri" w:cs="Calibri"/>
          <w:i/>
          <w:iCs/>
          <w:sz w:val="24"/>
          <w:szCs w:val="24"/>
        </w:rPr>
        <w:t xml:space="preserve">, że </w:t>
      </w:r>
      <w:r w:rsidRPr="00E244F0">
        <w:rPr>
          <w:rFonts w:ascii="Calibri" w:hAnsi="Calibri" w:cs="Calibri"/>
          <w:i/>
          <w:iCs/>
          <w:sz w:val="24"/>
          <w:szCs w:val="24"/>
        </w:rPr>
        <w:lastRenderedPageBreak/>
        <w:t xml:space="preserve">sztuczne rafy </w:t>
      </w:r>
      <w:r w:rsidR="00AE6685">
        <w:rPr>
          <w:rFonts w:ascii="Calibri" w:hAnsi="Calibri" w:cs="Calibri"/>
          <w:i/>
          <w:iCs/>
          <w:sz w:val="24"/>
          <w:szCs w:val="24"/>
        </w:rPr>
        <w:t>tworzące się wokół</w:t>
      </w:r>
      <w:r w:rsidRPr="00E244F0">
        <w:rPr>
          <w:rFonts w:ascii="Calibri" w:hAnsi="Calibri" w:cs="Calibri"/>
          <w:i/>
          <w:iCs/>
          <w:sz w:val="24"/>
          <w:szCs w:val="24"/>
        </w:rPr>
        <w:t xml:space="preserve"> fundamentów turbin odtwarzają biomasę ryb, co stopniowo zwiększa sukces połowów. </w:t>
      </w:r>
      <w:r w:rsidR="007B46B0">
        <w:rPr>
          <w:rFonts w:ascii="Calibri" w:hAnsi="Calibri" w:cs="Calibri"/>
          <w:i/>
          <w:iCs/>
          <w:sz w:val="24"/>
          <w:szCs w:val="24"/>
        </w:rPr>
        <w:t xml:space="preserve">Znane są również projekty, dzięki którym możliwe jest przebranżowienie osób, które do tej pory prowadziły działalność rybacką na </w:t>
      </w:r>
      <w:r w:rsidR="00EC6EE4">
        <w:rPr>
          <w:rFonts w:ascii="Calibri" w:hAnsi="Calibri" w:cs="Calibri"/>
          <w:i/>
          <w:iCs/>
          <w:sz w:val="24"/>
          <w:szCs w:val="24"/>
        </w:rPr>
        <w:t>pracowników sektora wiatrowego</w:t>
      </w:r>
      <w:r>
        <w:rPr>
          <w:rFonts w:ascii="Calibri" w:hAnsi="Calibri" w:cs="Calibri"/>
          <w:sz w:val="24"/>
          <w:szCs w:val="24"/>
        </w:rPr>
        <w:t xml:space="preserve"> – mówi </w:t>
      </w:r>
      <w:r w:rsidRPr="00E94AF7">
        <w:rPr>
          <w:rFonts w:ascii="Calibri" w:hAnsi="Calibri" w:cs="Calibri"/>
          <w:b/>
          <w:bCs/>
          <w:sz w:val="24"/>
          <w:szCs w:val="24"/>
        </w:rPr>
        <w:t>Oliwia Mróz-Malik, Menedżer ds. morskiej energetyki wiatrowej, inwestycji i rozwoju w PSEW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5D530101" w14:textId="61AEFE37" w:rsidR="00E244F0" w:rsidRPr="00E244F0" w:rsidRDefault="00105BB6" w:rsidP="00E244F0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MEW</w:t>
      </w:r>
      <w:r w:rsidR="00E244F0" w:rsidRPr="00E244F0">
        <w:rPr>
          <w:rFonts w:ascii="Calibri" w:hAnsi="Calibri" w:cs="Calibri"/>
          <w:b/>
          <w:bCs/>
          <w:sz w:val="24"/>
          <w:szCs w:val="24"/>
        </w:rPr>
        <w:t xml:space="preserve"> a turystyka i rozwój lokalny</w:t>
      </w:r>
    </w:p>
    <w:p w14:paraId="0CEDDBB2" w14:textId="77777777" w:rsidR="0010446B" w:rsidRPr="0010446B" w:rsidRDefault="0010446B" w:rsidP="0010446B">
      <w:pPr>
        <w:jc w:val="both"/>
        <w:rPr>
          <w:rFonts w:ascii="Calibri" w:hAnsi="Calibri" w:cs="Calibri"/>
          <w:sz w:val="24"/>
          <w:szCs w:val="24"/>
        </w:rPr>
      </w:pPr>
      <w:r w:rsidRPr="0010446B">
        <w:rPr>
          <w:rFonts w:ascii="Calibri" w:hAnsi="Calibri" w:cs="Calibri"/>
          <w:sz w:val="24"/>
          <w:szCs w:val="24"/>
        </w:rPr>
        <w:t>Polskie farmy wiatrowe na morzu lokalizowane są co najmniej 22–23 km od linii brzegowej. Przy takiej odległości turbiny mogą być okresowo widoczne z plaży lub wybrzeża — szczególnie przy dobrej przejrzystości powietrza i sprzyjających warunkach atmosferycznych — jednak zazwyczaj są postrzegane jedynie jako niewielkie elementy na horyzoncie.</w:t>
      </w:r>
    </w:p>
    <w:p w14:paraId="1C120266" w14:textId="77777777" w:rsidR="0010446B" w:rsidRPr="0010446B" w:rsidRDefault="0010446B" w:rsidP="0010446B">
      <w:pPr>
        <w:jc w:val="both"/>
        <w:rPr>
          <w:rFonts w:ascii="Calibri" w:hAnsi="Calibri" w:cs="Calibri"/>
          <w:sz w:val="24"/>
          <w:szCs w:val="24"/>
        </w:rPr>
      </w:pPr>
      <w:r w:rsidRPr="0010446B">
        <w:rPr>
          <w:rFonts w:ascii="Calibri" w:hAnsi="Calibri" w:cs="Calibri"/>
          <w:sz w:val="24"/>
          <w:szCs w:val="24"/>
        </w:rPr>
        <w:t>Dotychczasowe doświadczenia państw rozwijających morską energetykę wiatrową nie wskazują, aby obecność farm offshore prowadziła do trwałego spadku ruchu turystycznego czy ograniczenia atrakcyjności regionów nadmorskich. Analizy prowadzone m.in. w Danii i Wielkiej Brytanii pokazują, że ruch turystyczny pozostawał stabilny także po uruchomieniu dużych farm wiatrowych oddalonych od wybrzeża o około 14–20 km.</w:t>
      </w:r>
    </w:p>
    <w:p w14:paraId="5C20657A" w14:textId="330A0509" w:rsidR="00BA4354" w:rsidRDefault="00BA4354" w:rsidP="00E244F0">
      <w:pPr>
        <w:jc w:val="both"/>
        <w:rPr>
          <w:rFonts w:ascii="Calibri" w:hAnsi="Calibri" w:cs="Calibri"/>
          <w:sz w:val="24"/>
          <w:szCs w:val="24"/>
        </w:rPr>
      </w:pPr>
      <w:r w:rsidRPr="00BA4354">
        <w:rPr>
          <w:rFonts w:ascii="Calibri" w:hAnsi="Calibri" w:cs="Calibri"/>
          <w:sz w:val="24"/>
          <w:szCs w:val="24"/>
        </w:rPr>
        <w:t xml:space="preserve">Rozwój morskiej energetyki wiatrowej w Polsce ma już konkretny wymiar lokalny: w Choczewie inwestorzy morskich farm wiatrowych — PGE Baltica, Ørsted Polska, Baltic Power oraz Ocean </w:t>
      </w:r>
      <w:proofErr w:type="spellStart"/>
      <w:r w:rsidRPr="00BA4354">
        <w:rPr>
          <w:rFonts w:ascii="Calibri" w:hAnsi="Calibri" w:cs="Calibri"/>
          <w:sz w:val="24"/>
          <w:szCs w:val="24"/>
        </w:rPr>
        <w:t>Winds</w:t>
      </w:r>
      <w:proofErr w:type="spellEnd"/>
      <w:r w:rsidRPr="00BA4354">
        <w:rPr>
          <w:rFonts w:ascii="Calibri" w:hAnsi="Calibri" w:cs="Calibri"/>
          <w:sz w:val="24"/>
          <w:szCs w:val="24"/>
        </w:rPr>
        <w:t xml:space="preserve"> — finansują program „Choczewo. Gmina Napędzana Wiatrem”</w:t>
      </w:r>
      <w:r w:rsidR="0010446B" w:rsidRPr="0010446B">
        <w:rPr>
          <w:rFonts w:ascii="Arial" w:hAnsi="Arial" w:cs="Arial"/>
        </w:rPr>
        <w:t xml:space="preserve"> </w:t>
      </w:r>
      <w:r w:rsidR="0010446B">
        <w:rPr>
          <w:rFonts w:ascii="Calibri" w:hAnsi="Calibri" w:cs="Calibri"/>
          <w:sz w:val="24"/>
          <w:szCs w:val="24"/>
        </w:rPr>
        <w:t>T</w:t>
      </w:r>
      <w:r w:rsidR="0010446B" w:rsidRPr="0010446B">
        <w:rPr>
          <w:rFonts w:ascii="Calibri" w:hAnsi="Calibri" w:cs="Calibri"/>
          <w:sz w:val="24"/>
          <w:szCs w:val="24"/>
        </w:rPr>
        <w:t>o program społeczny i grantowy finansowany przez inwestorów dla mieszkańców</w:t>
      </w:r>
      <w:r w:rsidR="0010446B">
        <w:rPr>
          <w:rFonts w:ascii="Calibri" w:hAnsi="Calibri" w:cs="Calibri"/>
          <w:sz w:val="24"/>
          <w:szCs w:val="24"/>
        </w:rPr>
        <w:t>, który w</w:t>
      </w:r>
      <w:r w:rsidR="0010446B" w:rsidRPr="0010446B">
        <w:rPr>
          <w:rFonts w:ascii="Calibri" w:hAnsi="Calibri" w:cs="Calibri"/>
          <w:sz w:val="24"/>
          <w:szCs w:val="24"/>
        </w:rPr>
        <w:t>spiera</w:t>
      </w:r>
      <w:r w:rsidR="0010446B">
        <w:rPr>
          <w:rFonts w:ascii="Calibri" w:hAnsi="Calibri" w:cs="Calibri"/>
          <w:sz w:val="24"/>
          <w:szCs w:val="24"/>
        </w:rPr>
        <w:t xml:space="preserve"> </w:t>
      </w:r>
      <w:r w:rsidR="0010446B" w:rsidRPr="0010446B">
        <w:rPr>
          <w:rFonts w:ascii="Calibri" w:hAnsi="Calibri" w:cs="Calibri"/>
          <w:sz w:val="24"/>
          <w:szCs w:val="24"/>
        </w:rPr>
        <w:t>lokalne inicjatywy, sołectwa i organizacje, finansując projekty sportowe, kulturalne i edukacyjne, wzmacniając lokalną społeczność w kontekście budowy wiatraków na morz</w:t>
      </w:r>
      <w:r w:rsidR="0010446B">
        <w:rPr>
          <w:rFonts w:ascii="Calibri" w:hAnsi="Calibri" w:cs="Calibri"/>
          <w:sz w:val="24"/>
          <w:szCs w:val="24"/>
        </w:rPr>
        <w:t xml:space="preserve">u. W </w:t>
      </w:r>
      <w:r w:rsidRPr="00BA4354">
        <w:rPr>
          <w:rFonts w:ascii="Calibri" w:hAnsi="Calibri" w:cs="Calibri"/>
          <w:sz w:val="24"/>
          <w:szCs w:val="24"/>
        </w:rPr>
        <w:t>IV edycji w 2025 r. dofinansowanie otrzymało 76 projektów o łącznym budżecie 1</w:t>
      </w:r>
      <w:r>
        <w:rPr>
          <w:rFonts w:ascii="Calibri" w:hAnsi="Calibri" w:cs="Calibri"/>
          <w:sz w:val="24"/>
          <w:szCs w:val="24"/>
        </w:rPr>
        <w:t>,</w:t>
      </w:r>
      <w:r w:rsidRPr="00BA4354">
        <w:rPr>
          <w:rFonts w:ascii="Calibri" w:hAnsi="Calibri" w:cs="Calibri"/>
          <w:sz w:val="24"/>
          <w:szCs w:val="24"/>
        </w:rPr>
        <w:t>072</w:t>
      </w:r>
      <w:r>
        <w:rPr>
          <w:rFonts w:ascii="Calibri" w:hAnsi="Calibri" w:cs="Calibri"/>
          <w:sz w:val="24"/>
          <w:szCs w:val="24"/>
        </w:rPr>
        <w:t xml:space="preserve"> mln </w:t>
      </w:r>
      <w:r w:rsidRPr="00BA4354">
        <w:rPr>
          <w:rFonts w:ascii="Calibri" w:hAnsi="Calibri" w:cs="Calibri"/>
          <w:sz w:val="24"/>
          <w:szCs w:val="24"/>
        </w:rPr>
        <w:t>zł.</w:t>
      </w:r>
      <w:r>
        <w:rPr>
          <w:rFonts w:ascii="Calibri" w:hAnsi="Calibri" w:cs="Calibri"/>
          <w:sz w:val="24"/>
          <w:szCs w:val="24"/>
        </w:rPr>
        <w:t xml:space="preserve"> Obecnie ruszył już nabór w ramach V edycji tego programu. </w:t>
      </w:r>
      <w:r w:rsidRPr="00BA4354">
        <w:rPr>
          <w:rFonts w:ascii="Calibri" w:hAnsi="Calibri" w:cs="Calibri"/>
          <w:sz w:val="24"/>
          <w:szCs w:val="24"/>
        </w:rPr>
        <w:t xml:space="preserve">W Łebie realizowany jest </w:t>
      </w:r>
      <w:r>
        <w:rPr>
          <w:rFonts w:ascii="Calibri" w:hAnsi="Calibri" w:cs="Calibri"/>
          <w:sz w:val="24"/>
          <w:szCs w:val="24"/>
        </w:rPr>
        <w:t xml:space="preserve">z kolei </w:t>
      </w:r>
      <w:r w:rsidRPr="00BA4354">
        <w:rPr>
          <w:rFonts w:ascii="Calibri" w:hAnsi="Calibri" w:cs="Calibri"/>
          <w:sz w:val="24"/>
          <w:szCs w:val="24"/>
        </w:rPr>
        <w:t>program grantowy „Moc Bałtyku”</w:t>
      </w:r>
      <w:r>
        <w:rPr>
          <w:rFonts w:ascii="Calibri" w:hAnsi="Calibri" w:cs="Calibri"/>
          <w:sz w:val="24"/>
          <w:szCs w:val="24"/>
        </w:rPr>
        <w:t>.</w:t>
      </w:r>
      <w:r w:rsidRPr="00BA435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Wartość </w:t>
      </w:r>
      <w:r w:rsidRPr="00BA4354">
        <w:rPr>
          <w:rFonts w:ascii="Calibri" w:hAnsi="Calibri" w:cs="Calibri"/>
          <w:sz w:val="24"/>
          <w:szCs w:val="24"/>
        </w:rPr>
        <w:t>II edycj</w:t>
      </w:r>
      <w:r>
        <w:rPr>
          <w:rFonts w:ascii="Calibri" w:hAnsi="Calibri" w:cs="Calibri"/>
          <w:sz w:val="24"/>
          <w:szCs w:val="24"/>
        </w:rPr>
        <w:t>i</w:t>
      </w:r>
      <w:r w:rsidRPr="00BA4354">
        <w:rPr>
          <w:rFonts w:ascii="Calibri" w:hAnsi="Calibri" w:cs="Calibri"/>
          <w:sz w:val="24"/>
          <w:szCs w:val="24"/>
        </w:rPr>
        <w:t xml:space="preserve"> została w 2025 r. zwiększona do 230 tys. zł, a równolegle rozwija się zaplecze operacyjne pierwszej polskiej </w:t>
      </w:r>
      <w:r>
        <w:rPr>
          <w:rFonts w:ascii="Calibri" w:hAnsi="Calibri" w:cs="Calibri"/>
          <w:sz w:val="24"/>
          <w:szCs w:val="24"/>
        </w:rPr>
        <w:t xml:space="preserve">wiatrowej </w:t>
      </w:r>
      <w:r w:rsidRPr="00BA4354">
        <w:rPr>
          <w:rFonts w:ascii="Calibri" w:hAnsi="Calibri" w:cs="Calibri"/>
          <w:sz w:val="24"/>
          <w:szCs w:val="24"/>
        </w:rPr>
        <w:t xml:space="preserve">farmy </w:t>
      </w:r>
      <w:r>
        <w:rPr>
          <w:rFonts w:ascii="Calibri" w:hAnsi="Calibri" w:cs="Calibri"/>
          <w:sz w:val="24"/>
          <w:szCs w:val="24"/>
        </w:rPr>
        <w:t>morskiej.</w:t>
      </w:r>
      <w:r w:rsidRPr="00BA435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</w:t>
      </w:r>
      <w:r w:rsidRPr="00BA4354">
        <w:rPr>
          <w:rFonts w:ascii="Calibri" w:hAnsi="Calibri" w:cs="Calibri"/>
          <w:sz w:val="24"/>
          <w:szCs w:val="24"/>
        </w:rPr>
        <w:t xml:space="preserve">aza serwisowa Baltic Power ma zatrudniać ok. 60 osób przez minimum 25 lat, natomiast terminal instalacyjny ORLEN w Świnoujściu, uruchomiony w czerwcu 2025 r., docelowo </w:t>
      </w:r>
      <w:r w:rsidR="00D65143" w:rsidRPr="00D65143">
        <w:rPr>
          <w:rFonts w:ascii="Calibri" w:hAnsi="Calibri" w:cs="Calibri"/>
          <w:sz w:val="24"/>
          <w:szCs w:val="24"/>
        </w:rPr>
        <w:t>przy procesie przeładunku oraz instalacji elementów morskich farm wiatrowych będzie obsługiwany nawet przez ponad stu pracowników</w:t>
      </w:r>
      <w:r w:rsidRPr="00BA4354">
        <w:rPr>
          <w:rFonts w:ascii="Calibri" w:hAnsi="Calibri" w:cs="Calibri"/>
          <w:sz w:val="24"/>
          <w:szCs w:val="24"/>
        </w:rPr>
        <w:t xml:space="preserve"> i ma stać się jednym z najważniejszych </w:t>
      </w:r>
      <w:proofErr w:type="spellStart"/>
      <w:r w:rsidRPr="00BA4354">
        <w:rPr>
          <w:rFonts w:ascii="Calibri" w:hAnsi="Calibri" w:cs="Calibri"/>
          <w:sz w:val="24"/>
          <w:szCs w:val="24"/>
        </w:rPr>
        <w:t>hubów</w:t>
      </w:r>
      <w:proofErr w:type="spellEnd"/>
      <w:r w:rsidRPr="00BA4354">
        <w:rPr>
          <w:rFonts w:ascii="Calibri" w:hAnsi="Calibri" w:cs="Calibri"/>
          <w:sz w:val="24"/>
          <w:szCs w:val="24"/>
        </w:rPr>
        <w:t xml:space="preserve"> instalacyjnych </w:t>
      </w:r>
      <w:r>
        <w:rPr>
          <w:rFonts w:ascii="Calibri" w:hAnsi="Calibri" w:cs="Calibri"/>
          <w:sz w:val="24"/>
          <w:szCs w:val="24"/>
        </w:rPr>
        <w:t>MEW</w:t>
      </w:r>
      <w:r w:rsidRPr="00BA4354">
        <w:rPr>
          <w:rFonts w:ascii="Calibri" w:hAnsi="Calibri" w:cs="Calibri"/>
          <w:sz w:val="24"/>
          <w:szCs w:val="24"/>
        </w:rPr>
        <w:t xml:space="preserve"> w regionie Bałtyku.</w:t>
      </w:r>
    </w:p>
    <w:p w14:paraId="65F294E1" w14:textId="6D909E9C" w:rsidR="00E244F0" w:rsidRDefault="00E244F0" w:rsidP="00E244F0">
      <w:pPr>
        <w:jc w:val="both"/>
        <w:rPr>
          <w:rFonts w:ascii="Calibri" w:hAnsi="Calibri" w:cs="Calibri"/>
          <w:sz w:val="24"/>
          <w:szCs w:val="24"/>
        </w:rPr>
      </w:pPr>
      <w:r w:rsidRPr="00E244F0">
        <w:rPr>
          <w:rFonts w:ascii="Calibri" w:hAnsi="Calibri" w:cs="Calibri"/>
          <w:sz w:val="24"/>
          <w:szCs w:val="24"/>
        </w:rPr>
        <w:t xml:space="preserve">Co więcej, </w:t>
      </w:r>
      <w:r w:rsidR="00131CB1">
        <w:rPr>
          <w:rFonts w:ascii="Calibri" w:hAnsi="Calibri" w:cs="Calibri"/>
          <w:sz w:val="24"/>
          <w:szCs w:val="24"/>
        </w:rPr>
        <w:t xml:space="preserve">doświadczenia innych krajów pokazują, że </w:t>
      </w:r>
      <w:r w:rsidRPr="00E244F0">
        <w:rPr>
          <w:rFonts w:ascii="Calibri" w:hAnsi="Calibri" w:cs="Calibri"/>
          <w:sz w:val="24"/>
          <w:szCs w:val="24"/>
        </w:rPr>
        <w:t xml:space="preserve">farmy wiatrowe mogą stać się atutem regionów. </w:t>
      </w:r>
      <w:r w:rsidR="00131CB1">
        <w:rPr>
          <w:rFonts w:ascii="Calibri" w:hAnsi="Calibri" w:cs="Calibri"/>
          <w:sz w:val="24"/>
          <w:szCs w:val="24"/>
        </w:rPr>
        <w:t xml:space="preserve">Na morskie farmy wiatrowe organizowane są rejsy edukacyjne, a w regionach nadbrzeżnych powstają centra edukacyjne nt. energetyki rozproszonej i zrównoważonego rozwoju. </w:t>
      </w:r>
    </w:p>
    <w:p w14:paraId="66D87B25" w14:textId="53288C6A" w:rsidR="0024130C" w:rsidRPr="0024130C" w:rsidRDefault="00D2639F" w:rsidP="00105BB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2639F">
        <w:rPr>
          <w:rFonts w:ascii="Calibri" w:hAnsi="Calibri" w:cs="Calibri"/>
          <w:sz w:val="24"/>
          <w:szCs w:val="24"/>
        </w:rPr>
        <w:t xml:space="preserve">- </w:t>
      </w:r>
      <w:r w:rsidRPr="00D2639F">
        <w:rPr>
          <w:rFonts w:ascii="Calibri" w:hAnsi="Calibri" w:cs="Calibri"/>
          <w:i/>
          <w:iCs/>
          <w:sz w:val="24"/>
          <w:szCs w:val="24"/>
        </w:rPr>
        <w:t xml:space="preserve">Fundacja ORLEN włącza się w kampanię „Morze wiatru”, ponieważ zależy nam na wspieraniu rzetelnej, opartej na wiedzy rozmowy dotyczącej morskiej energetyki wiatrowej. Widzimy, jak łatwo w tej tematyce pojawiają się nieporozumienia i obawy, dlatego chcemy przyczyniać się do ich wyjaśniania i pokazywać sprawdzone doświadczenia. Praktyka wielu krajów europejskich pokazuje, że farmy wiatrowe na morzu mogą współistnieć z turystyką i rybołówstwem, a nawet tworzyć nowe możliwości rozwoju dla nadmorskich społeczności. Naszym celem jest wspieranie dialogu opartego na faktach, wzajemnym zrozumieniu i </w:t>
      </w:r>
      <w:r w:rsidRPr="00D2639F">
        <w:rPr>
          <w:rFonts w:ascii="Calibri" w:hAnsi="Calibri" w:cs="Calibri"/>
          <w:i/>
          <w:iCs/>
          <w:sz w:val="24"/>
          <w:szCs w:val="24"/>
        </w:rPr>
        <w:lastRenderedPageBreak/>
        <w:t>długofalowym spojrzeniu na bezpieczeństwo oraz przyszłość lokalnych wspólnot</w:t>
      </w:r>
      <w:r w:rsidRPr="00D2639F">
        <w:rPr>
          <w:rFonts w:ascii="Calibri" w:hAnsi="Calibri" w:cs="Calibri"/>
          <w:sz w:val="24"/>
          <w:szCs w:val="24"/>
        </w:rPr>
        <w:t xml:space="preserve"> </w:t>
      </w:r>
      <w:r w:rsidR="00571BA8">
        <w:rPr>
          <w:rFonts w:ascii="Calibri" w:hAnsi="Calibri" w:cs="Calibri"/>
          <w:sz w:val="24"/>
          <w:szCs w:val="24"/>
        </w:rPr>
        <w:t>–</w:t>
      </w:r>
      <w:r w:rsidRPr="00D2639F">
        <w:rPr>
          <w:rFonts w:ascii="Calibri" w:hAnsi="Calibri" w:cs="Calibri"/>
          <w:sz w:val="24"/>
          <w:szCs w:val="24"/>
        </w:rPr>
        <w:t xml:space="preserve"> </w:t>
      </w:r>
      <w:r w:rsidR="00571BA8">
        <w:rPr>
          <w:rFonts w:ascii="Calibri" w:hAnsi="Calibri" w:cs="Calibri"/>
          <w:sz w:val="24"/>
          <w:szCs w:val="24"/>
        </w:rPr>
        <w:t xml:space="preserve">mówi </w:t>
      </w:r>
      <w:r w:rsidRPr="0024130C">
        <w:rPr>
          <w:rFonts w:ascii="Calibri" w:hAnsi="Calibri" w:cs="Calibri"/>
          <w:b/>
          <w:bCs/>
          <w:sz w:val="24"/>
          <w:szCs w:val="24"/>
        </w:rPr>
        <w:t xml:space="preserve">Michał Stachyra, członek zarządu Fundacji ORLEN. </w:t>
      </w:r>
    </w:p>
    <w:p w14:paraId="4A720B68" w14:textId="1734FCF2" w:rsidR="00105BB6" w:rsidRDefault="00105BB6" w:rsidP="00105BB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Negatywny wpływ MEW na turystykę i </w:t>
      </w:r>
      <w:r w:rsidR="004A5BE8">
        <w:rPr>
          <w:rFonts w:ascii="Calibri" w:hAnsi="Calibri" w:cs="Calibri"/>
          <w:sz w:val="24"/>
          <w:szCs w:val="24"/>
        </w:rPr>
        <w:t>rybołówstwo</w:t>
      </w:r>
      <w:r>
        <w:rPr>
          <w:rFonts w:ascii="Calibri" w:hAnsi="Calibri" w:cs="Calibri"/>
          <w:sz w:val="24"/>
          <w:szCs w:val="24"/>
        </w:rPr>
        <w:t xml:space="preserve"> to jeden z mitów, jaki powtarzany jest w debacie publicznej. </w:t>
      </w:r>
      <w:r w:rsidRPr="00E805D5">
        <w:rPr>
          <w:rFonts w:ascii="Calibri" w:hAnsi="Calibri" w:cs="Calibri"/>
          <w:sz w:val="24"/>
          <w:szCs w:val="24"/>
        </w:rPr>
        <w:t>Odpowiedzią na to wyzwanie są skoordynowane działania edukacyjne, w tym ogólnopolska kampania PSEW i Fundacji ORLEN</w:t>
      </w:r>
      <w:r w:rsidR="00B16AFE">
        <w:rPr>
          <w:rFonts w:ascii="Calibri" w:hAnsi="Calibri" w:cs="Calibri"/>
          <w:sz w:val="24"/>
          <w:szCs w:val="24"/>
        </w:rPr>
        <w:t xml:space="preserve"> – „Morze wiatru”</w:t>
      </w:r>
      <w:r w:rsidR="0098020A">
        <w:rPr>
          <w:rFonts w:ascii="Calibri" w:hAnsi="Calibri" w:cs="Calibri"/>
          <w:sz w:val="24"/>
          <w:szCs w:val="24"/>
        </w:rPr>
        <w:t>,</w:t>
      </w:r>
      <w:r w:rsidRPr="00E805D5">
        <w:rPr>
          <w:rFonts w:ascii="Calibri" w:hAnsi="Calibri" w:cs="Calibri"/>
          <w:sz w:val="24"/>
          <w:szCs w:val="24"/>
        </w:rPr>
        <w:t xml:space="preserve"> która w oparciu o rzetelne dane i fakty pokazuje realne korzyści gospodarcze, społeczne i środowiskowe morskiej energetyki wiatrowej oraz systematycznie obala powielane mity. </w:t>
      </w:r>
      <w:r w:rsidR="00B16AFE">
        <w:rPr>
          <w:rFonts w:ascii="Calibri" w:hAnsi="Calibri" w:cs="Calibri"/>
          <w:sz w:val="24"/>
          <w:szCs w:val="24"/>
        </w:rPr>
        <w:t>W ramach kampanii powstała dedykowana strona akcji (o tej samej nazwie) i materiały, które w czytelny i prosty sposób pozwalają na weryfikację najważniejszych faktów o MEW.</w:t>
      </w:r>
    </w:p>
    <w:p w14:paraId="431FEF4C" w14:textId="229986F0" w:rsidR="004E1778" w:rsidRDefault="004E1778" w:rsidP="004E1778">
      <w:pPr>
        <w:rPr>
          <w:rFonts w:ascii="Calibri" w:hAnsi="Calibri" w:cs="Calibri"/>
          <w:b/>
          <w:bCs/>
          <w:sz w:val="24"/>
          <w:szCs w:val="24"/>
        </w:rPr>
      </w:pPr>
      <w:r w:rsidRPr="004E1778">
        <w:rPr>
          <w:rFonts w:ascii="Calibri" w:hAnsi="Calibri" w:cs="Calibri"/>
          <w:sz w:val="24"/>
          <w:szCs w:val="24"/>
        </w:rPr>
        <w:t>–</w:t>
      </w:r>
      <w:r w:rsidR="00571BA8">
        <w:rPr>
          <w:rFonts w:ascii="Calibri" w:hAnsi="Calibri" w:cs="Calibri"/>
          <w:sz w:val="24"/>
          <w:szCs w:val="24"/>
        </w:rPr>
        <w:t xml:space="preserve"> </w:t>
      </w:r>
      <w:r w:rsidR="002A7000">
        <w:rPr>
          <w:rFonts w:ascii="Calibri" w:hAnsi="Calibri" w:cs="Calibri"/>
          <w:i/>
          <w:iCs/>
          <w:sz w:val="24"/>
          <w:szCs w:val="24"/>
        </w:rPr>
        <w:t>Widzimy także, że d</w:t>
      </w:r>
      <w:r w:rsidR="002A7000" w:rsidRPr="002A7000">
        <w:rPr>
          <w:rFonts w:ascii="Calibri" w:hAnsi="Calibri" w:cs="Calibri"/>
          <w:i/>
          <w:iCs/>
          <w:sz w:val="24"/>
          <w:szCs w:val="24"/>
        </w:rPr>
        <w:t xml:space="preserve">ziś największym wyzwaniem dla rozwoju morskiej energetyki wiatrowej nie są kwestie technologiczne, lecz informacyjne. Dlatego tak ważne jest konsekwentne obalanie mitów i opieranie debaty publicznej na faktach. Na tym właśnie koncentrujemy nasze działania, docierając z rzetelną wiedzą także do </w:t>
      </w:r>
      <w:r w:rsidR="002A7000">
        <w:rPr>
          <w:rFonts w:ascii="Calibri" w:hAnsi="Calibri" w:cs="Calibri"/>
          <w:i/>
          <w:iCs/>
          <w:sz w:val="24"/>
          <w:szCs w:val="24"/>
        </w:rPr>
        <w:t xml:space="preserve">nowych mediów w tym </w:t>
      </w:r>
      <w:r w:rsidR="002A7000" w:rsidRPr="002A7000">
        <w:rPr>
          <w:rFonts w:ascii="Calibri" w:hAnsi="Calibri" w:cs="Calibri"/>
          <w:i/>
          <w:iCs/>
          <w:sz w:val="24"/>
          <w:szCs w:val="24"/>
        </w:rPr>
        <w:t>społecznościowych</w:t>
      </w:r>
      <w:r w:rsidR="002A7000">
        <w:rPr>
          <w:rFonts w:ascii="Calibri" w:hAnsi="Calibri" w:cs="Calibri"/>
          <w:i/>
          <w:iCs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– dodaje </w:t>
      </w:r>
      <w:r w:rsidR="002A7000" w:rsidRPr="002A7000">
        <w:rPr>
          <w:rFonts w:ascii="Calibri" w:hAnsi="Calibri" w:cs="Calibri"/>
          <w:b/>
          <w:bCs/>
          <w:sz w:val="24"/>
          <w:szCs w:val="24"/>
        </w:rPr>
        <w:t>Małgorzata Żmijewska-Kukiełka, rzeczniczka prasowa PSEW i koordynatorka kampanii.</w:t>
      </w:r>
    </w:p>
    <w:p w14:paraId="3914C585" w14:textId="001F8B19" w:rsidR="00105BB6" w:rsidRDefault="00105BB6" w:rsidP="004E177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podkreślają specjaliści - r</w:t>
      </w:r>
      <w:r w:rsidRPr="00E805D5">
        <w:rPr>
          <w:rFonts w:ascii="Calibri" w:hAnsi="Calibri" w:cs="Calibri"/>
          <w:sz w:val="24"/>
          <w:szCs w:val="24"/>
        </w:rPr>
        <w:t>ok 2026 to czas przełomu w walce z mitami wokół morskiej energetyki wiatrowej. Jesteśmy w momencie, kiedy Polska konsekwentnie buduje jeden z kluczowych filarów swojego bezpieczeństwa energetycznego oraz nowoczesnej gospodarki.</w:t>
      </w:r>
    </w:p>
    <w:p w14:paraId="75A1C2BE" w14:textId="77777777" w:rsidR="00105BB6" w:rsidRPr="004E1778" w:rsidRDefault="00105BB6" w:rsidP="004E1778">
      <w:pPr>
        <w:rPr>
          <w:rFonts w:ascii="Calibri" w:hAnsi="Calibri" w:cs="Calibri"/>
          <w:sz w:val="24"/>
          <w:szCs w:val="24"/>
        </w:rPr>
      </w:pPr>
    </w:p>
    <w:p w14:paraId="7667FEE8" w14:textId="77777777" w:rsidR="00105BB6" w:rsidRPr="00E805D5" w:rsidRDefault="00105BB6" w:rsidP="00105BB6">
      <w:pPr>
        <w:jc w:val="both"/>
        <w:rPr>
          <w:rFonts w:ascii="Calibri" w:hAnsi="Calibri" w:cs="Calibri"/>
          <w:sz w:val="18"/>
          <w:szCs w:val="18"/>
        </w:rPr>
      </w:pPr>
      <w:r w:rsidRPr="00E805D5">
        <w:rPr>
          <w:rFonts w:ascii="Calibri" w:hAnsi="Calibri" w:cs="Calibri"/>
          <w:sz w:val="18"/>
          <w:szCs w:val="18"/>
        </w:rPr>
        <w:t>****</w:t>
      </w:r>
    </w:p>
    <w:p w14:paraId="0EAB0F22" w14:textId="77777777" w:rsidR="00105BB6" w:rsidRPr="00E805D5" w:rsidRDefault="00105BB6" w:rsidP="00105BB6">
      <w:pPr>
        <w:jc w:val="both"/>
        <w:rPr>
          <w:rFonts w:ascii="Calibri" w:hAnsi="Calibri" w:cs="Calibri"/>
          <w:sz w:val="18"/>
          <w:szCs w:val="18"/>
        </w:rPr>
      </w:pPr>
      <w:r w:rsidRPr="00E805D5">
        <w:rPr>
          <w:rFonts w:ascii="Calibri" w:hAnsi="Calibri" w:cs="Calibri"/>
          <w:sz w:val="18"/>
          <w:szCs w:val="18"/>
        </w:rPr>
        <w:t xml:space="preserve">Więcej na </w:t>
      </w:r>
      <w:hyperlink r:id="rId7" w:history="1">
        <w:r w:rsidRPr="00E805D5">
          <w:rPr>
            <w:rFonts w:ascii="Calibri" w:hAnsi="Calibri" w:cs="Calibri"/>
            <w:sz w:val="18"/>
            <w:szCs w:val="18"/>
          </w:rPr>
          <w:t>www.morzewiatru.pl</w:t>
        </w:r>
      </w:hyperlink>
      <w:r w:rsidRPr="00E805D5">
        <w:rPr>
          <w:rFonts w:ascii="Calibri" w:hAnsi="Calibri" w:cs="Calibri"/>
          <w:sz w:val="18"/>
          <w:szCs w:val="18"/>
        </w:rPr>
        <w:t xml:space="preserve">. </w:t>
      </w:r>
    </w:p>
    <w:p w14:paraId="6B625F36" w14:textId="77777777" w:rsidR="0044782D" w:rsidRPr="00103C0C" w:rsidRDefault="0044782D" w:rsidP="00103C0C">
      <w:pPr>
        <w:jc w:val="both"/>
      </w:pPr>
    </w:p>
    <w:sectPr w:rsidR="0044782D" w:rsidRPr="00103C0C" w:rsidSect="00571BA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EA97" w14:textId="77777777" w:rsidR="00497520" w:rsidRDefault="00497520" w:rsidP="00376C4F">
      <w:pPr>
        <w:spacing w:after="0" w:line="240" w:lineRule="auto"/>
      </w:pPr>
      <w:r>
        <w:separator/>
      </w:r>
    </w:p>
  </w:endnote>
  <w:endnote w:type="continuationSeparator" w:id="0">
    <w:p w14:paraId="71A21446" w14:textId="77777777" w:rsidR="00497520" w:rsidRDefault="00497520" w:rsidP="0037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62C4" w14:textId="77777777" w:rsidR="00497520" w:rsidRDefault="00497520" w:rsidP="00376C4F">
      <w:pPr>
        <w:spacing w:after="0" w:line="240" w:lineRule="auto"/>
      </w:pPr>
      <w:r>
        <w:separator/>
      </w:r>
    </w:p>
  </w:footnote>
  <w:footnote w:type="continuationSeparator" w:id="0">
    <w:p w14:paraId="1F16A125" w14:textId="77777777" w:rsidR="00497520" w:rsidRDefault="00497520" w:rsidP="0037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EC80" w14:textId="77777777" w:rsidR="00571BA8" w:rsidRPr="00925B6C" w:rsidRDefault="00571BA8" w:rsidP="00571BA8">
    <w:pPr>
      <w:pStyle w:val="Nagwek"/>
    </w:pPr>
    <w:r w:rsidRPr="00925B6C">
      <w:rPr>
        <w:i/>
        <w:iCs/>
        <w:sz w:val="18"/>
        <w:szCs w:val="18"/>
      </w:rPr>
      <w:t>Informacja prasowa</w:t>
    </w:r>
    <w:r>
      <w:rPr>
        <w:i/>
        <w:iCs/>
        <w:sz w:val="18"/>
        <w:szCs w:val="18"/>
      </w:rPr>
      <w:t xml:space="preserve">                                                                </w:t>
    </w:r>
    <w:r>
      <w:rPr>
        <w:noProof/>
      </w:rPr>
      <w:t xml:space="preserve">                                                          </w:t>
    </w:r>
    <w:r>
      <w:rPr>
        <w:i/>
        <w:iCs/>
        <w:sz w:val="18"/>
        <w:szCs w:val="18"/>
      </w:rPr>
      <w:t xml:space="preserve">                                                                      </w:t>
    </w:r>
  </w:p>
  <w:p w14:paraId="4851D6C5" w14:textId="77777777" w:rsidR="00571BA8" w:rsidRDefault="00571BA8" w:rsidP="00571BA8">
    <w:pPr>
      <w:pStyle w:val="Nagwek"/>
    </w:pPr>
  </w:p>
  <w:p w14:paraId="06A92F8B" w14:textId="77777777" w:rsidR="00571BA8" w:rsidRPr="00925B6C" w:rsidRDefault="00571BA8" w:rsidP="00571BA8">
    <w:pPr>
      <w:jc w:val="both"/>
      <w:rPr>
        <w:sz w:val="18"/>
        <w:szCs w:val="18"/>
      </w:rPr>
    </w:pPr>
    <w:r>
      <w:rPr>
        <w:sz w:val="18"/>
        <w:szCs w:val="18"/>
      </w:rPr>
      <w:t>25</w:t>
    </w:r>
    <w:r w:rsidRPr="00925B6C">
      <w:rPr>
        <w:sz w:val="18"/>
        <w:szCs w:val="18"/>
      </w:rPr>
      <w:t>.0</w:t>
    </w:r>
    <w:r>
      <w:rPr>
        <w:sz w:val="18"/>
        <w:szCs w:val="18"/>
      </w:rPr>
      <w:t>5</w:t>
    </w:r>
    <w:r w:rsidRPr="00925B6C">
      <w:rPr>
        <w:sz w:val="18"/>
        <w:szCs w:val="18"/>
      </w:rPr>
      <w:t>.2026</w:t>
    </w:r>
  </w:p>
  <w:p w14:paraId="1A3F1B66" w14:textId="77777777" w:rsidR="00571BA8" w:rsidRDefault="00571B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CF"/>
    <w:rsid w:val="0002041A"/>
    <w:rsid w:val="00031D29"/>
    <w:rsid w:val="0008620D"/>
    <w:rsid w:val="00103C0C"/>
    <w:rsid w:val="0010446B"/>
    <w:rsid w:val="00105BB6"/>
    <w:rsid w:val="001153DC"/>
    <w:rsid w:val="0012122F"/>
    <w:rsid w:val="00131CB1"/>
    <w:rsid w:val="001D0EF1"/>
    <w:rsid w:val="001F5898"/>
    <w:rsid w:val="0024130C"/>
    <w:rsid w:val="00280923"/>
    <w:rsid w:val="002A5D18"/>
    <w:rsid w:val="002A7000"/>
    <w:rsid w:val="002B6B02"/>
    <w:rsid w:val="002B6CD1"/>
    <w:rsid w:val="00324016"/>
    <w:rsid w:val="0033797B"/>
    <w:rsid w:val="00365281"/>
    <w:rsid w:val="00376C4F"/>
    <w:rsid w:val="003B1C62"/>
    <w:rsid w:val="003D09AE"/>
    <w:rsid w:val="003F57EB"/>
    <w:rsid w:val="0044782D"/>
    <w:rsid w:val="00452E2A"/>
    <w:rsid w:val="00497520"/>
    <w:rsid w:val="004A5BE8"/>
    <w:rsid w:val="004C3349"/>
    <w:rsid w:val="004E1778"/>
    <w:rsid w:val="00537132"/>
    <w:rsid w:val="00571BA8"/>
    <w:rsid w:val="00576E17"/>
    <w:rsid w:val="00585BB3"/>
    <w:rsid w:val="005B3509"/>
    <w:rsid w:val="005C1853"/>
    <w:rsid w:val="005C2B3E"/>
    <w:rsid w:val="005D4B8C"/>
    <w:rsid w:val="00600115"/>
    <w:rsid w:val="00641A38"/>
    <w:rsid w:val="006477F4"/>
    <w:rsid w:val="0065068B"/>
    <w:rsid w:val="0068082E"/>
    <w:rsid w:val="00684821"/>
    <w:rsid w:val="00695283"/>
    <w:rsid w:val="006B3691"/>
    <w:rsid w:val="00704C49"/>
    <w:rsid w:val="00716BCF"/>
    <w:rsid w:val="00726F76"/>
    <w:rsid w:val="00744918"/>
    <w:rsid w:val="007761D6"/>
    <w:rsid w:val="007B46B0"/>
    <w:rsid w:val="007D3056"/>
    <w:rsid w:val="008075CB"/>
    <w:rsid w:val="00814FA9"/>
    <w:rsid w:val="0091142F"/>
    <w:rsid w:val="009218E6"/>
    <w:rsid w:val="00932BD8"/>
    <w:rsid w:val="009345A8"/>
    <w:rsid w:val="0098020A"/>
    <w:rsid w:val="00987069"/>
    <w:rsid w:val="00992201"/>
    <w:rsid w:val="00995F9D"/>
    <w:rsid w:val="009F49AF"/>
    <w:rsid w:val="00A561BE"/>
    <w:rsid w:val="00A632DB"/>
    <w:rsid w:val="00A85B65"/>
    <w:rsid w:val="00AD3C4D"/>
    <w:rsid w:val="00AE6685"/>
    <w:rsid w:val="00B11EE8"/>
    <w:rsid w:val="00B16AFE"/>
    <w:rsid w:val="00B5248C"/>
    <w:rsid w:val="00B62C1C"/>
    <w:rsid w:val="00BA4354"/>
    <w:rsid w:val="00BA6CB7"/>
    <w:rsid w:val="00BB2A24"/>
    <w:rsid w:val="00BD64E8"/>
    <w:rsid w:val="00C90B4D"/>
    <w:rsid w:val="00C940FD"/>
    <w:rsid w:val="00CB009B"/>
    <w:rsid w:val="00CB7290"/>
    <w:rsid w:val="00D2639F"/>
    <w:rsid w:val="00D30CC5"/>
    <w:rsid w:val="00D65143"/>
    <w:rsid w:val="00D96A6E"/>
    <w:rsid w:val="00DC37BC"/>
    <w:rsid w:val="00DC49D5"/>
    <w:rsid w:val="00E02889"/>
    <w:rsid w:val="00E244F0"/>
    <w:rsid w:val="00E73AC0"/>
    <w:rsid w:val="00EC6EE4"/>
    <w:rsid w:val="00F6297E"/>
    <w:rsid w:val="00F76925"/>
    <w:rsid w:val="00F91941"/>
    <w:rsid w:val="00FD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4BC6"/>
  <w15:chartTrackingRefBased/>
  <w15:docId w15:val="{451E42B0-B7DB-4049-AA41-F0B809BA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BCF"/>
  </w:style>
  <w:style w:type="paragraph" w:styleId="Nagwek1">
    <w:name w:val="heading 1"/>
    <w:basedOn w:val="Normalny"/>
    <w:next w:val="Normalny"/>
    <w:link w:val="Nagwek1Znak"/>
    <w:uiPriority w:val="9"/>
    <w:qFormat/>
    <w:rsid w:val="00716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6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6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6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6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6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6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6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16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6B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6B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6B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6B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6B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6B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6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6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6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6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6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6B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6B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6B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6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6B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6BC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6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B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6BCF"/>
    <w:rPr>
      <w:sz w:val="20"/>
      <w:szCs w:val="20"/>
    </w:rPr>
  </w:style>
  <w:style w:type="paragraph" w:styleId="Poprawka">
    <w:name w:val="Revision"/>
    <w:hidden/>
    <w:uiPriority w:val="99"/>
    <w:semiHidden/>
    <w:rsid w:val="00A85B6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D3C4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3C4D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1D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6C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6C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6C4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898"/>
  </w:style>
  <w:style w:type="paragraph" w:styleId="Stopka">
    <w:name w:val="footer"/>
    <w:basedOn w:val="Normalny"/>
    <w:link w:val="StopkaZnak"/>
    <w:uiPriority w:val="99"/>
    <w:unhideWhenUsed/>
    <w:rsid w:val="001F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rzewiatr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BD542-8A5C-4C5B-9E54-8DA3EFA1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1163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ŻMIJEWSKA-KUKIEŁKA</dc:creator>
  <cp:keywords/>
  <dc:description/>
  <cp:lastModifiedBy>Daniel Gąsiorowski</cp:lastModifiedBy>
  <cp:revision>7</cp:revision>
  <dcterms:created xsi:type="dcterms:W3CDTF">2026-05-09T18:29:00Z</dcterms:created>
  <dcterms:modified xsi:type="dcterms:W3CDTF">2026-05-24T18:27:00Z</dcterms:modified>
</cp:coreProperties>
</file>