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Nowe umowy i ekspansje potwierdzają ożywienie na rynku magazynowym w Polsce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Międzynarodowa firma doradcza Cushman &amp; Wakefield podsumowała sytuację w pierwszym kwartale 2026 roku, który przyniósł wyraźne sygnały umocnienia polskiego rynku magazynowo-przemysłowego. Jak wynika z najnowszych danych, popyt netto wzrósł aż o 78% rok do roku, a całkowita aktywność najemców sięgnęła 1,58 mln mkw. W efekcie po raz pierwszy od 2022 roku wskaźnik pustostanów spadł już w pierwszym kwartale, osiągając poziom 7,3%. Ożywienie widać również w sektorze inwestycyjnym, gdzie wolumen transakcji logistycznych zanotował skok o 120% w porównaniu z pierwszym kwartałem 2025 roku, potwierdzając silną pozycję Polski w regionie.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POPYT: wysoka aktywność przy widocznej zmianie udziału renegocjacji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pierwszym kwartale 2026 roku łączna aktywność najemców osiągnęła 1,58 mln mkw., co oznacza wzrost o 47% r/r. Popyt netto (bez umów przedłużenia) przekroczył 850 tys. mkw., co oznacza znaczący wzrost aż o 78% w porównaniu z analogicznym okresem ubiegłego roku.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Po okresie przewagi ostrożnych strategii, których efektem była przewaga przedłużeń najmu w wolumenie transakcji brutto w 2025 roku, widzimy wyraźną zmianę. Zgodnie z naszymi przewidywaniami, na znaczeniu zyskują projekty „szyte na miarę”. Pod względem struktury transakcji w pierwszych trzech miesiącach 2026 roku nowe umowy odpowiadały za 42% całkowitego wolumenu, ekspansje za 12%, natomiast przedłużenia oraz transakcje typu sale &amp; leaseback łącznie stanowiły 46%</w:t>
      </w:r>
      <w:r w:rsidDel="00000000" w:rsidR="00000000" w:rsidRPr="00000000">
        <w:rPr>
          <w:sz w:val="20"/>
          <w:szCs w:val="20"/>
          <w:rtl w:val="0"/>
        </w:rPr>
        <w:t xml:space="preserve"> – komentuje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Szczepan Gowin, Head of Industrial &amp; Logistics, Cushman &amp; Wakefield.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Najwyższą aktywność najemców odnotowano w województwach mazowieckim i wielkopolskim, gdzie wolumeny przekroczyły odpowiednio 316 tys. mkw. oraz 309 tys. mkw.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pierwszym kwartale struktura popytu na powierzchnie magazynowe była zdominowana przez operatorów logistycznych (3PL), odpowiadających za 30,2% aktywności najemców, podczas gdy kolejne miejsca zajęły sektory furniture, homeware &amp; DIY (7,6%) oraz engineering, construction &amp; machinery i FMCG (po 7,3%), co podkreśla rosnącą dywersyfikację branżową popytu na powierzchnie logistyczne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PODAŻ: deweloperzy coraz mocniej stawiają na BTS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pierwszym kwartale 2026 roku całkowite zasoby nowoczesnej powierzchni magazynowej w Polsce osiągnęły 37,44 mln mkw., co odpowiada wzrostowi o 6% r/r. W analizowanym okresie oddano do użytku ponad 653 tys. mkw. nowej powierzchni, co wyraźnie przewyższa wynik z poprzedniego kwartału (138 tys. mkw.) i pozostaje zbliżone do poziomu odnotowanego rok wcześniej. Łącznie ukończono 27 projektów, a budowę rozpoczęto w ramach kolejnych 18 inwestycji o łącznej powierzchni przekraczającej 331 tys. mkw. Do największych nowo rozpoczętych projektów należą Prologis Park Poznań III oraz Panattoni Park Katowice Airport, o powierzchniach odpowiednio ok. 46 tys. mkw. i 40 tys. mkw.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Wolumen projektów w budowie wyniósł 1,45 mln mkw. Aktywność deweloperska staje się coraz bardziej selektywna, co znajduje odzwierciedlenie w wysokim udziale powierzchni zabezpieczonej umowami najmu typu pre-let. Około 37% realizowanego wolumenu pozostaje dostępne na rynku. Wskazuje to na utrzymującą się ostrożność deweloperów oraz rosnące znaczenie projektów opartych na realnym, zakontraktowanym popycie </w:t>
      </w:r>
      <w:r w:rsidDel="00000000" w:rsidR="00000000" w:rsidRPr="00000000">
        <w:rPr>
          <w:sz w:val="20"/>
          <w:szCs w:val="20"/>
          <w:rtl w:val="0"/>
        </w:rPr>
        <w:t xml:space="preserve">– mówi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Ewa Derlatka-Chilewicz, Head of Research, Cushman &amp; Wakefield.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ujęciu regionalnym liderem aktywności deweloperskiej pozostaje województwo mazowieckie, z ponad 542 tys. mkw. w budowie, wyraźnie wyprzedzając znajdujące się na drugim miejscu województwo śląskie, gdzie w realizacji znajduje się ok. 216 tys. mkw.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Największym deweloperem pod względem liczby prowadzonych projektów w budowie jest nadal Panattoni, realizujący obecnie 16 inwestycji o łącznej powierzchni ok. 427 tys. mkw.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PUSTOSTANY: pierwszy kwartał z korektą w dół ilości powierzchni dostępnej w ujęciu r/r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Na koniec pierwszego kwartału 2026 roku całkowita dostępna powierzchnia wyniosła 2,72 mln mkw., co odpowiadało wskaźnikowi pustostanów na poziomie 7,3% istniejących zasobów. Oznacza to nieznaczny spadek względem poprzedniego kwartału o 0,1 p.p. oraz wyraźną korektę w ujęciu rocznym</w:t>
      </w:r>
      <w:r w:rsidDel="00000000" w:rsidR="00000000" w:rsidRPr="00000000">
        <w:rPr>
          <w:sz w:val="20"/>
          <w:szCs w:val="20"/>
          <w:rtl w:val="0"/>
        </w:rPr>
        <w:t xml:space="preserve"> – o 1,2 p.p. – komentuje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Zuzanna Seger, Analityk Rynku, Cushman &amp; Wakefield. 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Zróżnicowanie regionalne pozostaje widoczne, wskazując na odmienną dynamikę podaży i popytu w poszczególnych częściach kraju. Najniższe poziomy dostępności utrzymują się w województwach opolskim (1,1%) oraz zachodniopomorskim (1,4%). Z kolei najwyższe wskaźniki pustostanów utrzymują się w województwach lubuskim (15,0%) i świętokrzyskim (17,9%).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 uwagę zasługują również zmiany kwartalne w kluczowych regionach logistycznych. W województwie dolnośląskim odnotowano istotną poprawę sytuacji rynkowej – wskaźnik pustostanów spadł z 11% do 8%, co wskazuje na skuteczną absorpcję istniejącej powierzchni. 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Pomimo utrzymującego się podwyższonego poziomu dostępności w wybranych regionach, rynek wykazuje oznaki stabilizacji, wspieranej przez stopniowe ograniczanie aktywności spekulacyjnej oraz stabilny udział popytu netto.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CZYNSZE: presja na zachęty dla najemców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Czynsze bazowe dla najlepszych powierzchni magazynowych (prime) pozostają relatywnie stabilne na wszystkich głównych rynkach, jednak rosnąca presja na oferowanie zachęt dla najemców (incentives) w dalszym ciągu obniża efektywne poziomy czynszów.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RYNEK INWESTYCYJNY: mocne otwarcie roku</w:t>
      </w:r>
    </w:p>
    <w:p w:rsidR="00000000" w:rsidDel="00000000" w:rsidP="00000000" w:rsidRDefault="00000000" w:rsidRPr="00000000" w14:paraId="00000016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Polski rynek inwestycyjny w sektorze logistycznym zanotował mocny początek 2026 roku, z wolumenem transakcyjnym na poziomie ok. 447 mln euro, oznaczającym wzrost o ponad 120% r/r. </w:t>
      </w:r>
    </w:p>
    <w:p w:rsidR="00000000" w:rsidDel="00000000" w:rsidP="00000000" w:rsidRDefault="00000000" w:rsidRPr="00000000" w14:paraId="00000017">
      <w:pPr>
        <w:spacing w:after="240" w:before="24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Było to w dużej mierze efektem finalizacji procesów rozpoczętych w drugiej połowie 2025 roku, jednak skala wzrostu wskazuje również na realne odbudowanie aktywności inwestorów oraz poprawę płynności rynku. Struktura zawartych transakcji obejmowała zarówno pojedyncze aktywa o wartości przekraczającej 50 mln euro, jak i portfeli logistycznych, co potwierdza powrót większych ticketów oraz rosnącą gotowość inwestorów do angażowania kapitału w sektorze</w:t>
      </w:r>
      <w:r w:rsidDel="00000000" w:rsidR="00000000" w:rsidRPr="00000000">
        <w:rPr>
          <w:sz w:val="20"/>
          <w:szCs w:val="20"/>
          <w:rtl w:val="0"/>
        </w:rPr>
        <w:t xml:space="preserve"> – tłumaczy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Jakub Grabara, Associate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Capital Markets Poland, Cushman &amp; Wakefield. </w:t>
      </w:r>
    </w:p>
    <w:p w:rsidR="00000000" w:rsidDel="00000000" w:rsidP="00000000" w:rsidRDefault="00000000" w:rsidRPr="00000000" w14:paraId="00000018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Jednocześnie wyraźnie zarysował się dominujący trend inwestycyjny, którym pozostaje koncentracja na strategiach typu long-income. </w:t>
      </w:r>
    </w:p>
    <w:p w:rsidR="00000000" w:rsidDel="00000000" w:rsidP="00000000" w:rsidRDefault="00000000" w:rsidRPr="00000000" w14:paraId="00000019">
      <w:pPr>
        <w:spacing w:after="240" w:before="24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Większość zrealizowanych transakcji dotyczyła aktywów oferujących stabilny cash flow, w szczególności projektów typu BTS oraz transakcji sale &amp; leaseback z długimi umowami najmu, zazwyczaj przekraczającymi 12 lat</w:t>
      </w:r>
      <w:r w:rsidDel="00000000" w:rsidR="00000000" w:rsidRPr="00000000">
        <w:rPr>
          <w:sz w:val="20"/>
          <w:szCs w:val="20"/>
          <w:rtl w:val="0"/>
        </w:rPr>
        <w:t xml:space="preserve"> – dodaje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Jakub Grabara.</w:t>
      </w:r>
    </w:p>
    <w:p w:rsidR="00000000" w:rsidDel="00000000" w:rsidP="00000000" w:rsidRDefault="00000000" w:rsidRPr="00000000" w14:paraId="0000001A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Równolegle obserwowana jest umiarkowana, lecz stabilna aktywność inwestorów w segmencie value-add, koncentrująca się na aktywach oferujących potencjał wzrostu czynszów, poprawy parametrów najmu lub repozycjonowania, choć segment ten pozostaje wyraźnie drugorzędny względem strategii long-income.</w:t>
      </w:r>
    </w:p>
    <w:p w:rsidR="00000000" w:rsidDel="00000000" w:rsidP="00000000" w:rsidRDefault="00000000" w:rsidRPr="00000000" w14:paraId="0000001B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Pomimo utrzymującej się selektywności, widocznej w podejściu do jakości najemców i długości WAULT, stopy kapitalizacji pozostały stabilne – dla najlepszych aktywów na poziomie ok. 6,00%, a dla większości core'owych produktów w przedziale ok. 6,00%–6,75%, przy czym w horyzoncie średnioterminowym widoczna jest potencjalna przestrzeń do ich kompresji. Mocny start roku oraz dominacja produktów o charakterze „bond-like” wskazują na utrzymujący się popyt na bezpieczne strategie dochodowe i tworzą solidną bazę pod dalszy wzrost aktywności inwestycyjnej w kolejnych kwartałach 2026 roku.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-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KONIEC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O Cushman &amp; Wakefield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Cushman &amp; Wakefield (NYSE: CWK) jest wiodącą na świecie firmą świadczącą usługi na rzecz właścicieli i najemców nieruchomości komercyjnych. Zatrudnia ok. 52 tys. pracowników w niemal 400 biurach i 60 krajach na całym świecie. W 2024 roku jej przychody wyniosły 9,4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 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Better never settles</w:t>
      </w:r>
      <w:r w:rsidDel="00000000" w:rsidR="00000000" w:rsidRPr="00000000">
        <w:rPr>
          <w:sz w:val="16"/>
          <w:szCs w:val="16"/>
          <w:rtl w:val="0"/>
        </w:rPr>
        <w:t xml:space="preserve"> Cushman &amp; Wakefield otrzymuje wiele wyróżnień oraz nagród w konkursach branżowych i biznesowych. Dodatkowe informacje na stronie </w:t>
      </w:r>
      <w:hyperlink r:id="rId7">
        <w:r w:rsidDel="00000000" w:rsidR="00000000" w:rsidRPr="00000000">
          <w:rPr>
            <w:color w:val="4472c4"/>
            <w:sz w:val="16"/>
            <w:szCs w:val="16"/>
            <w:u w:val="single"/>
            <w:rtl w:val="0"/>
          </w:rPr>
          <w:t xml:space="preserve">www.cushmanwakefield.com</w:t>
        </w:r>
      </w:hyperlink>
      <w:r w:rsidDel="00000000" w:rsidR="00000000" w:rsidRPr="00000000">
        <w:rPr>
          <w:sz w:val="16"/>
          <w:szCs w:val="16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9" w:w="11907" w:orient="portrait"/>
      <w:pgMar w:bottom="2880" w:top="3600" w:left="1224" w:right="1008" w:header="180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9000.0" w:type="dxa"/>
      <w:jc w:val="left"/>
      <w:tblLayout w:type="fixed"/>
      <w:tblLook w:val="0400"/>
    </w:tblPr>
    <w:tblGrid>
      <w:gridCol w:w="9000"/>
      <w:tblGridChange w:id="0">
        <w:tblGrid>
          <w:gridCol w:w="9000"/>
        </w:tblGrid>
      </w:tblGridChange>
    </w:tblGrid>
    <w:tr>
      <w:trPr>
        <w:cantSplit w:val="0"/>
        <w:trHeight w:val="63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25">
          <w:pPr>
            <w:pStyle w:val="Heading2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rtl w:val="0"/>
            </w:rPr>
            <w:t xml:space="preserve">Dodatkowe informacje:</w:t>
          </w:r>
        </w:p>
      </w:tc>
    </w:tr>
    <w:tr>
      <w:trPr>
        <w:cantSplit w:val="0"/>
        <w:trHeight w:val="1260" w:hRule="atLeast"/>
        <w:tblHeader w:val="0"/>
      </w:trPr>
      <w:tc>
        <w:tcPr/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2"/>
            <w:tblW w:w="10095.0" w:type="dxa"/>
            <w:jc w:val="left"/>
            <w:tblLayout w:type="fixed"/>
            <w:tblLook w:val="04A0"/>
          </w:tblPr>
          <w:tblGrid>
            <w:gridCol w:w="3467"/>
            <w:gridCol w:w="3763"/>
            <w:gridCol w:w="2865"/>
            <w:tblGridChange w:id="0">
              <w:tblGrid>
                <w:gridCol w:w="3467"/>
                <w:gridCol w:w="3763"/>
                <w:gridCol w:w="2865"/>
              </w:tblGrid>
            </w:tblGridChange>
          </w:tblGrid>
          <w:tr>
            <w:trPr>
              <w:cantSplit w:val="0"/>
              <w:trHeight w:val="1164" w:hRule="atLeast"/>
              <w:tblHeader w:val="0"/>
            </w:trPr>
            <w:tc>
              <w:tcPr/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tbl>
                <w:tblPr>
                  <w:tblStyle w:val="Table3"/>
                  <w:tblW w:w="24344.0" w:type="dxa"/>
                  <w:jc w:val="left"/>
                  <w:tblInd w:w="27.0" w:type="dxa"/>
                  <w:tbl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  <w:insideH w:color="000000" w:space="0" w:sz="0" w:val="nil"/>
                    <w:insideV w:color="000000" w:space="0" w:sz="0" w:val="nil"/>
                  </w:tblBorders>
                  <w:tblLayout w:type="fixed"/>
                  <w:tblLook w:val="0400"/>
                </w:tblPr>
                <w:tblGrid>
                  <w:gridCol w:w="6086"/>
                  <w:gridCol w:w="6086"/>
                  <w:gridCol w:w="6086"/>
                  <w:gridCol w:w="6086"/>
                  <w:tblGridChange w:id="0">
                    <w:tblGrid>
                      <w:gridCol w:w="6086"/>
                      <w:gridCol w:w="6086"/>
                      <w:gridCol w:w="6086"/>
                      <w:gridCol w:w="6086"/>
                    </w:tblGrid>
                  </w:tblGridChange>
                </w:tblGrid>
                <w:tr>
                  <w:trPr>
                    <w:cantSplit w:val="0"/>
                    <w:trHeight w:val="738" w:hRule="atLeast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28">
                      <w:pPr>
                        <w:keepNext w:val="1"/>
                        <w:keepLines w:val="1"/>
                        <w:pageBreakBefore w:val="0"/>
                        <w:widowControl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  <w:rtl w:val="0"/>
                        </w:rPr>
                        <w:t xml:space="preserve">Karolina Samczyńska-Fiślak</w:t>
                      </w:r>
                    </w:p>
                    <w:p w:rsidR="00000000" w:rsidDel="00000000" w:rsidP="00000000" w:rsidRDefault="00000000" w:rsidRPr="00000000" w14:paraId="00000029">
                      <w:pPr>
                        <w:keepNext w:val="1"/>
                        <w:keepLines w:val="1"/>
                        <w:pageBreakBefore w:val="0"/>
                        <w:widowControl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  <w:rtl w:val="0"/>
                        </w:rPr>
                        <w:t xml:space="preserve">Cushman &amp; Wakefield </w:t>
                      </w:r>
                    </w:p>
                    <w:p w:rsidR="00000000" w:rsidDel="00000000" w:rsidP="00000000" w:rsidRDefault="00000000" w:rsidRPr="00000000" w14:paraId="0000002A">
                      <w:pPr>
                        <w:rPr>
                          <w:rFonts w:ascii="Calibri" w:cs="Calibri" w:eastAsia="Calibri" w:hAnsi="Calibri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  <w:u w:val="none"/>
                          <w:rtl w:val="0"/>
                        </w:rPr>
                        <w:t xml:space="preserve">Tel: + 48 22 820 20 20; 691 060 202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2B">
                      <w:pPr>
                        <w:keepNext w:val="1"/>
                        <w:keepLines w:val="1"/>
                        <w:pageBreakBefore w:val="0"/>
                        <w:widowControl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tabs>
                          <w:tab w:val="right" w:leader="none" w:pos="4688"/>
                        </w:tabs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  <w:rtl w:val="0"/>
                        </w:rPr>
                        <w:t xml:space="preserve">e-mail: </w:t>
                      </w:r>
                      <w:hyperlink r:id="rId1">
                        <w:r w:rsidDel="00000000" w:rsidR="00000000" w:rsidRPr="00000000">
                          <w:rPr>
                            <w:rFonts w:ascii="Calibri" w:cs="Calibri" w:eastAsia="Calibri" w:hAnsi="Calibri"/>
                            <w:b w:val="1"/>
                            <w:bCs w:val="1"/>
                            <w:i w:val="0"/>
                            <w:iCs w:val="0"/>
                            <w:smallCaps w:val="0"/>
                            <w:strike w:val="0"/>
                            <w:color w:val="008b98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media.poland@cushwake.pl</w:t>
                        </w:r>
                      </w:hyperlink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C">
                      <w:pPr>
                        <w:keepNext w:val="0"/>
                        <w:keepLines w:val="0"/>
                        <w:pageBreakBefore w:val="0"/>
                        <w:widowControl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D">
                      <w:pPr>
                        <w:keepNext w:val="1"/>
                        <w:keepLines w:val="1"/>
                        <w:pageBreakBefore w:val="0"/>
                        <w:widowControl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E">
                      <w:pPr>
                        <w:keepNext w:val="1"/>
                        <w:keepLines w:val="1"/>
                        <w:pageBreakBefore w:val="0"/>
                        <w:widowControl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0"/>
                    <w:bCs w:val="0"/>
                    <w:i w:val="0"/>
                    <w:iCs w:val="0"/>
                    <w:smallCaps w:val="0"/>
                    <w:strike w:val="0"/>
                    <w:color w:val="696b6b"/>
                    <w:sz w:val="18"/>
                    <w:szCs w:val="18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4"/>
      <w:tblW w:w="9000.0" w:type="dxa"/>
      <w:jc w:val="left"/>
      <w:tblLayout w:type="fixed"/>
      <w:tblLook w:val="0400"/>
    </w:tblPr>
    <w:tblGrid>
      <w:gridCol w:w="5670"/>
      <w:gridCol w:w="3330"/>
      <w:tblGridChange w:id="0">
        <w:tblGrid>
          <w:gridCol w:w="5670"/>
          <w:gridCol w:w="3330"/>
        </w:tblGrid>
      </w:tblGridChange>
    </w:tblGrid>
    <w:tr>
      <w:trPr>
        <w:cantSplit w:val="0"/>
        <w:trHeight w:val="63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36">
          <w:pPr>
            <w:pStyle w:val="Heading2"/>
            <w:rPr>
              <w:rFonts w:ascii="Arial" w:cs="Arial" w:eastAsia="Arial" w:hAnsi="Arial"/>
              <w:color w:val="696b6b"/>
            </w:rPr>
          </w:pPr>
          <w:r w:rsidDel="00000000" w:rsidR="00000000" w:rsidRPr="00000000">
            <w:rPr>
              <w:rFonts w:ascii="Arial" w:cs="Arial" w:eastAsia="Arial" w:hAnsi="Arial"/>
              <w:color w:val="696b6b"/>
              <w:rtl w:val="0"/>
            </w:rPr>
            <w:t xml:space="preserve">Media Contact:</w:t>
          </w:r>
        </w:p>
      </w:tc>
      <w:tc>
        <w:tcPr>
          <w:vAlign w:val="bottom"/>
        </w:tcPr>
        <w:p w:rsidR="00000000" w:rsidDel="00000000" w:rsidP="00000000" w:rsidRDefault="00000000" w:rsidRPr="00000000" w14:paraId="00000037">
          <w:pPr>
            <w:spacing w:after="100" w:line="240" w:lineRule="auto"/>
            <w:rPr>
              <w:b w:val="1"/>
              <w:bCs w:val="1"/>
              <w:color w:val="696b6b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26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38">
          <w:pPr>
            <w:keepNext w:val="1"/>
            <w:keepLines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b w:val="1"/>
              <w:bCs w:val="1"/>
              <w:color w:val="696b6b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color w:val="696b6b"/>
              <w:sz w:val="18"/>
              <w:szCs w:val="18"/>
              <w:rtl w:val="0"/>
            </w:rPr>
            <w:t xml:space="preserve">Name</w:t>
          </w:r>
        </w:p>
        <w:p w:rsidR="00000000" w:rsidDel="00000000" w:rsidP="00000000" w:rsidRDefault="00000000" w:rsidRPr="00000000" w14:paraId="0000003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r w:rsidDel="00000000" w:rsidR="00000000" w:rsidRPr="00000000">
            <w:rPr>
              <w:color w:val="696b6b"/>
              <w:sz w:val="18"/>
              <w:szCs w:val="18"/>
              <w:rtl w:val="0"/>
            </w:rPr>
            <w:t xml:space="preserve">Title</w:t>
          </w:r>
        </w:p>
        <w:p w:rsidR="00000000" w:rsidDel="00000000" w:rsidP="00000000" w:rsidRDefault="00000000" w:rsidRPr="00000000" w14:paraId="0000003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r w:rsidDel="00000000" w:rsidR="00000000" w:rsidRPr="00000000">
            <w:rPr>
              <w:color w:val="696b6b"/>
              <w:sz w:val="18"/>
              <w:szCs w:val="18"/>
              <w:rtl w:val="0"/>
            </w:rPr>
            <w:t xml:space="preserve">+1 000 000 0000</w:t>
          </w:r>
        </w:p>
        <w:p w:rsidR="00000000" w:rsidDel="00000000" w:rsidP="00000000" w:rsidRDefault="00000000" w:rsidRPr="00000000" w14:paraId="0000003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hyperlink r:id="rId1">
            <w:r w:rsidDel="00000000" w:rsidR="00000000" w:rsidRPr="00000000">
              <w:rPr>
                <w:color w:val="4472c4"/>
                <w:sz w:val="18"/>
                <w:szCs w:val="18"/>
                <w:u w:val="single"/>
                <w:rtl w:val="0"/>
              </w:rPr>
              <w:t xml:space="preserve">first.last@cushwake.com</w:t>
            </w:r>
          </w:hyperlink>
          <w:r w:rsidDel="00000000" w:rsidR="00000000" w:rsidRPr="00000000">
            <w:rPr>
              <w:color w:val="696b6b"/>
              <w:sz w:val="18"/>
              <w:szCs w:val="18"/>
              <w:rtl w:val="0"/>
            </w:rPr>
            <w:t xml:space="preserve"> </w:t>
          </w:r>
        </w:p>
      </w:tc>
      <w:tc>
        <w:tcPr>
          <w:vAlign w:val="bottom"/>
        </w:tcPr>
        <w:p w:rsidR="00000000" w:rsidDel="00000000" w:rsidP="00000000" w:rsidRDefault="00000000" w:rsidRPr="00000000" w14:paraId="0000003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43134</wp:posOffset>
          </wp:positionH>
          <wp:positionV relativeFrom="paragraph">
            <wp:posOffset>-154973</wp:posOffset>
          </wp:positionV>
          <wp:extent cx="1933575" cy="40767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3813</wp:posOffset>
          </wp:positionH>
          <wp:positionV relativeFrom="paragraph">
            <wp:posOffset>-201292</wp:posOffset>
          </wp:positionV>
          <wp:extent cx="1933575" cy="40767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00" w:lineRule="auto"/>
    </w:pPr>
    <w:rPr>
      <w:rFonts w:ascii="Calibri" w:cs="Calibri" w:eastAsia="Calibri" w:hAnsi="Calibri"/>
      <w:b w:val="1"/>
      <w:bCs w:val="1"/>
      <w:smallCaps w:val="1"/>
      <w:color w:val="008b98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cushmanwakefield.com/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media.poland@cushwake.pl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u/jH56DMit6x6R/nHQmAEwOR6Q==">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0x010100C609ED7BA2763A478EDE0130F91B5123</vt:lpwstr>
  </property>
</Properties>
</file>