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D918" w14:textId="77777777" w:rsidR="00F70A21" w:rsidRPr="00F70A21" w:rsidRDefault="00F70A21" w:rsidP="00F70A21">
      <w:pPr>
        <w:spacing w:line="276" w:lineRule="auto"/>
        <w:jc w:val="both"/>
        <w:rPr>
          <w:rFonts w:ascii="Noto Sans" w:eastAsiaTheme="minorHAnsi" w:hAnsi="Noto Sans" w:cs="Noto Sans"/>
          <w:b/>
          <w:bCs/>
          <w:sz w:val="28"/>
          <w:szCs w:val="28"/>
          <w:lang w:val="es-ES"/>
        </w:rPr>
      </w:pPr>
      <w:r w:rsidRPr="00F70A21">
        <w:rPr>
          <w:rFonts w:ascii="Noto Sans" w:hAnsi="Noto Sans" w:cs="Noto Sans"/>
          <w:b/>
          <w:bCs/>
          <w:sz w:val="28"/>
          <w:szCs w:val="28"/>
          <w:lang w:val="pt-PT"/>
        </w:rPr>
        <w:t>Como as embalagens interativas estão a transformar a saúde e a segurança na cadeia de abastecimento alimentar</w:t>
      </w:r>
    </w:p>
    <w:p w14:paraId="4C226876" w14:textId="77777777" w:rsidR="00F70A21" w:rsidRDefault="00F70A21" w:rsidP="00F70A21">
      <w:pPr>
        <w:spacing w:line="276" w:lineRule="auto"/>
        <w:jc w:val="both"/>
        <w:rPr>
          <w:rFonts w:ascii="Noto Sans" w:hAnsi="Noto Sans" w:cs="Noto Sans"/>
          <w:i/>
          <w:iCs/>
          <w:sz w:val="22"/>
          <w:lang w:val="pt-PT"/>
        </w:rPr>
      </w:pPr>
    </w:p>
    <w:p w14:paraId="5F2241F0" w14:textId="318EBE2C" w:rsidR="00F70A21" w:rsidRPr="00F70A21" w:rsidRDefault="00F70A21" w:rsidP="00F70A21">
      <w:pPr>
        <w:spacing w:line="276" w:lineRule="auto"/>
        <w:jc w:val="both"/>
        <w:rPr>
          <w:rFonts w:ascii="Noto Sans" w:hAnsi="Noto Sans" w:cs="Noto Sans"/>
          <w:i/>
          <w:iCs/>
          <w:sz w:val="22"/>
          <w:lang w:val="es-ES"/>
        </w:rPr>
      </w:pPr>
      <w:r w:rsidRPr="00F70A21">
        <w:rPr>
          <w:rFonts w:ascii="Noto Sans" w:hAnsi="Noto Sans" w:cs="Noto Sans"/>
          <w:i/>
          <w:iCs/>
          <w:sz w:val="22"/>
          <w:lang w:val="pt-PT"/>
        </w:rPr>
        <w:t xml:space="preserve">As expetativas dos consumidores em relação à saúde e segurança alimentar estão a aumentar, enquanto a tolerância ao erro está a diminuir. As recolhas de produtos, os incidentes relacionados com alergénios e os casos de contaminação acarretam hoje implicações imediatas para a saúde pública e danos reputacionais a longo prazo, podendo mesmo resultar em condenações criminais. Como resultado, os retalhistas e os fabricantes estão sob pressão crescente para executar recolhas de produtos rápidas e precisas, removendo produtos contaminados da cadeia de abastecimento antes de chegarem às mãos dos consumidores. </w:t>
      </w:r>
    </w:p>
    <w:p w14:paraId="46659CF5" w14:textId="77777777" w:rsidR="00F70A21" w:rsidRDefault="00F70A21" w:rsidP="00F70A21">
      <w:pPr>
        <w:spacing w:line="276" w:lineRule="auto"/>
        <w:jc w:val="both"/>
        <w:rPr>
          <w:rFonts w:ascii="Noto Sans" w:hAnsi="Noto Sans" w:cs="Noto Sans"/>
          <w:i/>
          <w:iCs/>
          <w:sz w:val="22"/>
          <w:lang w:val="pt-PT"/>
        </w:rPr>
      </w:pPr>
    </w:p>
    <w:p w14:paraId="40487452" w14:textId="583B026C" w:rsidR="00F70A21" w:rsidRPr="00F70A21" w:rsidRDefault="00F70A21" w:rsidP="00F70A21">
      <w:pPr>
        <w:spacing w:line="276" w:lineRule="auto"/>
        <w:jc w:val="both"/>
        <w:rPr>
          <w:rFonts w:ascii="Noto Sans" w:hAnsi="Noto Sans" w:cs="Noto Sans"/>
          <w:i/>
          <w:iCs/>
          <w:sz w:val="22"/>
          <w:lang w:val="es-ES"/>
        </w:rPr>
      </w:pPr>
      <w:r w:rsidRPr="00F70A21">
        <w:rPr>
          <w:rFonts w:ascii="Noto Sans" w:hAnsi="Noto Sans" w:cs="Noto Sans"/>
          <w:i/>
          <w:iCs/>
          <w:sz w:val="22"/>
          <w:lang w:val="pt-PT"/>
        </w:rPr>
        <w:t>Com cadeias de abastecimento cada vez mais eficientes, que deixam pouca margem para investigar problemas depois de os produtos entrarem em circulação na cadeia de abastecimento, os modelos tradicionais de segurança alimentar baseados em papel, dependentes de etiquetas estáticas e auditorias manuais, são demasiado lentos e complexos. Como explica Rachael Satchwell, Global Food Sector Manager,</w:t>
      </w:r>
      <w:r w:rsidRPr="00F70A21">
        <w:rPr>
          <w:rStyle w:val="CommentReference"/>
          <w:rFonts w:ascii="Noto Sans" w:hAnsi="Noto Sans" w:cs="Noto Sans"/>
          <w:i/>
          <w:iCs/>
          <w:sz w:val="22"/>
          <w:szCs w:val="22"/>
          <w:lang w:val="pt-PT"/>
        </w:rPr>
        <w:t xml:space="preserve"> </w:t>
      </w:r>
      <w:hyperlink r:id="rId6" w:history="1">
        <w:r w:rsidRPr="00D9678E">
          <w:rPr>
            <w:rStyle w:val="Hyperlink"/>
            <w:rFonts w:ascii="Noto Sans" w:hAnsi="Noto Sans" w:cs="Noto Sans"/>
            <w:i/>
            <w:iCs/>
            <w:sz w:val="22"/>
            <w:lang w:val="pt-PT"/>
          </w:rPr>
          <w:t>Domino Printing Sciences</w:t>
        </w:r>
      </w:hyperlink>
      <w:r w:rsidRPr="00F70A21">
        <w:rPr>
          <w:rFonts w:ascii="Noto Sans" w:hAnsi="Noto Sans" w:cs="Noto Sans"/>
          <w:i/>
          <w:iCs/>
          <w:sz w:val="22"/>
          <w:lang w:val="pt-PT"/>
        </w:rPr>
        <w:t>, quando implementados eficazmente, os códigos 2D baseados nos padrões da GS1 podem aumentar a transparência da cadeia de abastecimento, proporcionando a visibilidade em tempo real necessária para transformar a segurança alimentar de investigação reativa em prevenção proativa.</w:t>
      </w:r>
    </w:p>
    <w:p w14:paraId="03C19052" w14:textId="77777777" w:rsidR="00F70A21" w:rsidRDefault="00F70A21" w:rsidP="00F70A21">
      <w:pPr>
        <w:spacing w:line="276" w:lineRule="auto"/>
        <w:jc w:val="both"/>
        <w:rPr>
          <w:rFonts w:ascii="Noto Sans" w:hAnsi="Noto Sans" w:cs="Noto Sans"/>
          <w:b/>
          <w:bCs/>
          <w:sz w:val="22"/>
          <w:lang w:val="pt-PT"/>
        </w:rPr>
      </w:pPr>
    </w:p>
    <w:p w14:paraId="36A3495A" w14:textId="43433127" w:rsidR="00F70A21" w:rsidRPr="00F70A21" w:rsidRDefault="00F70A21" w:rsidP="00F70A21">
      <w:pPr>
        <w:spacing w:line="276" w:lineRule="auto"/>
        <w:jc w:val="both"/>
        <w:rPr>
          <w:rFonts w:ascii="Noto Sans" w:hAnsi="Noto Sans" w:cs="Noto Sans"/>
          <w:b/>
          <w:bCs/>
          <w:sz w:val="22"/>
          <w:lang w:val="es-ES"/>
        </w:rPr>
      </w:pPr>
      <w:r w:rsidRPr="00F70A21">
        <w:rPr>
          <w:rFonts w:ascii="Noto Sans" w:hAnsi="Noto Sans" w:cs="Noto Sans"/>
          <w:b/>
          <w:bCs/>
          <w:sz w:val="22"/>
          <w:lang w:val="pt-PT"/>
        </w:rPr>
        <w:t>Razões para o aumento das recolhas de alimentos</w:t>
      </w:r>
    </w:p>
    <w:p w14:paraId="718D4C2F" w14:textId="77777777" w:rsidR="00F70A21" w:rsidRDefault="00F70A21" w:rsidP="00F70A21">
      <w:pPr>
        <w:spacing w:line="276" w:lineRule="auto"/>
        <w:jc w:val="both"/>
        <w:rPr>
          <w:rFonts w:ascii="Noto Sans" w:hAnsi="Noto Sans" w:cs="Noto Sans"/>
          <w:sz w:val="22"/>
          <w:lang w:val="pt-PT"/>
        </w:rPr>
      </w:pPr>
    </w:p>
    <w:p w14:paraId="3141DA30" w14:textId="33CA4386"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 xml:space="preserve">Apesar do investimento em rastreabilidade e conformidade, as recolhas de alimentos estão </w:t>
      </w:r>
      <w:hyperlink r:id="rId7" w:history="1">
        <w:r w:rsidRPr="00F70A21">
          <w:rPr>
            <w:rStyle w:val="Hyperlink"/>
            <w:rFonts w:ascii="Noto Sans" w:hAnsi="Noto Sans" w:cs="Noto Sans"/>
            <w:sz w:val="22"/>
            <w:lang w:val="pt-PT"/>
          </w:rPr>
          <w:t>a aumentar</w:t>
        </w:r>
      </w:hyperlink>
      <w:r w:rsidRPr="00F70A21">
        <w:rPr>
          <w:rFonts w:ascii="Noto Sans" w:hAnsi="Noto Sans" w:cs="Noto Sans"/>
          <w:sz w:val="22"/>
          <w:lang w:val="pt-PT"/>
        </w:rPr>
        <w:t>, não necessariamente porque a qualidade dos alimentos tenha diminuído, mas porque as capacidades de deteção e o escrutínio regulamentar aumentaram. Uma maior sensibilização para o impacto dos ingredientes alimentares na saúde, em particular nos grupos vulneráveis, levou a requisitos de etiquetagem mais rigorosos e a uma tolerância ao erro inferior. Consequentemente, questões como informação incorreta ou inexistente sobre alergénios resultam agora em recolhas imediatas, a par de algumas causas mais tradicionais, como a contaminação por agentes patogénicos, como listéria ou salmonela, ou falhas de produção devido à deteção de plástico ou metal no produto. </w:t>
      </w:r>
    </w:p>
    <w:p w14:paraId="465C2AC5" w14:textId="77777777"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lastRenderedPageBreak/>
        <w:t>Para os fabricantes que operam sob intensa pressão nas margens de lucro, as implicações de uma recolha de alimentos podem ser devastadoras. Para além dos custos associados à perda de produtos e aos danos reputacionais, o processo de investigação exige muitos recursos e, muitas vezes, perturba a produção.</w:t>
      </w:r>
    </w:p>
    <w:p w14:paraId="17C923A5" w14:textId="77777777" w:rsidR="00F70A21" w:rsidRDefault="00F70A21" w:rsidP="00F70A21">
      <w:pPr>
        <w:spacing w:line="276" w:lineRule="auto"/>
        <w:jc w:val="both"/>
        <w:rPr>
          <w:rFonts w:ascii="Noto Sans" w:hAnsi="Noto Sans" w:cs="Noto Sans"/>
          <w:sz w:val="22"/>
          <w:lang w:val="pt-PT"/>
        </w:rPr>
      </w:pPr>
    </w:p>
    <w:p w14:paraId="58E19E68" w14:textId="54B0A57A"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Quando os produtos estão a jusante e já chegaram às prateleiras dos retalhistas, o problema agrava-se, afetando a relação entre retalhistas e fornecedores e pressionando as empresas de retalho, que enfrentam uma responsabilidade jurídica, sanitária e operacional acrescida. As recolhas de produtos minam a confiança dos consumidores, sendo que um único caso tem ramificações a longo prazo na confiança e no envolvimento.</w:t>
      </w:r>
    </w:p>
    <w:p w14:paraId="52F3DD03" w14:textId="77777777" w:rsidR="00F70A21" w:rsidRDefault="00F70A21" w:rsidP="00F70A21">
      <w:pPr>
        <w:spacing w:line="276" w:lineRule="auto"/>
        <w:jc w:val="both"/>
        <w:rPr>
          <w:rFonts w:ascii="Noto Sans" w:hAnsi="Noto Sans" w:cs="Noto Sans"/>
          <w:sz w:val="22"/>
          <w:lang w:val="pt-PT"/>
        </w:rPr>
      </w:pPr>
    </w:p>
    <w:p w14:paraId="6286E9A0" w14:textId="1A69411E"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 xml:space="preserve">Os modelos manuais tradicionais utilizados para a rastreabilidade e segurança alimentar são ferramentas pouco precisas que simplesmente não conseguem responder com rapidez suficiente para suportar os atuais modelos logísticos </w:t>
      </w:r>
      <w:r w:rsidRPr="00F70A21">
        <w:rPr>
          <w:rFonts w:ascii="Noto Sans" w:hAnsi="Noto Sans" w:cs="Noto Sans"/>
          <w:i/>
          <w:iCs/>
          <w:sz w:val="22"/>
          <w:lang w:val="pt-PT"/>
        </w:rPr>
        <w:t>just-in-time</w:t>
      </w:r>
      <w:r w:rsidRPr="00F70A21">
        <w:rPr>
          <w:rFonts w:ascii="Noto Sans" w:hAnsi="Noto Sans" w:cs="Noto Sans"/>
          <w:sz w:val="22"/>
          <w:lang w:val="pt-PT"/>
        </w:rPr>
        <w:t>. Os fabricantes que ainda dependem de auditorias em papel, etiquetas estáticas e investigações manuais são muitas vezes obrigados a efetuar recolhas em grande escala, mesmo que apenas um pequeno lote esteja contaminado ou mal etiquetado. Sem a profundidade das informações específicas e a rapidez de recuperação necessárias para identificar os produtos afetados, agir rapidamente e minimizar a exposição, os custos e as implicações para a reputação dos fabricantes e retalhistas são significativos.</w:t>
      </w:r>
    </w:p>
    <w:p w14:paraId="760B8759" w14:textId="77777777" w:rsidR="00F70A21" w:rsidRDefault="00F70A21" w:rsidP="00F70A21">
      <w:pPr>
        <w:spacing w:line="276" w:lineRule="auto"/>
        <w:jc w:val="both"/>
        <w:rPr>
          <w:rFonts w:ascii="Noto Sans" w:hAnsi="Noto Sans" w:cs="Noto Sans"/>
          <w:b/>
          <w:bCs/>
          <w:sz w:val="22"/>
          <w:lang w:val="pt-PT"/>
        </w:rPr>
      </w:pPr>
    </w:p>
    <w:p w14:paraId="6CBD83E7" w14:textId="70729002" w:rsidR="00F70A21" w:rsidRPr="00F70A21" w:rsidRDefault="00F70A21" w:rsidP="00F70A21">
      <w:pPr>
        <w:spacing w:line="276" w:lineRule="auto"/>
        <w:jc w:val="both"/>
        <w:rPr>
          <w:rFonts w:ascii="Noto Sans" w:hAnsi="Noto Sans" w:cs="Noto Sans"/>
          <w:b/>
          <w:bCs/>
          <w:sz w:val="22"/>
          <w:lang w:val="es-ES"/>
        </w:rPr>
      </w:pPr>
      <w:r w:rsidRPr="00F70A21">
        <w:rPr>
          <w:rFonts w:ascii="Noto Sans" w:hAnsi="Noto Sans" w:cs="Noto Sans"/>
          <w:b/>
          <w:bCs/>
          <w:sz w:val="22"/>
          <w:lang w:val="pt-PT"/>
        </w:rPr>
        <w:t>Incorporar segurança: Como os códigos 2D minimizam os erros na origem</w:t>
      </w:r>
    </w:p>
    <w:p w14:paraId="442C392D" w14:textId="77777777" w:rsidR="00F70A21" w:rsidRDefault="00F70A21" w:rsidP="00F70A21">
      <w:pPr>
        <w:spacing w:line="276" w:lineRule="auto"/>
        <w:jc w:val="both"/>
        <w:rPr>
          <w:rFonts w:ascii="Noto Sans" w:hAnsi="Noto Sans" w:cs="Noto Sans"/>
          <w:sz w:val="22"/>
          <w:lang w:val="pt-PT"/>
        </w:rPr>
      </w:pPr>
    </w:p>
    <w:p w14:paraId="3D7A1A85" w14:textId="33544D74"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Os códigos 2D baseados nos padrões da GS1 estão a mudar rapidamente o panorama dos produtores e retalhistas de alimentos. Ao contrário dos códigos de barras lineares tradicionais que transportam uma única informação, os códigos de barras 2D atuam como gateways inteligentes conectados que ligam cada produto individual e lote a dados estruturados em tempo real. Ainda mais convincente do ponto de vista da segurança alimentar é o facto de a informação poder ser acedida de forma diferente consoante a localização do produto e a função da pessoa que lê o código, alargando o âmbito da informação sobre segurança alimentar ao longo de toda a cadeia de abastecimento, desde o fabrico até à pós-compra.</w:t>
      </w:r>
    </w:p>
    <w:p w14:paraId="0D539ED4" w14:textId="77777777" w:rsidR="00F70A21" w:rsidRDefault="00F70A21" w:rsidP="00F70A21">
      <w:pPr>
        <w:spacing w:line="276" w:lineRule="auto"/>
        <w:jc w:val="both"/>
        <w:rPr>
          <w:rFonts w:ascii="Noto Sans" w:hAnsi="Noto Sans" w:cs="Noto Sans"/>
          <w:sz w:val="22"/>
          <w:lang w:val="pt-PT"/>
        </w:rPr>
      </w:pPr>
    </w:p>
    <w:p w14:paraId="105845D9" w14:textId="6F9A4B9C"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 xml:space="preserve">Para os fabricantes, a utilização de códigos 2D integra a segurança nos processos de produção existentes. Os códigos 2D que permitem o acesso a informações ao nível do </w:t>
      </w:r>
      <w:r w:rsidRPr="00F70A21">
        <w:rPr>
          <w:rFonts w:ascii="Noto Sans" w:hAnsi="Noto Sans" w:cs="Noto Sans"/>
          <w:sz w:val="22"/>
          <w:lang w:val="pt-PT"/>
        </w:rPr>
        <w:lastRenderedPageBreak/>
        <w:t>lote podem ser automaticamente lidos na entrada de mercadorias e durante o fabrico, apoiando processos de deteção de falhas cada vez mais robustos. As verificações mais precoces e frequentes garantem que os problemas podem ser destacados, avaliados e isolados a montante, antes mesmo de os produtos saírem da fábrica. Além de reduzir o risco de os produtos chegarem aos pontos de venda a retalho ou, pior ainda, às mãos dos consumidores, a verificação contínua melhora a prontidão da identificação de erros, minimizando o volume de produtos afetados.</w:t>
      </w:r>
    </w:p>
    <w:p w14:paraId="29CE8927" w14:textId="77777777" w:rsidR="00F70A21" w:rsidRDefault="00F70A21" w:rsidP="00F70A21">
      <w:pPr>
        <w:spacing w:line="276" w:lineRule="auto"/>
        <w:jc w:val="both"/>
        <w:rPr>
          <w:rFonts w:ascii="Noto Sans" w:hAnsi="Noto Sans" w:cs="Noto Sans"/>
          <w:sz w:val="22"/>
          <w:lang w:val="pt-PT"/>
        </w:rPr>
      </w:pPr>
    </w:p>
    <w:p w14:paraId="257C4E08" w14:textId="5C00E7EE"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A precisão melhorada dos dados proporciona o registo de auditoria robusto necessário numa era de maior sensibilização para a segurança. A verificação automatizada limita a exposição da empresa à contaminação e ao erro de produção, minimizando as dispendiosas interrupções e o desperdício de produtos, ao mesmo tempo que dá aos fabricantes e proprietários de marcas uma maior confiança na integridade dos seus dados, reforçando a confiança dos consumidores e protegendo a reputação da marca.</w:t>
      </w:r>
    </w:p>
    <w:p w14:paraId="396D7D9C" w14:textId="77777777" w:rsidR="00F70A21" w:rsidRDefault="00F70A21" w:rsidP="00F70A21">
      <w:pPr>
        <w:spacing w:line="276" w:lineRule="auto"/>
        <w:jc w:val="both"/>
        <w:rPr>
          <w:rFonts w:ascii="Noto Sans" w:hAnsi="Noto Sans" w:cs="Noto Sans"/>
          <w:b/>
          <w:bCs/>
          <w:sz w:val="22"/>
          <w:lang w:val="pt-PT"/>
        </w:rPr>
      </w:pPr>
    </w:p>
    <w:p w14:paraId="2CCA453A" w14:textId="73706206" w:rsidR="00F70A21" w:rsidRPr="00F70A21" w:rsidRDefault="00F70A21" w:rsidP="00F70A21">
      <w:pPr>
        <w:spacing w:line="276" w:lineRule="auto"/>
        <w:jc w:val="both"/>
        <w:rPr>
          <w:rFonts w:ascii="Noto Sans" w:hAnsi="Noto Sans" w:cs="Noto Sans"/>
          <w:b/>
          <w:bCs/>
          <w:sz w:val="22"/>
          <w:lang w:val="es-ES"/>
        </w:rPr>
      </w:pPr>
      <w:r w:rsidRPr="00F70A21">
        <w:rPr>
          <w:rFonts w:ascii="Noto Sans" w:hAnsi="Noto Sans" w:cs="Noto Sans"/>
          <w:b/>
          <w:bCs/>
          <w:sz w:val="22"/>
          <w:lang w:val="pt-PT"/>
        </w:rPr>
        <w:t>Melhorar a conformidade no ponto de venda através de embalagens interativas</w:t>
      </w:r>
    </w:p>
    <w:p w14:paraId="078D259C" w14:textId="77777777" w:rsidR="00F70A21" w:rsidRDefault="00F70A21" w:rsidP="00F70A21">
      <w:pPr>
        <w:spacing w:line="276" w:lineRule="auto"/>
        <w:jc w:val="both"/>
        <w:rPr>
          <w:rFonts w:ascii="Noto Sans" w:hAnsi="Noto Sans" w:cs="Noto Sans"/>
          <w:sz w:val="22"/>
          <w:lang w:val="pt-PT"/>
        </w:rPr>
      </w:pPr>
    </w:p>
    <w:p w14:paraId="66CE7E03" w14:textId="3878A636"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Mesmo com controlos de produção melhorados para reduzir as recolhas de produtos, os retalhistas continuam a enfrentar riscos de rotina relacionados com produtos desatualizados e gestão de recolhas em tempo real. Os códigos 2D baseados nos padrões da GS1 oferecem uma nova salvaguarda, por exemplo, para garantir que qualquer produto expirado lido no ponto de venda seja imediatamente assinalado como impróprio para consumo, evitando a venda acidental. O mesmo processo pode ser utilizado se tiver sido efetuada uma recolha de produtos; a sinalização do produto durante a verificação no ponto de venda melhora a conformidade legal e reduz o risco para o consumidor.</w:t>
      </w:r>
    </w:p>
    <w:p w14:paraId="0FFB0C76" w14:textId="77777777" w:rsidR="00F70A21" w:rsidRDefault="00F70A21" w:rsidP="00F70A21">
      <w:pPr>
        <w:spacing w:line="276" w:lineRule="auto"/>
        <w:jc w:val="both"/>
        <w:rPr>
          <w:rFonts w:ascii="Noto Sans" w:hAnsi="Noto Sans" w:cs="Noto Sans"/>
          <w:sz w:val="22"/>
          <w:lang w:val="pt-PT"/>
        </w:rPr>
      </w:pPr>
    </w:p>
    <w:p w14:paraId="1AC51EEC" w14:textId="4CE889CB"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 xml:space="preserve">Os códigos 2D que contêm ou estão ligados a informações ao nível do lote garantem que apenas os produtos afetados são retirados da venda, em vez de toda uma gama de produtos. Esta rastreabilidade precisa reduz significativamente o tempo que os retalhistas demoram a retirar manualmente os produtos da prateleira e a tratar da eliminação/devolução ao fabricante. Os retalhistas podem também tirar partido das funcionalidades possibilitadas pelos códigos 2D, incluindo o acesso a informações mais detalhadas e precisas na fase em que os produtos estão expostos, para adotarem estratégias de desconto muito mais sofisticadas antes das datas de validade. As reduções incrementais iniciais podem minimizar a possibilidade de ficar com produtos </w:t>
      </w:r>
      <w:r w:rsidRPr="00F70A21">
        <w:rPr>
          <w:rFonts w:ascii="Noto Sans" w:hAnsi="Noto Sans" w:cs="Noto Sans"/>
          <w:sz w:val="22"/>
          <w:lang w:val="pt-PT"/>
        </w:rPr>
        <w:lastRenderedPageBreak/>
        <w:t>não vendidos, reduzindo tanto o desperdício de produtos como as despesas de eliminação de resíduos.</w:t>
      </w:r>
    </w:p>
    <w:p w14:paraId="518AF1EA" w14:textId="77777777" w:rsidR="00F70A21" w:rsidRDefault="00F70A21" w:rsidP="00F70A21">
      <w:pPr>
        <w:spacing w:line="276" w:lineRule="auto"/>
        <w:jc w:val="both"/>
        <w:rPr>
          <w:rFonts w:ascii="Noto Sans" w:hAnsi="Noto Sans" w:cs="Noto Sans"/>
          <w:sz w:val="22"/>
          <w:lang w:val="pt-PT"/>
        </w:rPr>
      </w:pPr>
    </w:p>
    <w:p w14:paraId="173FF172" w14:textId="2D19CAEF"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 xml:space="preserve">Os dados dinâmicos contidos nos códigos 2D também proporcionam às marcas e aos retalhistas uma nova oportunidade de criar envolvimento do consumidor através do fornecimento de informações oportunas, específicas e fáceis de compreender sobre saúde e segurança durante a experiência de compra. </w:t>
      </w:r>
    </w:p>
    <w:p w14:paraId="00FF5563" w14:textId="77777777" w:rsidR="00F70A21" w:rsidRDefault="00F70A21" w:rsidP="00F70A21">
      <w:pPr>
        <w:spacing w:line="276" w:lineRule="auto"/>
        <w:jc w:val="both"/>
        <w:rPr>
          <w:rFonts w:ascii="Noto Sans" w:hAnsi="Noto Sans" w:cs="Noto Sans"/>
          <w:b/>
          <w:bCs/>
          <w:sz w:val="22"/>
          <w:lang w:val="pt-PT"/>
        </w:rPr>
      </w:pPr>
    </w:p>
    <w:p w14:paraId="0B1E4E40" w14:textId="5A6F7599" w:rsidR="00F70A21" w:rsidRPr="00F70A21" w:rsidRDefault="00F70A21" w:rsidP="00F70A21">
      <w:pPr>
        <w:spacing w:line="276" w:lineRule="auto"/>
        <w:jc w:val="both"/>
        <w:rPr>
          <w:rFonts w:ascii="Noto Sans" w:hAnsi="Noto Sans" w:cs="Noto Sans"/>
          <w:b/>
          <w:bCs/>
          <w:sz w:val="22"/>
          <w:lang w:val="es-ES"/>
        </w:rPr>
      </w:pPr>
      <w:r w:rsidRPr="00F70A21">
        <w:rPr>
          <w:rFonts w:ascii="Noto Sans" w:hAnsi="Noto Sans" w:cs="Noto Sans"/>
          <w:b/>
          <w:bCs/>
          <w:sz w:val="22"/>
          <w:lang w:val="pt-PT"/>
        </w:rPr>
        <w:t>Reforçar a confiança dos consumidores após a compra</w:t>
      </w:r>
    </w:p>
    <w:p w14:paraId="40E5B4C2" w14:textId="77777777" w:rsidR="00F70A21" w:rsidRDefault="00F70A21" w:rsidP="00F70A21">
      <w:pPr>
        <w:spacing w:line="276" w:lineRule="auto"/>
        <w:jc w:val="both"/>
        <w:rPr>
          <w:rFonts w:ascii="Noto Sans" w:hAnsi="Noto Sans" w:cs="Noto Sans"/>
          <w:sz w:val="22"/>
          <w:lang w:val="pt-PT"/>
        </w:rPr>
      </w:pPr>
    </w:p>
    <w:p w14:paraId="24ACAAB1" w14:textId="5E7B7288"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O envolvimento do consumidor antes da compra pode ser alargado à experiência do consumidor após a compra. Os consumidores vulneráveis são protegidos durante todo o período de utilização do produto, com informações sobre alergénios atualizadas de acordo com a evolução da regulamentação. Os consumidores podem verificar os requisitos de reciclagem dos produtos, apoiando melhores resultados ambientais. É fundamental que, caso seja necessária uma recolha de produto, a natureza dinâmica das informações contidas nos códigos 2D permita tranquilizar os consumidores quanto a saber se o seu produto específico está afetado, reduzindo o pânico e evitando devoluções generalizadas desnecessárias.</w:t>
      </w:r>
    </w:p>
    <w:p w14:paraId="06CB39EC" w14:textId="77777777" w:rsidR="00F70A21" w:rsidRDefault="00F70A21" w:rsidP="00F70A21">
      <w:pPr>
        <w:spacing w:line="276" w:lineRule="auto"/>
        <w:jc w:val="both"/>
        <w:rPr>
          <w:rFonts w:ascii="Noto Sans" w:hAnsi="Noto Sans" w:cs="Noto Sans"/>
          <w:sz w:val="22"/>
          <w:lang w:val="pt-PT"/>
        </w:rPr>
      </w:pPr>
    </w:p>
    <w:p w14:paraId="0F1D200C" w14:textId="47544441"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 xml:space="preserve">Ao alargar o conhecimento do consumidor após a compra, as marcas podem criar uma maior confiança. Para além das informações regulamentares obrigatórias relativas a alergénios e reciclagem, as marcas podem acrescentar informações para aumentar a segurança geral do consumidor. As orientações sobre o armazenamento seguro, como requisitos de refrigeração ou a duração recomendada de congelação, também podem reforçar o envolvimento e a confiança dos consumidores. É fundamental que a informação seja específica. Com a transparência proporcionada pelos códigos 2D, as marcas podem abandonar mensagens genéricas e adotar uma abordagem mais personalizada e centrada na segurança, que seja específica não apenas ao produto, mas também ao lote. </w:t>
      </w:r>
    </w:p>
    <w:p w14:paraId="0556A48A" w14:textId="77777777" w:rsidR="00F70A21" w:rsidRDefault="00F70A21" w:rsidP="00F70A21">
      <w:pPr>
        <w:spacing w:line="276" w:lineRule="auto"/>
        <w:jc w:val="both"/>
        <w:rPr>
          <w:rFonts w:ascii="Noto Sans" w:hAnsi="Noto Sans" w:cs="Noto Sans"/>
          <w:b/>
          <w:bCs/>
          <w:sz w:val="22"/>
          <w:lang w:val="pt-PT"/>
        </w:rPr>
      </w:pPr>
    </w:p>
    <w:p w14:paraId="6B63145E" w14:textId="3D79D113" w:rsidR="00F70A21" w:rsidRPr="00F70A21" w:rsidRDefault="00F70A21" w:rsidP="00F70A21">
      <w:pPr>
        <w:spacing w:line="276" w:lineRule="auto"/>
        <w:jc w:val="both"/>
        <w:rPr>
          <w:rFonts w:ascii="Noto Sans" w:hAnsi="Noto Sans" w:cs="Noto Sans"/>
          <w:b/>
          <w:bCs/>
          <w:sz w:val="22"/>
          <w:lang w:val="es-ES"/>
        </w:rPr>
      </w:pPr>
      <w:r w:rsidRPr="00F70A21">
        <w:rPr>
          <w:rFonts w:ascii="Noto Sans" w:hAnsi="Noto Sans" w:cs="Noto Sans"/>
          <w:b/>
          <w:bCs/>
          <w:sz w:val="22"/>
          <w:lang w:val="pt-PT"/>
        </w:rPr>
        <w:t>Um futuro mais inteligente para a transparência da cadeia de abastecimento alimentar</w:t>
      </w:r>
    </w:p>
    <w:p w14:paraId="7123B80E" w14:textId="77777777" w:rsidR="00F70A21" w:rsidRDefault="00F70A21" w:rsidP="00F70A21">
      <w:pPr>
        <w:spacing w:line="276" w:lineRule="auto"/>
        <w:jc w:val="both"/>
        <w:rPr>
          <w:rFonts w:ascii="Noto Sans" w:hAnsi="Noto Sans" w:cs="Noto Sans"/>
          <w:sz w:val="22"/>
          <w:lang w:val="pt-PT"/>
        </w:rPr>
      </w:pPr>
    </w:p>
    <w:p w14:paraId="53115A33" w14:textId="67F3056B"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 xml:space="preserve">A segurança alimentar já não se resume a provar o que correu mal depois de uma ocorrência. Com um único código que permite uma visão granular para fabricantes, </w:t>
      </w:r>
      <w:r w:rsidRPr="00F70A21">
        <w:rPr>
          <w:rFonts w:ascii="Noto Sans" w:hAnsi="Noto Sans" w:cs="Noto Sans"/>
          <w:sz w:val="22"/>
          <w:lang w:val="pt-PT"/>
        </w:rPr>
        <w:lastRenderedPageBreak/>
        <w:t xml:space="preserve">retalhistas e consumidores, os códigos 2D baseados nos padrões da GS1 podem transformar a forma como a segurança alimentar é gerida desde a criação até à eliminação. Para os fabricantes, uma melhor rastreabilidade minimiza o risco de recolha de produtos e limita as recolhas a lotes específicos. Para os retalhistas, os códigos dinâmicos podem reduzir o risco de venda de produtos fora de prazo e permitir descontos inteligentes para reduzir o desperdício. Para os consumidores, os códigos 2D fornecem uma base para informações personalizadas sobre saúde e segurança para melhorar a compreensão e o envolvimento. </w:t>
      </w:r>
    </w:p>
    <w:p w14:paraId="2548026F" w14:textId="77777777" w:rsidR="00F70A21" w:rsidRDefault="00F70A21" w:rsidP="00F70A21">
      <w:pPr>
        <w:spacing w:line="276" w:lineRule="auto"/>
        <w:jc w:val="both"/>
        <w:rPr>
          <w:rFonts w:ascii="Noto Sans" w:hAnsi="Noto Sans" w:cs="Noto Sans"/>
          <w:sz w:val="22"/>
          <w:lang w:val="pt-PT"/>
        </w:rPr>
      </w:pPr>
    </w:p>
    <w:p w14:paraId="5BBE40B3" w14:textId="0258D74B" w:rsidR="00F70A21" w:rsidRPr="00F70A21" w:rsidRDefault="00F70A21" w:rsidP="00F70A21">
      <w:pPr>
        <w:spacing w:line="276" w:lineRule="auto"/>
        <w:jc w:val="both"/>
        <w:rPr>
          <w:rFonts w:ascii="Noto Sans" w:hAnsi="Noto Sans" w:cs="Noto Sans"/>
          <w:sz w:val="22"/>
          <w:lang w:val="es-ES"/>
        </w:rPr>
      </w:pPr>
      <w:r w:rsidRPr="00F70A21">
        <w:rPr>
          <w:rFonts w:ascii="Noto Sans" w:hAnsi="Noto Sans" w:cs="Noto Sans"/>
          <w:sz w:val="22"/>
          <w:lang w:val="pt-PT"/>
        </w:rPr>
        <w:t xml:space="preserve">Ao criarem uma visão partilhada e em tempo real de dados precisos sobre o produto, os códigos 2D criam confiança em todos os pontos onde as decisões são tomadas, desde o chão de fábrica até ao ponto de venda e à casa do consumidor, incorporando confiança em todo o sistema alimentar, ao mesmo tempo que melhoram a rastreabilidade, a segurança e a sustentabilidade. </w:t>
      </w:r>
    </w:p>
    <w:p w14:paraId="3DF922B0" w14:textId="77777777" w:rsidR="00F70A21" w:rsidRDefault="00F70A21" w:rsidP="00F70A21">
      <w:pPr>
        <w:spacing w:line="276" w:lineRule="auto"/>
        <w:jc w:val="both"/>
        <w:rPr>
          <w:rFonts w:ascii="Noto Sans" w:hAnsi="Noto Sans" w:cs="Noto Sans"/>
          <w:sz w:val="22"/>
          <w:lang w:val="pt-PT"/>
        </w:rPr>
      </w:pPr>
    </w:p>
    <w:p w14:paraId="2CC4FBA1" w14:textId="4105FA69" w:rsidR="00F70A21" w:rsidRDefault="00F70A21" w:rsidP="00F70A21">
      <w:pPr>
        <w:spacing w:line="276" w:lineRule="auto"/>
        <w:jc w:val="both"/>
        <w:rPr>
          <w:rFonts w:ascii="Noto Sans" w:hAnsi="Noto Sans" w:cs="Noto Sans"/>
          <w:sz w:val="22"/>
          <w:lang w:val="pt-PT"/>
        </w:rPr>
      </w:pPr>
      <w:r>
        <w:rPr>
          <w:rFonts w:ascii="Noto Sans" w:hAnsi="Noto Sans" w:cs="Noto Sans"/>
          <w:sz w:val="22"/>
          <w:lang w:val="pt-PT"/>
        </w:rPr>
        <w:t>&lt;</w:t>
      </w:r>
      <w:r w:rsidRPr="00F70A21">
        <w:rPr>
          <w:rFonts w:ascii="Noto Sans" w:hAnsi="Noto Sans" w:cs="Noto Sans"/>
          <w:b/>
          <w:bCs/>
          <w:sz w:val="22"/>
          <w:lang w:val="pt-PT"/>
        </w:rPr>
        <w:t>FIM</w:t>
      </w:r>
      <w:r>
        <w:rPr>
          <w:rFonts w:ascii="Noto Sans" w:hAnsi="Noto Sans" w:cs="Noto Sans"/>
          <w:sz w:val="22"/>
          <w:lang w:val="pt-PT"/>
        </w:rPr>
        <w:t>&gt;</w:t>
      </w:r>
    </w:p>
    <w:p w14:paraId="3154B071" w14:textId="77777777" w:rsidR="00F70A21" w:rsidRDefault="00F70A21" w:rsidP="00F70A21">
      <w:pPr>
        <w:spacing w:line="276" w:lineRule="auto"/>
        <w:jc w:val="both"/>
        <w:rPr>
          <w:rFonts w:ascii="Noto Sans" w:hAnsi="Noto Sans" w:cs="Noto Sans"/>
          <w:sz w:val="22"/>
          <w:lang w:val="pt-PT"/>
        </w:rPr>
      </w:pPr>
    </w:p>
    <w:p w14:paraId="54170417" w14:textId="77777777" w:rsidR="00F70A21" w:rsidRPr="002B23C7" w:rsidRDefault="00F70A21" w:rsidP="00F70A21">
      <w:pPr>
        <w:spacing w:line="240" w:lineRule="auto"/>
        <w:rPr>
          <w:rFonts w:ascii="Noto Sans" w:eastAsiaTheme="minorHAnsi" w:hAnsi="Noto Sans" w:cs="Noto Sans"/>
          <w:sz w:val="22"/>
          <w:lang w:val="pt-PT"/>
        </w:rPr>
      </w:pPr>
      <w:bookmarkStart w:id="0" w:name="_Hlk531088985"/>
      <w:r w:rsidRPr="002856FD">
        <w:rPr>
          <w:rFonts w:ascii="Noto Sans" w:hAnsi="Noto Sans" w:cs="Noto Sans"/>
          <w:b/>
          <w:bCs/>
          <w:sz w:val="20"/>
          <w:szCs w:val="20"/>
          <w:lang w:val="pt"/>
        </w:rPr>
        <w:t>Isenção de responsabilidade</w:t>
      </w:r>
      <w:bookmarkEnd w:id="0"/>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Tintas</w:t>
      </w:r>
      <w:r w:rsidRPr="002856FD">
        <w:rPr>
          <w:rFonts w:ascii="Noto Sans" w:hAnsi="Noto Sans" w:cs="Noto Sans"/>
          <w:sz w:val="20"/>
          <w:szCs w:val="20"/>
          <w:lang w:val="pt"/>
        </w:rPr>
        <w:br/>
        <w:t xml:space="preserve">As informações que se encontram no presente documento não devem substituir a realização dos testes adequados às suas circunstâncias e usos específicos. A Domino Portugal – Tecnologias de Codificação, S.A. e as empresas do grupo Domino não serão, de forma alguma, responsáveis por qualquer tipo de confiança depositada neste documento em relação à adequação de qualquer uma das nossas tintas à sua aplicação em particular. O presente documento não faz parte de quaisquer termos e condições celebrados entre si e a Domino Portugal. Exclusões de responsabilidade v.1.0 Fevereiro 2018. Os Termos e Condições de venda da Domino, em particular as garantias e responsabilidades presentes nos mesmos, dever-se-ão aplicar a qualquer uma das suas compras de produtos. </w:t>
      </w:r>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Geral</w:t>
      </w:r>
      <w:r w:rsidRPr="002856FD">
        <w:rPr>
          <w:rFonts w:ascii="Noto Sans" w:hAnsi="Noto Sans" w:cs="Noto Sans"/>
          <w:sz w:val="20"/>
          <w:szCs w:val="20"/>
          <w:lang w:val="pt"/>
        </w:rPr>
        <w:br/>
        <w:t xml:space="preserve">As informações constantes no presente comunicado de imprensa são consideradas verdadeiras e corretas à data da publicação pela Domino. Qualquer alteração verificada após a data da publicação pode afetar a exatidão destas informações. Todos os valores em termos de desempenho e alegações citados no presente documento foram obtidos sob condições específicas e apenas poderão ser repetidos sob condições semelhantes. Para obter detalhes específicos do produto, deve entrar em contacto com o seu Account Manager da Domino Portugal. O presente documento não faz parte de quaisquer termos e condições celebrados entre si e a Domino Portugal. </w:t>
      </w:r>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Imagens</w:t>
      </w:r>
      <w:r w:rsidRPr="002856FD">
        <w:rPr>
          <w:rFonts w:ascii="Noto Sans" w:hAnsi="Noto Sans" w:cs="Noto Sans"/>
          <w:sz w:val="20"/>
          <w:szCs w:val="20"/>
          <w:lang w:val="pt"/>
        </w:rPr>
        <w:br/>
      </w:r>
      <w:r w:rsidRPr="002856FD">
        <w:rPr>
          <w:rFonts w:ascii="Noto Sans" w:hAnsi="Noto Sans" w:cs="Noto Sans"/>
          <w:sz w:val="20"/>
          <w:szCs w:val="20"/>
          <w:lang w:val="pt"/>
        </w:rPr>
        <w:lastRenderedPageBreak/>
        <w:t xml:space="preserve">As imagens podem incluir melhorias ou extras opcionais. A qualidade de impressão pode variar de acordo com os consumíveis, o equipamento, a superfície e outros fatores. As imagens e fotografias não fazem parte de quaisquer termos e condições celebrados entre si e a Domino Portugal. </w:t>
      </w:r>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Vídeos</w:t>
      </w:r>
      <w:r w:rsidRPr="002856FD">
        <w:rPr>
          <w:rFonts w:ascii="Noto Sans" w:hAnsi="Noto Sans" w:cs="Noto Sans"/>
          <w:sz w:val="20"/>
          <w:szCs w:val="20"/>
          <w:lang w:val="pt"/>
        </w:rPr>
        <w:b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Domino Portugal.</w:t>
      </w:r>
      <w:r w:rsidRPr="002856FD">
        <w:rPr>
          <w:rFonts w:ascii="Noto Sans" w:eastAsia="Gill Sans" w:hAnsi="Noto Sans" w:cs="Noto Sans"/>
          <w:sz w:val="20"/>
          <w:szCs w:val="20"/>
          <w:lang w:val="es-ES"/>
        </w:rPr>
        <w:br/>
      </w:r>
      <w:r w:rsidRPr="002E0B38">
        <w:rPr>
          <w:rFonts w:ascii="Noto Sans" w:eastAsia="Gill Sans" w:hAnsi="Noto Sans" w:cs="Noto Sans"/>
          <w:b/>
          <w:sz w:val="20"/>
          <w:szCs w:val="20"/>
          <w:lang w:val="es-ES"/>
        </w:rPr>
        <w:br/>
      </w:r>
      <w:r w:rsidRPr="002E0B38">
        <w:rPr>
          <w:rFonts w:ascii="Noto Sans" w:eastAsia="Gill Sans" w:hAnsi="Noto Sans" w:cs="Noto Sans"/>
          <w:b/>
          <w:bCs/>
          <w:sz w:val="20"/>
          <w:szCs w:val="20"/>
          <w:lang w:val="pt-PT"/>
        </w:rPr>
        <w:t>Notas para os editores:</w:t>
      </w:r>
      <w:r w:rsidRPr="002E0B38">
        <w:rPr>
          <w:rFonts w:ascii="Noto Sans" w:eastAsia="Gill Sans" w:hAnsi="Noto Sans" w:cs="Noto Sans"/>
          <w:b/>
          <w:sz w:val="20"/>
          <w:szCs w:val="20"/>
          <w:lang w:val="es-ES"/>
        </w:rPr>
        <w:br/>
      </w:r>
      <w:r w:rsidRPr="002E0B38">
        <w:rPr>
          <w:rFonts w:ascii="Noto Sans" w:eastAsia="Gill Sans" w:hAnsi="Noto Sans" w:cs="Noto Sans"/>
          <w:sz w:val="20"/>
          <w:szCs w:val="20"/>
          <w:lang w:val="es-ES"/>
        </w:rPr>
        <w:br/>
      </w:r>
      <w:r w:rsidRPr="002856FD">
        <w:rPr>
          <w:rFonts w:ascii="Noto Sans" w:hAnsi="Noto Sans" w:cs="Noto Sans"/>
          <w:b/>
          <w:bCs/>
          <w:color w:val="000000" w:themeColor="text1"/>
          <w:sz w:val="20"/>
          <w:szCs w:val="20"/>
          <w:lang w:val="pt"/>
        </w:rPr>
        <w:t>Acerca da Domino</w:t>
      </w:r>
      <w:r>
        <w:rPr>
          <w:rFonts w:ascii="Noto Sans" w:hAnsi="Noto Sans" w:cs="Noto Sans"/>
          <w:b/>
          <w:bCs/>
          <w:color w:val="000000" w:themeColor="text1"/>
          <w:sz w:val="20"/>
          <w:szCs w:val="20"/>
          <w:lang w:val="pt"/>
        </w:rPr>
        <w:br/>
      </w:r>
      <w:r w:rsidRPr="002856FD">
        <w:rPr>
          <w:rFonts w:ascii="Noto Sans" w:hAnsi="Noto Sans" w:cs="Noto Sans"/>
          <w:sz w:val="20"/>
          <w:szCs w:val="20"/>
          <w:lang w:val="pt"/>
        </w:rPr>
        <w:t xml:space="preserve">Desde 1978, a Domino Printing Sciences (Domino) estabeleceu uma reputação global relativamente ao desenvolvimento e fabrico de tecnologias de codificação, marcação e impressão, revelando um idêntico prestígio nos seus produtos de pós-venda e de apoio ao cliente a nível mundial. Atualmente, a Domino oferece uma das mais abrangentes gamas de soluções de codificação, desenvolvidas com o objetivo de satisfazer os requisitos de conformidade e produtividade dos fabricantes em inúmeros setores, incluindo bebidas, produtos alimentares, farmacêuticos e industriais. As principais tecnologias da empresa incluem sistemas inovadores de impressão a jato de tinta, impressão a laser, impressão e aplicação, e impressão por transferência térmica desenvolvidos para a aplicação de dados variáveis, códigos de barras e códigos de rastreabilidade exclusivos em produtos e embalagens. </w:t>
      </w:r>
      <w:r w:rsidRPr="002856FD">
        <w:rPr>
          <w:rFonts w:ascii="Noto Sans" w:hAnsi="Noto Sans" w:cs="Noto Sans"/>
          <w:sz w:val="20"/>
          <w:szCs w:val="20"/>
          <w:lang w:val="pt"/>
        </w:rPr>
        <w:br/>
      </w:r>
      <w:r w:rsidRPr="002856FD">
        <w:rPr>
          <w:rFonts w:ascii="Noto Sans" w:hAnsi="Noto Sans" w:cs="Noto Sans"/>
          <w:sz w:val="20"/>
          <w:szCs w:val="20"/>
          <w:lang w:val="pt"/>
        </w:rPr>
        <w:br/>
        <w:t>A Domino emprega mais de 3 000 pessoas em todo o mundo e comercializa para mais de 120 países através de uma rede global de 29 filiais e mais de 200 distribuidores. As instalações de fabrico da Domino localizam-se na Alemanha, China, EUA, Índia, Reino Unido, Suécia e Suíça.</w:t>
      </w:r>
      <w:r w:rsidRPr="002856FD">
        <w:rPr>
          <w:rFonts w:ascii="Noto Sans" w:hAnsi="Noto Sans" w:cs="Noto Sans"/>
          <w:sz w:val="20"/>
          <w:szCs w:val="20"/>
          <w:lang w:val="pt"/>
        </w:rPr>
        <w:br/>
      </w:r>
      <w:r w:rsidRPr="002856FD">
        <w:rPr>
          <w:rFonts w:ascii="Noto Sans" w:hAnsi="Noto Sans" w:cs="Noto Sans"/>
          <w:sz w:val="20"/>
          <w:szCs w:val="20"/>
          <w:lang w:val="pt"/>
        </w:rPr>
        <w:br/>
        <w:t xml:space="preserve">A Domino tornou-se uma divisão independente da Brother Industries Ltd. a 11 de junho de 2015. </w:t>
      </w:r>
      <w:r w:rsidRPr="002856FD">
        <w:rPr>
          <w:rFonts w:ascii="Noto Sans" w:hAnsi="Noto Sans" w:cs="Noto Sans"/>
          <w:sz w:val="20"/>
          <w:szCs w:val="20"/>
          <w:lang w:val="pt"/>
        </w:rPr>
        <w:br/>
      </w:r>
      <w:r w:rsidRPr="002856FD">
        <w:rPr>
          <w:rFonts w:ascii="Noto Sans" w:hAnsi="Noto Sans" w:cs="Noto Sans"/>
          <w:sz w:val="20"/>
          <w:szCs w:val="20"/>
          <w:lang w:val="pt"/>
        </w:rPr>
        <w:br/>
        <w:t>Para obter mais informações sobre a Domino,</w:t>
      </w:r>
      <w:r w:rsidRPr="002856FD">
        <w:rPr>
          <w:rFonts w:ascii="Noto Sans" w:hAnsi="Noto Sans" w:cs="Noto Sans"/>
          <w:sz w:val="20"/>
          <w:szCs w:val="20"/>
          <w:lang w:val="pt"/>
        </w:rPr>
        <w:br/>
        <w:t xml:space="preserve">visite </w:t>
      </w:r>
      <w:hyperlink r:id="rId8" w:history="1">
        <w:r w:rsidRPr="002856FD">
          <w:rPr>
            <w:rStyle w:val="Hyperlink"/>
            <w:rFonts w:ascii="Noto Sans" w:hAnsi="Noto Sans" w:cs="Noto Sans"/>
            <w:sz w:val="20"/>
            <w:szCs w:val="20"/>
            <w:lang w:val="pt"/>
          </w:rPr>
          <w:t>www.domino-printing.com</w:t>
        </w:r>
      </w:hyperlink>
      <w:r w:rsidRPr="002856FD">
        <w:rPr>
          <w:rFonts w:ascii="Noto Sans" w:hAnsi="Noto Sans" w:cs="Noto Sans"/>
          <w:sz w:val="20"/>
          <w:szCs w:val="20"/>
          <w:lang w:val="pt"/>
        </w:rPr>
        <w:t xml:space="preserve"> </w:t>
      </w:r>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Deverá contactar:</w:t>
      </w:r>
      <w:r w:rsidRPr="002856FD">
        <w:rPr>
          <w:rFonts w:ascii="Noto Sans" w:hAnsi="Noto Sans" w:cs="Noto Sans"/>
          <w:sz w:val="20"/>
          <w:szCs w:val="20"/>
          <w:lang w:val="pt"/>
        </w:rPr>
        <w:br/>
      </w:r>
      <w:r w:rsidRPr="002856FD">
        <w:rPr>
          <w:rFonts w:ascii="Noto Sans" w:hAnsi="Noto Sans" w:cs="Noto Sans"/>
          <w:sz w:val="20"/>
          <w:szCs w:val="20"/>
          <w:lang w:val="pt"/>
        </w:rPr>
        <w:br/>
      </w:r>
      <w:r w:rsidRPr="0085521E">
        <w:rPr>
          <w:rFonts w:ascii="Noto Sans" w:hAnsi="Noto Sans" w:cs="Noto Sans"/>
          <w:sz w:val="20"/>
          <w:szCs w:val="20"/>
          <w:lang w:val="pt"/>
        </w:rPr>
        <w:t>Jade Taylor-Salazar</w:t>
      </w:r>
      <w:r>
        <w:rPr>
          <w:rFonts w:ascii="Noto Sans" w:hAnsi="Noto Sans" w:cs="Noto Sans"/>
          <w:sz w:val="20"/>
          <w:szCs w:val="20"/>
          <w:lang w:val="pt"/>
        </w:rPr>
        <w:br/>
      </w:r>
      <w:r w:rsidRPr="002856FD">
        <w:rPr>
          <w:rFonts w:ascii="Noto Sans" w:hAnsi="Noto Sans" w:cs="Noto Sans"/>
          <w:sz w:val="20"/>
          <w:szCs w:val="20"/>
          <w:lang w:val="pt"/>
        </w:rPr>
        <w:t xml:space="preserve">PR and Content Manager </w:t>
      </w:r>
      <w:r w:rsidRPr="002856FD">
        <w:rPr>
          <w:rFonts w:ascii="Noto Sans" w:hAnsi="Noto Sans" w:cs="Noto Sans"/>
          <w:sz w:val="20"/>
          <w:szCs w:val="20"/>
          <w:lang w:val="pt"/>
        </w:rPr>
        <w:br/>
        <w:t xml:space="preserve">Domino Printing Sciences </w:t>
      </w:r>
      <w:r w:rsidRPr="002856FD">
        <w:rPr>
          <w:rFonts w:ascii="Noto Sans" w:hAnsi="Noto Sans" w:cs="Noto Sans"/>
          <w:sz w:val="20"/>
          <w:szCs w:val="20"/>
          <w:lang w:val="pt"/>
        </w:rPr>
        <w:br/>
        <w:t>Tel.: +44 (0) 1954 778 780</w:t>
      </w:r>
      <w:r w:rsidRPr="002856FD">
        <w:rPr>
          <w:rFonts w:ascii="Noto Sans" w:hAnsi="Noto Sans" w:cs="Noto Sans"/>
          <w:sz w:val="20"/>
          <w:szCs w:val="20"/>
          <w:lang w:val="pt"/>
        </w:rPr>
        <w:br/>
      </w:r>
      <w:hyperlink r:id="rId9" w:history="1">
        <w:r w:rsidRPr="0085521E">
          <w:rPr>
            <w:rStyle w:val="Hyperlink"/>
            <w:rFonts w:ascii="Noto Sans" w:hAnsi="Noto Sans" w:cs="Noto Sans"/>
            <w:sz w:val="20"/>
            <w:szCs w:val="20"/>
            <w:lang w:val="pt"/>
          </w:rPr>
          <w:t>Jade.Taylor-Salazar@domino-uk.com</w:t>
        </w:r>
      </w:hyperlink>
      <w:r w:rsidRPr="0085521E">
        <w:rPr>
          <w:rFonts w:ascii="Noto Sans" w:hAnsi="Noto Sans" w:cs="Noto Sans"/>
          <w:sz w:val="20"/>
          <w:szCs w:val="20"/>
          <w:lang w:val="pt"/>
        </w:rPr>
        <w:t xml:space="preserve"> </w:t>
      </w:r>
      <w:r>
        <w:rPr>
          <w:rFonts w:ascii="Noto Sans" w:hAnsi="Noto Sans" w:cs="Noto Sans"/>
          <w:sz w:val="20"/>
          <w:szCs w:val="20"/>
          <w:lang w:val="pt"/>
        </w:rPr>
        <w:br/>
      </w:r>
      <w:r>
        <w:rPr>
          <w:rFonts w:ascii="Noto Sans" w:hAnsi="Noto Sans" w:cs="Noto Sans"/>
          <w:sz w:val="20"/>
          <w:szCs w:val="20"/>
          <w:lang w:val="pt"/>
        </w:rPr>
        <w:br/>
      </w:r>
      <w:r w:rsidRPr="00A13A74">
        <w:rPr>
          <w:rFonts w:ascii="Noto Sans" w:eastAsiaTheme="minorHAnsi" w:hAnsi="Noto Sans" w:cs="Noto Sans"/>
          <w:sz w:val="20"/>
          <w:szCs w:val="20"/>
          <w:lang w:val="pt-PT"/>
        </w:rPr>
        <w:t>Daniela Ribeiro</w:t>
      </w:r>
      <w:r>
        <w:rPr>
          <w:rFonts w:ascii="Noto Sans" w:eastAsiaTheme="minorHAnsi" w:hAnsi="Noto Sans" w:cs="Noto Sans"/>
          <w:sz w:val="20"/>
          <w:szCs w:val="20"/>
          <w:lang w:val="pt-PT"/>
        </w:rPr>
        <w:br/>
      </w:r>
      <w:r w:rsidRPr="00A13A74">
        <w:rPr>
          <w:rFonts w:ascii="Noto Sans" w:eastAsiaTheme="minorHAnsi" w:hAnsi="Noto Sans" w:cs="Noto Sans"/>
          <w:sz w:val="20"/>
          <w:szCs w:val="20"/>
          <w:lang w:val="pt-PT"/>
        </w:rPr>
        <w:t>Marketing and Communications Executive</w:t>
      </w:r>
      <w:r>
        <w:rPr>
          <w:rFonts w:ascii="Noto Sans" w:eastAsiaTheme="minorHAnsi" w:hAnsi="Noto Sans" w:cs="Noto Sans"/>
          <w:sz w:val="20"/>
          <w:szCs w:val="20"/>
          <w:lang w:val="pt-PT"/>
        </w:rPr>
        <w:br/>
      </w:r>
      <w:r w:rsidRPr="00A13A74">
        <w:rPr>
          <w:rFonts w:ascii="Noto Sans" w:eastAsiaTheme="minorHAnsi" w:hAnsi="Noto Sans" w:cs="Noto Sans"/>
          <w:sz w:val="20"/>
          <w:szCs w:val="20"/>
          <w:lang w:val="pt-PT"/>
        </w:rPr>
        <w:lastRenderedPageBreak/>
        <w:t>Domino Portugal</w:t>
      </w:r>
      <w:r>
        <w:rPr>
          <w:rFonts w:ascii="Noto Sans" w:eastAsiaTheme="minorHAnsi" w:hAnsi="Noto Sans" w:cs="Noto Sans"/>
          <w:sz w:val="20"/>
          <w:szCs w:val="20"/>
          <w:lang w:val="pt-PT"/>
        </w:rPr>
        <w:br/>
      </w:r>
      <w:r w:rsidRPr="00A13A74">
        <w:rPr>
          <w:rFonts w:ascii="Noto Sans" w:eastAsiaTheme="minorHAnsi" w:hAnsi="Noto Sans" w:cs="Noto Sans"/>
          <w:sz w:val="20"/>
          <w:szCs w:val="20"/>
          <w:lang w:val="pt-PT"/>
        </w:rPr>
        <w:t>Tel.: +351 919866148</w:t>
      </w:r>
      <w:r>
        <w:rPr>
          <w:rFonts w:ascii="Noto Sans" w:eastAsiaTheme="minorHAnsi" w:hAnsi="Noto Sans" w:cs="Noto Sans"/>
          <w:sz w:val="20"/>
          <w:szCs w:val="20"/>
          <w:lang w:val="pt-PT"/>
        </w:rPr>
        <w:br/>
      </w:r>
      <w:hyperlink r:id="rId10" w:history="1">
        <w:r w:rsidRPr="00A13A74">
          <w:rPr>
            <w:rStyle w:val="Hyperlink"/>
            <w:rFonts w:ascii="Noto Sans" w:eastAsiaTheme="minorHAnsi" w:hAnsi="Noto Sans" w:cs="Noto Sans"/>
            <w:sz w:val="20"/>
            <w:szCs w:val="20"/>
            <w:lang w:val="pt-PT"/>
          </w:rPr>
          <w:t>Daniela.Ribeiro@domino-portugal.com</w:t>
        </w:r>
      </w:hyperlink>
      <w:r>
        <w:rPr>
          <w:rFonts w:ascii="Noto Sans" w:eastAsiaTheme="minorHAnsi" w:hAnsi="Noto Sans" w:cs="Noto Sans"/>
          <w:sz w:val="22"/>
          <w:lang w:val="pt-PT"/>
        </w:rPr>
        <w:t xml:space="preserve"> </w:t>
      </w:r>
    </w:p>
    <w:p w14:paraId="71725C42" w14:textId="77777777" w:rsidR="00F70A21" w:rsidRPr="00F70A21" w:rsidRDefault="00F70A21" w:rsidP="00F70A21">
      <w:pPr>
        <w:spacing w:line="276" w:lineRule="auto"/>
        <w:jc w:val="both"/>
        <w:rPr>
          <w:rFonts w:ascii="Noto Sans" w:hAnsi="Noto Sans" w:cs="Noto Sans"/>
          <w:sz w:val="22"/>
          <w:lang w:val="pt-PT"/>
        </w:rPr>
      </w:pPr>
    </w:p>
    <w:p w14:paraId="1BF618D8" w14:textId="77777777" w:rsidR="00F70A21" w:rsidRPr="00F70A21" w:rsidRDefault="00F70A21" w:rsidP="00F70A21">
      <w:pPr>
        <w:spacing w:line="276" w:lineRule="auto"/>
        <w:jc w:val="both"/>
        <w:rPr>
          <w:rFonts w:ascii="Noto Sans" w:hAnsi="Noto Sans" w:cs="Noto Sans"/>
          <w:sz w:val="22"/>
          <w:lang w:val="pt"/>
        </w:rPr>
      </w:pPr>
    </w:p>
    <w:p w14:paraId="53EB7C38" w14:textId="77777777" w:rsidR="005524DB" w:rsidRPr="00F70A21" w:rsidRDefault="005524DB" w:rsidP="008E7573">
      <w:pPr>
        <w:rPr>
          <w:rFonts w:ascii="Noto Sans" w:hAnsi="Noto Sans" w:cs="Noto Sans"/>
          <w:sz w:val="22"/>
          <w:lang w:val="pt"/>
        </w:rPr>
      </w:pPr>
    </w:p>
    <w:sectPr w:rsidR="005524DB" w:rsidRPr="00F70A21"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5272B1"/>
    <w:rsid w:val="005524DB"/>
    <w:rsid w:val="005741C7"/>
    <w:rsid w:val="0057615F"/>
    <w:rsid w:val="0060122E"/>
    <w:rsid w:val="00647055"/>
    <w:rsid w:val="00660F46"/>
    <w:rsid w:val="00682566"/>
    <w:rsid w:val="00785717"/>
    <w:rsid w:val="008220B7"/>
    <w:rsid w:val="00823B77"/>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F1AD5"/>
    <w:rsid w:val="00D9678E"/>
    <w:rsid w:val="00E03029"/>
    <w:rsid w:val="00EC1C5A"/>
    <w:rsid w:val="00F70A2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F70A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p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odsafetynews.com/2025/09/uk-and-eu-record-recall-increas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pt-pt/home.aspx?utm_medium=non-paid&amp;utm_source=onlinepublication&amp;utm_content=food-supply-chain-tlp-pt&amp;utm_campaign=2026-int-pt-global-pr-cm-fy25-q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aniela.Ribeiro@domino-portugal.com" TargetMode="Externa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5</TotalTime>
  <Pages>7</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2026-05-14T12:07:00Z</dcterms:created>
  <dcterms:modified xsi:type="dcterms:W3CDTF">2026-05-14T12:10:00Z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