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44061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Warszawa, 19 maja 2026 r. 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808080"/>
          <w:rtl w:val="0"/>
        </w:rPr>
        <w:t xml:space="preserve">Komunikat prasowy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color w:val="24406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bCs w:val="1"/>
          <w:color w:val="24406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„Ja w swoim wieku” – kampania, którą łączy pokolenia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Unum uruchomiło kampanię, w której odchodzi od typowych dla branży ubezpieczeniowej skojarzeń </w:t>
        <w:br w:type="textWrapping"/>
        <w:t xml:space="preserve">z ryzykiem, formalnościami i trudnymi życiowo scenariuszami. Punktem wyjścia są: dorosłość, dojrzałość </w:t>
        <w:br w:type="textWrapping"/>
        <w:t xml:space="preserve">i odpowiedzialność, widziane przez doświadczenia różnych pokoleń. Kampania łączy działania outdoorowe, obecność w mediach tradycyjnych oraz raport przygotowany we współpracy z Uniwersytetem Warszawskim. Jej główny wniosek jest prosty: choć między pokoleniami są różnice, w kwestiach naprawdę istotnych więcej nas łączy, niż dzieli.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Centralnym elementem działań jest hasło „Ja w swoim wieku”, które stoi na przekór słyszanym często od poprzednich pokoleń „Bo ja w Twoim wieku, to...”. Kampania to opowieść o wyborze życia w zgodzie z własnymi wartościami i przekonaniami, które – jak pokazują wyniki badania – wcale nie różnią się od wartości wcześniejszych pokoleń. Hasło obecne jest w szerokiej kampanii billboardowej w 20 największych miastach </w:t>
        <w:br w:type="textWrapping"/>
        <w:t xml:space="preserve">w Polsce.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Co to znaczy być dorosłym?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Kampania prowokuje do refleksji. Czym dziś właściwie jest dorosłość? Czy da się ją zamknąć w metryce? Unum nie podaje jednej odpowiedzi. Zamiast tego oddaje głos ludziom z różnych pokoleń, pokazując ich perspektywy </w:t>
        <w:br w:type="textWrapping"/>
        <w:t xml:space="preserve">i doświadczenia. Dzięki temu staje się nie tylko komunikatem marketingowym, ale też pretekstem do społecznej rozmowy.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Dane zamiast stereotypów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Integralną częścią projektu jest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raport „Ja w Swoim wieku. Czy dorosłość, dojrzałość i odpowiedzialność to kwestia lat?”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przygotowany we współpracy z Uniwersytetem Warszawskim. To właśnie on stanowi fundament całej narracji.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Raport podważa mit o międzypokoleniowej przepaści. Owszem, różnimy się stylem życia, doświadczeniami czy podejściem do pracy, ale gdy rozmowa schodzi na dorosłość, odpowiedzialność, bezpieczeństwo </w:t>
        <w:br w:type="textWrapping"/>
        <w:t xml:space="preserve">i myślenie o przyszłości, Zetki, Millenialsi i Iksy mówią zaskakująco podobnym głosem. Dla nas to ważny punkt wyjścia. Chcemy pokazać, że ubezpieczenia nie muszą zaczynać się od lęku ani trudnych życiowych scenariuszy. Mogą być naturalną częścią rozmowy o tym, jak chcemy żyć, kogo chcemy chronić i o co warto zadbać niezależnie od wieku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komentuje Małgorzata Morańska, Rzeczniczka Prasowa w Unum.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Dialog pokoleń w przestrzeni miejskiej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Outdoorowa część kampanii jest kolorowa i pełna energii. Kreacje pokazują różnorodność stylów życia, pasji </w:t>
        <w:br w:type="textWrapping"/>
        <w:t xml:space="preserve">i codziennych wyborów, ale ich centralnym punktem zawsze pozostaje człowiek. Billboardy tworzą między sobą dialog. Nie dzielą bohaterów na „młodych” i „starszych”, lecz pokazują, że pokolenia mogą się łączyć mimo różnych doświadczeń.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Chcieliśmy, żeby ta kampania zostawiała odbiorców z prostym odczuciem: wiek nie musi być scenariuszem na życie. Każdy ma własny rytm, własne wartości i własny sposób bycia. Nasze kreacje nie pokazują ludzi przez pryzmat metryki, ale przez to, co dla nich ważne. A skoro każdy układa życie po swojemu, to warto też chronić je w sposób, który jest sprofilowany pod jego potrzeby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mówi Jakub Czapski, Kierownik Zespołu Digital Marketingu w Unum.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bCs w:val="1"/>
          <w:color w:val="24406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  <w:color w:val="24406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44061"/>
          <w:rtl w:val="0"/>
        </w:rPr>
        <w:t xml:space="preserve">Nowe spojrzenie na kategorię ubezpieczeń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Unum wykorzystuje te wnioski, aby zmienić sposób, w jaki mówi się o ubezpieczeniach. Marka wpisuje swoje usługi w szerszy kontekst wartości, takich jak odpowiedzialność, troska o bliskich i myślenie o przyszłości. Jak pokazuje raport, ubezpieczenia na życie są kojarzone właśnie z tymi obszarami. 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„Ja w swoim wieku” to także świadoma zmiana języka. Towarzystwo ubezpieczeń łączy ekspercki ton </w:t>
        <w:br w:type="textWrapping"/>
        <w:t xml:space="preserve">z komunikacją bardziej bezpośrednią, zrozumiałą i osadzoną w realnych doświadczeniach ludzi. Obecność kampanii w mediach tradycyjnych oraz działania PR-owe wokół raportu wzmacniają jej zasięg i wiarygodność, jednocześnie pokazując, że nawet złożone tematy można tłumaczyć w sposób przystępny i angażujący.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Koncepcja, kreacja i realizacja kampanii realizowana jest we współpracy z Agencją Komunikacji Ro, która od stycznia 2026 roku wspiera Unum w realizacji działań. 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Raport do pobrania na stronie: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www.jawswoimwieku.unum.pl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jc w:val="both"/>
        <w:rPr>
          <w:rFonts w:ascii="Ubuntu" w:cs="Ubuntu" w:eastAsia="Ubuntu" w:hAnsi="Ubuntu"/>
          <w:color w:val="366091"/>
          <w:sz w:val="18"/>
          <w:szCs w:val="18"/>
        </w:rPr>
      </w:pPr>
      <w:r w:rsidDel="00000000" w:rsidR="00000000" w:rsidRPr="00000000">
        <w:rPr>
          <w:rFonts w:ascii="Ubuntu" w:cs="Ubuntu" w:eastAsia="Ubuntu" w:hAnsi="Ubuntu"/>
          <w:color w:val="366091"/>
          <w:sz w:val="18"/>
          <w:szCs w:val="18"/>
          <w:rtl w:val="0"/>
        </w:rPr>
        <w:t xml:space="preserve">***</w:t>
      </w:r>
    </w:p>
    <w:p w:rsidR="00000000" w:rsidDel="00000000" w:rsidP="00000000" w:rsidRDefault="00000000" w:rsidRPr="00000000" w14:paraId="00000029">
      <w:pPr>
        <w:rPr>
          <w:rFonts w:ascii="Ubuntu" w:cs="Ubuntu" w:eastAsia="Ubuntu" w:hAnsi="Ubuntu"/>
          <w:color w:val="366091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color w:val="366091"/>
          <w:sz w:val="20"/>
          <w:szCs w:val="20"/>
          <w:rtl w:val="0"/>
        </w:rPr>
        <w:t xml:space="preserve">Dodatkowe informacje: </w:t>
        <w:br w:type="textWrapping"/>
      </w:r>
      <w:r w:rsidDel="00000000" w:rsidR="00000000" w:rsidRPr="00000000">
        <w:rPr>
          <w:rFonts w:ascii="Ubuntu" w:cs="Ubuntu" w:eastAsia="Ubuntu" w:hAnsi="Ubuntu"/>
          <w:color w:val="366091"/>
          <w:sz w:val="20"/>
          <w:szCs w:val="20"/>
          <w:rtl w:val="0"/>
        </w:rPr>
        <w:t xml:space="preserve">Małgorzata Morańska</w:t>
        <w:br w:type="textWrapping"/>
        <w:t xml:space="preserve">Rzecznik prasowy </w:t>
        <w:br w:type="textWrapping"/>
      </w:r>
      <w:hyperlink r:id="rId9">
        <w:r w:rsidDel="00000000" w:rsidR="00000000" w:rsidRPr="00000000">
          <w:rPr>
            <w:rFonts w:ascii="Ubuntu" w:cs="Ubuntu" w:eastAsia="Ubuntu" w:hAnsi="Ubuntu"/>
            <w:color w:val="366091"/>
            <w:sz w:val="20"/>
            <w:szCs w:val="20"/>
            <w:u w:val="single"/>
            <w:rtl w:val="0"/>
          </w:rPr>
          <w:t xml:space="preserve">malgorzata.moranska@unum.pl</w:t>
        </w:r>
      </w:hyperlink>
      <w:r w:rsidDel="00000000" w:rsidR="00000000" w:rsidRPr="00000000">
        <w:rPr>
          <w:rFonts w:ascii="Ubuntu" w:cs="Ubuntu" w:eastAsia="Ubuntu" w:hAnsi="Ubuntu"/>
          <w:color w:val="366091"/>
          <w:sz w:val="20"/>
          <w:szCs w:val="20"/>
          <w:rtl w:val="0"/>
        </w:rPr>
        <w:br w:type="textWrapping"/>
        <w:t xml:space="preserve">Tel. (+48) 660 755 238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color w:val="366091"/>
        </w:rPr>
      </w:pPr>
      <w:r w:rsidDel="00000000" w:rsidR="00000000" w:rsidRPr="00000000">
        <w:rPr>
          <w:rFonts w:ascii="Calibri" w:cs="Calibri" w:eastAsia="Calibri" w:hAnsi="Calibri"/>
          <w:color w:val="366091"/>
          <w:rtl w:val="0"/>
        </w:rPr>
        <w:t xml:space="preserve">Zuzanna Pazura 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color w:val="366091"/>
        </w:rPr>
      </w:pPr>
      <w:r w:rsidDel="00000000" w:rsidR="00000000" w:rsidRPr="00000000">
        <w:rPr>
          <w:rFonts w:ascii="Calibri" w:cs="Calibri" w:eastAsia="Calibri" w:hAnsi="Calibri"/>
          <w:color w:val="366091"/>
          <w:rtl w:val="0"/>
        </w:rPr>
        <w:t xml:space="preserve">Agencja Komunikacji Ro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color w:val="366091"/>
        </w:rPr>
      </w:pPr>
      <w:r w:rsidDel="00000000" w:rsidR="00000000" w:rsidRPr="00000000">
        <w:rPr>
          <w:rFonts w:ascii="Calibri" w:cs="Calibri" w:eastAsia="Calibri" w:hAnsi="Calibri"/>
          <w:color w:val="366091"/>
          <w:rtl w:val="0"/>
        </w:rPr>
        <w:t xml:space="preserve">zuzanna.pazura@ro.team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color w:val="366091"/>
        </w:rPr>
      </w:pPr>
      <w:r w:rsidDel="00000000" w:rsidR="00000000" w:rsidRPr="00000000">
        <w:rPr>
          <w:rFonts w:ascii="Calibri" w:cs="Calibri" w:eastAsia="Calibri" w:hAnsi="Calibri"/>
          <w:color w:val="366091"/>
          <w:rtl w:val="0"/>
        </w:rPr>
        <w:t xml:space="preserve">Tel. (+48) 570 185 228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134" w:top="1134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-599759</wp:posOffset>
          </wp:positionH>
          <wp:positionV relativeFrom="paragraph">
            <wp:posOffset>-504698</wp:posOffset>
          </wp:positionV>
          <wp:extent cx="7635119" cy="1079999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5119" cy="107999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malgorzata.moranska@unum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jawswoimwieku.unum.pl/" TargetMode="External"/><Relationship Id="rId8" Type="http://schemas.openxmlformats.org/officeDocument/2006/relationships/hyperlink" Target="http://www.jawswoimwieku.unum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I9GluJXP373Q9sGq17wAFlExrw==">CgMxLjA4AHIhMTBUWnliTm04TUluUm9RcnV0NEVSaU5pbVAwaFprUlgt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