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B397" w14:textId="361B4D98" w:rsidR="00951E17" w:rsidRPr="000C0B91" w:rsidRDefault="00951E17">
      <w:pPr>
        <w:rPr>
          <w:rFonts w:ascii="Fiserv" w:hAnsi="Fiserv"/>
        </w:rPr>
      </w:pPr>
    </w:p>
    <w:p w14:paraId="73F42E24" w14:textId="79B074FF" w:rsidR="00902AE8" w:rsidRPr="00902AE8" w:rsidRDefault="00902AE8" w:rsidP="00902AE8">
      <w:pPr>
        <w:jc w:val="right"/>
        <w:rPr>
          <w:rFonts w:ascii="Fiserv" w:hAnsi="Fiserv"/>
          <w:sz w:val="18"/>
          <w:szCs w:val="18"/>
        </w:rPr>
      </w:pPr>
      <w:r w:rsidRPr="0014209E">
        <w:rPr>
          <w:rFonts w:ascii="Fiserv" w:hAnsi="Fiserv"/>
          <w:sz w:val="18"/>
          <w:szCs w:val="18"/>
        </w:rPr>
        <w:t>Warszawa,</w:t>
      </w:r>
      <w:r w:rsidR="00000DE3" w:rsidRPr="0014209E">
        <w:rPr>
          <w:rFonts w:ascii="Fiserv" w:hAnsi="Fiserv"/>
          <w:sz w:val="18"/>
          <w:szCs w:val="18"/>
        </w:rPr>
        <w:t xml:space="preserve"> </w:t>
      </w:r>
      <w:r w:rsidR="00302E6A" w:rsidRPr="0014209E">
        <w:rPr>
          <w:rFonts w:ascii="Fiserv" w:hAnsi="Fiserv"/>
          <w:sz w:val="18"/>
          <w:szCs w:val="18"/>
        </w:rPr>
        <w:t>1</w:t>
      </w:r>
      <w:r w:rsidR="00047383">
        <w:rPr>
          <w:rFonts w:ascii="Fiserv" w:hAnsi="Fiserv"/>
          <w:sz w:val="18"/>
          <w:szCs w:val="18"/>
        </w:rPr>
        <w:t>3</w:t>
      </w:r>
      <w:r w:rsidR="0014209E">
        <w:rPr>
          <w:rFonts w:ascii="Fiserv" w:hAnsi="Fiserv"/>
          <w:sz w:val="18"/>
          <w:szCs w:val="18"/>
        </w:rPr>
        <w:t xml:space="preserve"> </w:t>
      </w:r>
      <w:r w:rsidRPr="0014209E">
        <w:rPr>
          <w:rFonts w:ascii="Fiserv" w:hAnsi="Fiserv"/>
          <w:sz w:val="18"/>
          <w:szCs w:val="18"/>
        </w:rPr>
        <w:t>maja 2026 r.</w:t>
      </w:r>
    </w:p>
    <w:p w14:paraId="4A33DBCA" w14:textId="77777777" w:rsidR="00902AE8" w:rsidRDefault="00902AE8" w:rsidP="009F64F4">
      <w:pPr>
        <w:jc w:val="center"/>
        <w:rPr>
          <w:rFonts w:ascii="Fiserv" w:hAnsi="Fiserv"/>
          <w:b/>
          <w:bCs/>
        </w:rPr>
      </w:pPr>
    </w:p>
    <w:p w14:paraId="792DA923" w14:textId="59B6CDB8" w:rsidR="00F02ECD" w:rsidRDefault="002C079D" w:rsidP="009F64F4">
      <w:pPr>
        <w:jc w:val="center"/>
        <w:rPr>
          <w:rFonts w:ascii="Fiserv" w:hAnsi="Fiserv"/>
          <w:b/>
          <w:bCs/>
        </w:rPr>
      </w:pPr>
      <w:r>
        <w:rPr>
          <w:rFonts w:ascii="Fiserv" w:hAnsi="Fiserv"/>
          <w:b/>
          <w:bCs/>
        </w:rPr>
        <w:t>Nowy wymiar</w:t>
      </w:r>
      <w:r w:rsidR="00F02ECD">
        <w:rPr>
          <w:rFonts w:ascii="Fiserv" w:hAnsi="Fiserv"/>
          <w:b/>
          <w:bCs/>
        </w:rPr>
        <w:t xml:space="preserve"> systemu kaucyjnego </w:t>
      </w:r>
      <w:r w:rsidR="005C33BA">
        <w:rPr>
          <w:rFonts w:ascii="Fiserv" w:hAnsi="Fiserv"/>
          <w:b/>
          <w:bCs/>
        </w:rPr>
        <w:t>–</w:t>
      </w:r>
      <w:r w:rsidR="00F02ECD">
        <w:rPr>
          <w:rFonts w:ascii="Fiserv" w:hAnsi="Fiserv"/>
          <w:b/>
          <w:bCs/>
        </w:rPr>
        <w:t xml:space="preserve"> koniec z kuponami i zagraconymi mieszkaniami</w:t>
      </w:r>
    </w:p>
    <w:p w14:paraId="36545A8D" w14:textId="22937CB0" w:rsidR="007A2DF6" w:rsidRDefault="007A643E" w:rsidP="00B7441D">
      <w:pPr>
        <w:spacing w:after="0" w:line="240" w:lineRule="auto"/>
        <w:jc w:val="both"/>
        <w:rPr>
          <w:rFonts w:ascii="Fiserv" w:hAnsi="Fiserv"/>
          <w:b/>
          <w:bCs/>
        </w:rPr>
      </w:pPr>
      <w:r w:rsidRPr="00E377A3">
        <w:rPr>
          <w:rFonts w:ascii="Fiserv" w:hAnsi="Fiserv"/>
          <w:b/>
          <w:bCs/>
        </w:rPr>
        <w:t>Wygoda korzystania z systemu kaucyjnego</w:t>
      </w:r>
      <w:r w:rsidR="005C33BA">
        <w:rPr>
          <w:rFonts w:ascii="Fiserv" w:hAnsi="Fiserv"/>
          <w:b/>
          <w:bCs/>
        </w:rPr>
        <w:t xml:space="preserve">, obok celów środowiskowych, stanowi klucz do </w:t>
      </w:r>
      <w:r w:rsidRPr="00E377A3">
        <w:rPr>
          <w:rFonts w:ascii="Fiserv" w:hAnsi="Fiserv"/>
          <w:b/>
          <w:bCs/>
        </w:rPr>
        <w:t xml:space="preserve"> jego sukcesu. Jednym z wyzwań pozostaje konieczność przechowywania opakowań </w:t>
      </w:r>
      <w:r w:rsidR="00EB540B">
        <w:rPr>
          <w:rFonts w:ascii="Fiserv" w:hAnsi="Fiserv"/>
          <w:b/>
          <w:bCs/>
        </w:rPr>
        <w:br/>
      </w:r>
      <w:r w:rsidRPr="00E377A3">
        <w:rPr>
          <w:rFonts w:ascii="Fiserv" w:hAnsi="Fiserv"/>
          <w:b/>
          <w:bCs/>
        </w:rPr>
        <w:t>w domu, co bywa szczególnie uciążliwe w mniejszych mieszkaniach. Istotna jest również forma zwrotu kaucji – jak pokazują dane rynkowe, konsumenci preferują szybki zwrot środków na kartę.</w:t>
      </w:r>
      <w:r w:rsidR="00C43DBA">
        <w:rPr>
          <w:rFonts w:ascii="Fiserv" w:hAnsi="Fiserv"/>
          <w:b/>
          <w:bCs/>
        </w:rPr>
        <w:t xml:space="preserve"> </w:t>
      </w:r>
      <w:r w:rsidRPr="00E377A3">
        <w:rPr>
          <w:rFonts w:ascii="Fiserv" w:hAnsi="Fiserv"/>
          <w:b/>
          <w:bCs/>
        </w:rPr>
        <w:t xml:space="preserve">Recyklomaty EcoAction, zintegrowane z rozwiązaniem płatniczym PolCard from Fiserv, odpowiadają na te potrzeby. </w:t>
      </w:r>
      <w:r w:rsidR="007A2DF6">
        <w:rPr>
          <w:rFonts w:ascii="Fiserv" w:hAnsi="Fiserv"/>
          <w:b/>
          <w:bCs/>
        </w:rPr>
        <w:t>Po pierwsze, e</w:t>
      </w:r>
      <w:r w:rsidRPr="00E377A3">
        <w:rPr>
          <w:rFonts w:ascii="Fiserv" w:hAnsi="Fiserv"/>
          <w:b/>
          <w:bCs/>
        </w:rPr>
        <w:t>liminują konieczność korzystania z papierowych kuponów, umożliwiając bezpośredni zwrot środków na kartę</w:t>
      </w:r>
      <w:r w:rsidR="005C33BA">
        <w:rPr>
          <w:rFonts w:ascii="Fiserv" w:hAnsi="Fiserv"/>
          <w:b/>
          <w:bCs/>
        </w:rPr>
        <w:t xml:space="preserve">. </w:t>
      </w:r>
      <w:r w:rsidR="007A2DF6">
        <w:rPr>
          <w:rFonts w:ascii="Fiserv" w:hAnsi="Fiserv"/>
          <w:b/>
          <w:bCs/>
        </w:rPr>
        <w:t xml:space="preserve">Po drugie, </w:t>
      </w:r>
      <w:r w:rsidRPr="00E377A3">
        <w:rPr>
          <w:rFonts w:ascii="Fiserv" w:hAnsi="Fiserv"/>
          <w:b/>
          <w:bCs/>
        </w:rPr>
        <w:t xml:space="preserve">ograniczają problem przechowywania </w:t>
      </w:r>
      <w:r w:rsidR="007A2DF6">
        <w:rPr>
          <w:rFonts w:ascii="Fiserv" w:hAnsi="Fiserv"/>
          <w:b/>
          <w:bCs/>
        </w:rPr>
        <w:t xml:space="preserve">pustych, napełnionych powietrzem </w:t>
      </w:r>
      <w:r w:rsidRPr="00E377A3">
        <w:rPr>
          <w:rFonts w:ascii="Fiserv" w:hAnsi="Fiserv"/>
          <w:b/>
          <w:bCs/>
        </w:rPr>
        <w:t>opakowań</w:t>
      </w:r>
      <w:r w:rsidR="007A2DF6">
        <w:rPr>
          <w:rFonts w:ascii="Fiserv" w:hAnsi="Fiserv"/>
          <w:b/>
          <w:bCs/>
        </w:rPr>
        <w:t>, gdyż posiadają funkcję przywracania kształtu butelce.</w:t>
      </w:r>
    </w:p>
    <w:p w14:paraId="52398E84" w14:textId="77777777" w:rsidR="00B7441D" w:rsidRPr="000C0B91" w:rsidRDefault="00B7441D" w:rsidP="00B7441D">
      <w:pPr>
        <w:spacing w:after="0" w:line="240" w:lineRule="auto"/>
        <w:jc w:val="both"/>
        <w:rPr>
          <w:rFonts w:ascii="Fiserv" w:hAnsi="Fiserv"/>
          <w:b/>
          <w:bCs/>
        </w:rPr>
      </w:pPr>
    </w:p>
    <w:p w14:paraId="02891631" w14:textId="5B92DFA3" w:rsidR="00CC04EF" w:rsidRPr="000C0B91" w:rsidRDefault="00D935CC" w:rsidP="00EB540B">
      <w:pPr>
        <w:jc w:val="both"/>
        <w:rPr>
          <w:rFonts w:ascii="Fiserv" w:hAnsi="Fiserv"/>
        </w:rPr>
      </w:pPr>
      <w:r w:rsidRPr="000C0B91">
        <w:rPr>
          <w:rFonts w:ascii="Fiserv" w:hAnsi="Fiserv"/>
        </w:rPr>
        <w:t xml:space="preserve">System kaucyjny zakłada, że opakowania oddawane są w stanie </w:t>
      </w:r>
      <w:r w:rsidR="000B65BB" w:rsidRPr="000C0B91">
        <w:rPr>
          <w:rFonts w:ascii="Fiserv" w:hAnsi="Fiserv"/>
        </w:rPr>
        <w:t xml:space="preserve">pozwalającym na </w:t>
      </w:r>
      <w:r w:rsidRPr="000C0B91">
        <w:rPr>
          <w:rFonts w:ascii="Fiserv" w:hAnsi="Fiserv"/>
        </w:rPr>
        <w:t xml:space="preserve">ich identyfikację. </w:t>
      </w:r>
      <w:r w:rsidR="00CC04EF" w:rsidRPr="000C0B91">
        <w:rPr>
          <w:rFonts w:ascii="Fiserv" w:hAnsi="Fiserv"/>
        </w:rPr>
        <w:t xml:space="preserve">Urządzenia EcoAction </w:t>
      </w:r>
      <w:r w:rsidR="000B65BB" w:rsidRPr="000C0B91">
        <w:rPr>
          <w:rFonts w:ascii="Fiserv" w:hAnsi="Fiserv"/>
        </w:rPr>
        <w:t>umożliwiają</w:t>
      </w:r>
      <w:r w:rsidR="00311263" w:rsidRPr="000C0B91">
        <w:rPr>
          <w:rFonts w:ascii="Fiserv" w:hAnsi="Fiserv"/>
        </w:rPr>
        <w:t xml:space="preserve"> zwracanie</w:t>
      </w:r>
      <w:r w:rsidR="00CC04EF" w:rsidRPr="000C0B91">
        <w:rPr>
          <w:rFonts w:ascii="Fiserv" w:hAnsi="Fiserv"/>
        </w:rPr>
        <w:t xml:space="preserve"> również </w:t>
      </w:r>
      <w:r w:rsidR="007A2DF6">
        <w:rPr>
          <w:rFonts w:ascii="Fiserv" w:hAnsi="Fiserv"/>
        </w:rPr>
        <w:t xml:space="preserve">wcześniej </w:t>
      </w:r>
      <w:r w:rsidR="00CC04EF" w:rsidRPr="000C0B91">
        <w:rPr>
          <w:rFonts w:ascii="Fiserv" w:hAnsi="Fiserv"/>
        </w:rPr>
        <w:t>zgniecionych butelek,</w:t>
      </w:r>
      <w:r w:rsidR="003461C8" w:rsidRPr="000C0B91">
        <w:rPr>
          <w:rFonts w:ascii="Fiserv" w:hAnsi="Fiserv"/>
        </w:rPr>
        <w:t xml:space="preserve"> dzięki</w:t>
      </w:r>
      <w:r w:rsidR="007A643E">
        <w:rPr>
          <w:rFonts w:ascii="Fiserv" w:hAnsi="Fiserv"/>
        </w:rPr>
        <w:t xml:space="preserve"> </w:t>
      </w:r>
      <w:r w:rsidR="003461C8" w:rsidRPr="000C0B91">
        <w:rPr>
          <w:rFonts w:ascii="Fiserv" w:hAnsi="Fiserv"/>
        </w:rPr>
        <w:t>wbudowanemu kompresorowi</w:t>
      </w:r>
      <w:r w:rsidR="007A643E">
        <w:rPr>
          <w:rFonts w:ascii="Fiserv" w:hAnsi="Fiserv"/>
        </w:rPr>
        <w:t>, który przywraca ich pierwotny kształt</w:t>
      </w:r>
      <w:r w:rsidR="003461C8" w:rsidRPr="000C0B91">
        <w:rPr>
          <w:rFonts w:ascii="Fiserv" w:hAnsi="Fiserv"/>
        </w:rPr>
        <w:t>.</w:t>
      </w:r>
      <w:r w:rsidR="00CC04EF" w:rsidRPr="000C0B91">
        <w:rPr>
          <w:rFonts w:ascii="Fiserv" w:hAnsi="Fiserv"/>
        </w:rPr>
        <w:t xml:space="preserve"> </w:t>
      </w:r>
    </w:p>
    <w:p w14:paraId="2309F72B" w14:textId="07D48E40" w:rsidR="009B4BE6" w:rsidRPr="000C0B91" w:rsidRDefault="008C31CE" w:rsidP="00EB540B">
      <w:pPr>
        <w:jc w:val="both"/>
        <w:rPr>
          <w:rFonts w:ascii="Fiserv" w:hAnsi="Fiserv"/>
          <w:b/>
          <w:bCs/>
        </w:rPr>
      </w:pPr>
      <w:r w:rsidRPr="000C0B91">
        <w:rPr>
          <w:rFonts w:ascii="Fiserv" w:hAnsi="Fiserv"/>
        </w:rPr>
        <w:t xml:space="preserve">- </w:t>
      </w:r>
      <w:r w:rsidR="00D210B9" w:rsidRPr="000C0B91">
        <w:rPr>
          <w:rFonts w:ascii="Fiserv" w:hAnsi="Fiserv"/>
          <w:i/>
          <w:iCs/>
        </w:rPr>
        <w:t xml:space="preserve">Po przyjęciu opakowań materiał jest kompresowany </w:t>
      </w:r>
      <w:r w:rsidR="009B4BE6">
        <w:rPr>
          <w:rFonts w:ascii="Fiserv" w:hAnsi="Fiserv"/>
          <w:i/>
          <w:iCs/>
        </w:rPr>
        <w:t xml:space="preserve">do </w:t>
      </w:r>
      <w:r w:rsidR="00D210B9" w:rsidRPr="000C0B91">
        <w:rPr>
          <w:rFonts w:ascii="Fiserv" w:hAnsi="Fiserv"/>
          <w:i/>
          <w:iCs/>
        </w:rPr>
        <w:t xml:space="preserve"> 93</w:t>
      </w:r>
      <w:r w:rsidRPr="000C0B91">
        <w:rPr>
          <w:rFonts w:ascii="Fiserv" w:hAnsi="Fiserv"/>
          <w:i/>
          <w:iCs/>
        </w:rPr>
        <w:t xml:space="preserve"> proc.</w:t>
      </w:r>
      <w:r w:rsidR="00F22538" w:rsidRPr="000C0B91">
        <w:rPr>
          <w:rFonts w:ascii="Fiserv" w:hAnsi="Fiserv"/>
          <w:i/>
          <w:iCs/>
        </w:rPr>
        <w:t xml:space="preserve"> i </w:t>
      </w:r>
      <w:r w:rsidR="007A2DF6">
        <w:rPr>
          <w:rFonts w:ascii="Fiserv" w:hAnsi="Fiserv"/>
          <w:i/>
          <w:iCs/>
        </w:rPr>
        <w:t xml:space="preserve">belowany </w:t>
      </w:r>
      <w:r w:rsidR="00F22538" w:rsidRPr="000C0B91">
        <w:rPr>
          <w:rFonts w:ascii="Fiserv" w:hAnsi="Fiserv"/>
          <w:i/>
          <w:iCs/>
        </w:rPr>
        <w:t>na miejscu</w:t>
      </w:r>
      <w:r w:rsidR="00D210B9" w:rsidRPr="000C0B91">
        <w:rPr>
          <w:rFonts w:ascii="Fiserv" w:hAnsi="Fiserv"/>
          <w:i/>
          <w:iCs/>
        </w:rPr>
        <w:t>,</w:t>
      </w:r>
      <w:r w:rsidR="00F56200" w:rsidRPr="000C0B91">
        <w:rPr>
          <w:rFonts w:ascii="Fiserv" w:hAnsi="Fiserv"/>
          <w:i/>
          <w:iCs/>
        </w:rPr>
        <w:t xml:space="preserve"> </w:t>
      </w:r>
      <w:r w:rsidR="00D210B9" w:rsidRPr="000C0B91">
        <w:rPr>
          <w:rFonts w:ascii="Fiserv" w:hAnsi="Fiserv"/>
          <w:i/>
          <w:iCs/>
        </w:rPr>
        <w:t xml:space="preserve">co znacząco zmniejsza objętość odpadów </w:t>
      </w:r>
      <w:r w:rsidR="00106876" w:rsidRPr="000C0B91">
        <w:rPr>
          <w:rFonts w:ascii="Fiserv" w:hAnsi="Fiserv"/>
          <w:i/>
          <w:iCs/>
        </w:rPr>
        <w:t xml:space="preserve">- surowiec z 12 worków 120 L mieści się w jednej kostce o wymiarach 75 × 60 × 50 cm. </w:t>
      </w:r>
      <w:r w:rsidR="00137CFD" w:rsidRPr="000C0B91">
        <w:rPr>
          <w:rFonts w:ascii="Fiserv" w:hAnsi="Fiserv"/>
          <w:i/>
          <w:iCs/>
        </w:rPr>
        <w:t xml:space="preserve">Tak wysoka kompresja </w:t>
      </w:r>
      <w:r w:rsidR="00D210B9" w:rsidRPr="000C0B91">
        <w:rPr>
          <w:rFonts w:ascii="Fiserv" w:hAnsi="Fiserv"/>
          <w:i/>
          <w:iCs/>
        </w:rPr>
        <w:t>redukuje</w:t>
      </w:r>
      <w:r w:rsidR="00137CFD" w:rsidRPr="000C0B91">
        <w:rPr>
          <w:rFonts w:ascii="Fiserv" w:hAnsi="Fiserv"/>
          <w:i/>
          <w:iCs/>
        </w:rPr>
        <w:t xml:space="preserve"> też</w:t>
      </w:r>
      <w:r w:rsidR="00D210B9" w:rsidRPr="000C0B91">
        <w:rPr>
          <w:rFonts w:ascii="Fiserv" w:hAnsi="Fiserv"/>
          <w:i/>
          <w:iCs/>
        </w:rPr>
        <w:t xml:space="preserve"> koszty transportu oraz </w:t>
      </w:r>
      <w:r w:rsidR="006F7BE3" w:rsidRPr="000C0B91">
        <w:rPr>
          <w:rFonts w:ascii="Fiserv" w:hAnsi="Fiserv"/>
          <w:i/>
          <w:iCs/>
        </w:rPr>
        <w:t xml:space="preserve">nawet 4-krotnie zmniejsza </w:t>
      </w:r>
      <w:r w:rsidR="00D210B9" w:rsidRPr="000C0B91">
        <w:rPr>
          <w:rFonts w:ascii="Fiserv" w:hAnsi="Fiserv"/>
          <w:i/>
          <w:iCs/>
        </w:rPr>
        <w:t xml:space="preserve">częstotliwość opróżniania urządzenia. Dzięki temu recyklomaty mogą być instalowane bliżej użytkowników – przy sklepach, na osiedlach czy w przestrzeni miejskiej – co wpisuje się </w:t>
      </w:r>
      <w:r w:rsidR="00EB540B">
        <w:rPr>
          <w:rFonts w:ascii="Fiserv" w:hAnsi="Fiserv"/>
          <w:i/>
          <w:iCs/>
        </w:rPr>
        <w:br/>
      </w:r>
      <w:r w:rsidR="00D210B9" w:rsidRPr="000C0B91">
        <w:rPr>
          <w:rFonts w:ascii="Fiserv" w:hAnsi="Fiserv"/>
          <w:i/>
          <w:iCs/>
        </w:rPr>
        <w:t>w oczekiwania konsumentów dotyczące dostępności punktów zwrotu</w:t>
      </w:r>
      <w:r w:rsidRPr="000C0B91">
        <w:rPr>
          <w:rFonts w:ascii="Fiserv" w:hAnsi="Fiserv"/>
        </w:rPr>
        <w:t xml:space="preserve"> </w:t>
      </w:r>
      <w:r w:rsidR="005B3298" w:rsidRPr="000C0B91">
        <w:rPr>
          <w:rFonts w:ascii="Fiserv" w:hAnsi="Fiserv"/>
        </w:rPr>
        <w:t>–</w:t>
      </w:r>
      <w:r w:rsidRPr="000C0B91">
        <w:rPr>
          <w:rFonts w:ascii="Fiserv" w:hAnsi="Fiserv"/>
        </w:rPr>
        <w:t xml:space="preserve"> </w:t>
      </w:r>
      <w:r w:rsidR="005B3298" w:rsidRPr="00605863">
        <w:rPr>
          <w:rFonts w:ascii="Fiserv" w:hAnsi="Fiserv"/>
        </w:rPr>
        <w:t>mówi</w:t>
      </w:r>
      <w:r w:rsidR="005B3298" w:rsidRPr="00605863">
        <w:rPr>
          <w:rFonts w:ascii="Fiserv" w:hAnsi="Fiserv"/>
          <w:b/>
          <w:bCs/>
        </w:rPr>
        <w:t xml:space="preserve"> </w:t>
      </w:r>
      <w:r w:rsidR="009B4BE6" w:rsidRPr="009B4BE6">
        <w:rPr>
          <w:rFonts w:ascii="Fiserv" w:hAnsi="Fiserv"/>
          <w:b/>
          <w:bCs/>
        </w:rPr>
        <w:t>Krzysztof Gajda, Senior Corporate Business Manager w ACTION S.A.</w:t>
      </w:r>
      <w:r w:rsidR="00484F14" w:rsidRPr="00484F14">
        <w:rPr>
          <w:rFonts w:ascii="Fiserv" w:hAnsi="Fiserv"/>
        </w:rPr>
        <w:t xml:space="preserve"> </w:t>
      </w:r>
      <w:r w:rsidR="00484F14">
        <w:rPr>
          <w:rFonts w:ascii="Fiserv" w:hAnsi="Fiserv"/>
        </w:rPr>
        <w:t xml:space="preserve">- </w:t>
      </w:r>
      <w:r w:rsidR="00484F14" w:rsidRPr="00B823A8">
        <w:rPr>
          <w:rFonts w:ascii="Fiserv" w:hAnsi="Fiserv"/>
          <w:i/>
          <w:iCs/>
        </w:rPr>
        <w:t>Butelkomaty EcoAction to w zupełności projekt polski , od pomysłu, przez projekt</w:t>
      </w:r>
      <w:r w:rsidR="00B823A8">
        <w:rPr>
          <w:rFonts w:ascii="Fiserv" w:hAnsi="Fiserv"/>
          <w:i/>
          <w:iCs/>
        </w:rPr>
        <w:t>,</w:t>
      </w:r>
      <w:r w:rsidR="00484F14" w:rsidRPr="00B823A8">
        <w:rPr>
          <w:rFonts w:ascii="Fiserv" w:hAnsi="Fiserv"/>
          <w:i/>
          <w:iCs/>
        </w:rPr>
        <w:t xml:space="preserve"> aż po ich dystrybucję –</w:t>
      </w:r>
      <w:r w:rsidR="00484F14">
        <w:rPr>
          <w:rFonts w:ascii="Fiserv" w:hAnsi="Fiserv"/>
        </w:rPr>
        <w:t xml:space="preserve"> dodaje. </w:t>
      </w:r>
    </w:p>
    <w:p w14:paraId="5CF0082F" w14:textId="56E0A809" w:rsidR="00A54FBB" w:rsidRDefault="00A54FBB" w:rsidP="00EB540B">
      <w:pPr>
        <w:jc w:val="both"/>
        <w:rPr>
          <w:rFonts w:ascii="Fiserv" w:hAnsi="Fiserv"/>
          <w:b/>
          <w:bCs/>
        </w:rPr>
      </w:pPr>
    </w:p>
    <w:p w14:paraId="644539AB" w14:textId="02D91465" w:rsidR="002321A9" w:rsidRPr="000C0B91" w:rsidRDefault="002321A9" w:rsidP="00EB540B">
      <w:pPr>
        <w:jc w:val="both"/>
        <w:rPr>
          <w:rFonts w:ascii="Fiserv" w:hAnsi="Fiserv"/>
          <w:b/>
          <w:bCs/>
        </w:rPr>
      </w:pPr>
      <w:r w:rsidRPr="000C0B91">
        <w:rPr>
          <w:rFonts w:ascii="Fiserv" w:hAnsi="Fiserv"/>
          <w:b/>
          <w:bCs/>
        </w:rPr>
        <w:t>Integracja płatności</w:t>
      </w:r>
    </w:p>
    <w:p w14:paraId="591A1118" w14:textId="42219398" w:rsidR="00033776" w:rsidRPr="000C0B91" w:rsidRDefault="00033776" w:rsidP="00EB540B">
      <w:pPr>
        <w:jc w:val="both"/>
        <w:rPr>
          <w:rFonts w:ascii="Fiserv" w:hAnsi="Fiserv"/>
        </w:rPr>
      </w:pPr>
      <w:r w:rsidRPr="000C0B91">
        <w:rPr>
          <w:rFonts w:ascii="Fiserv" w:hAnsi="Fiserv"/>
        </w:rPr>
        <w:t xml:space="preserve">Istotnym elementem nowoczesnego systemu kaucyjnego </w:t>
      </w:r>
      <w:r w:rsidR="00E41E2A">
        <w:rPr>
          <w:rFonts w:ascii="Fiserv" w:hAnsi="Fiserv"/>
        </w:rPr>
        <w:t>jest</w:t>
      </w:r>
      <w:r w:rsidRPr="000C0B91">
        <w:rPr>
          <w:rFonts w:ascii="Fiserv" w:hAnsi="Fiserv"/>
        </w:rPr>
        <w:t xml:space="preserve"> </w:t>
      </w:r>
      <w:r w:rsidR="00BC16BA">
        <w:rPr>
          <w:rFonts w:ascii="Fiserv" w:hAnsi="Fiserv"/>
        </w:rPr>
        <w:t xml:space="preserve">sposób </w:t>
      </w:r>
      <w:r w:rsidRPr="000C0B91">
        <w:rPr>
          <w:rFonts w:ascii="Fiserv" w:hAnsi="Fiserv"/>
        </w:rPr>
        <w:t xml:space="preserve">rozliczania kaucji. </w:t>
      </w:r>
      <w:r w:rsidR="00B823A8">
        <w:rPr>
          <w:rFonts w:ascii="Fiserv" w:hAnsi="Fiserv"/>
        </w:rPr>
        <w:t xml:space="preserve">Fiserv Polska, właściciel marki </w:t>
      </w:r>
      <w:r w:rsidR="00D3121B">
        <w:rPr>
          <w:rFonts w:ascii="Fiserv" w:hAnsi="Fiserv"/>
        </w:rPr>
        <w:t>PolCard</w:t>
      </w:r>
      <w:r w:rsidR="00B823A8">
        <w:rPr>
          <w:rFonts w:ascii="Fiserv" w:hAnsi="Fiserv"/>
        </w:rPr>
        <w:t xml:space="preserve"> </w:t>
      </w:r>
      <w:r w:rsidR="00D3121B">
        <w:rPr>
          <w:rFonts w:ascii="Fiserv" w:hAnsi="Fiserv"/>
        </w:rPr>
        <w:t xml:space="preserve"> wprowadził pierwsze na polskim rynku rozwiązanie umożliwiające jej zwrot </w:t>
      </w:r>
      <w:r w:rsidR="00CE4291">
        <w:rPr>
          <w:rFonts w:ascii="Fiserv" w:hAnsi="Fiserv"/>
        </w:rPr>
        <w:t>bezpośrednio na rachunek powiązany z kart</w:t>
      </w:r>
      <w:r w:rsidR="00B823A8">
        <w:rPr>
          <w:rFonts w:ascii="Fiserv" w:hAnsi="Fiserv"/>
        </w:rPr>
        <w:t>ą</w:t>
      </w:r>
      <w:r w:rsidR="00CE4291">
        <w:rPr>
          <w:rFonts w:ascii="Fiserv" w:hAnsi="Fiserv"/>
        </w:rPr>
        <w:t xml:space="preserve"> płatniczą. </w:t>
      </w:r>
    </w:p>
    <w:p w14:paraId="580EB8BC" w14:textId="7453BD11" w:rsidR="00033776" w:rsidRPr="000C0B91" w:rsidRDefault="00033776" w:rsidP="00EB540B">
      <w:pPr>
        <w:jc w:val="both"/>
        <w:rPr>
          <w:rFonts w:ascii="Fiserv" w:hAnsi="Fiserv"/>
        </w:rPr>
      </w:pPr>
      <w:r w:rsidRPr="000C0B91">
        <w:rPr>
          <w:rFonts w:ascii="Fiserv" w:hAnsi="Fiserv"/>
        </w:rPr>
        <w:t>Mechanizm ten opiera się na rozwiązaniach</w:t>
      </w:r>
      <w:r w:rsidR="00DE17ED" w:rsidRPr="000C0B91">
        <w:rPr>
          <w:rFonts w:ascii="Fiserv" w:hAnsi="Fiserv"/>
        </w:rPr>
        <w:t xml:space="preserve"> umożliwiających</w:t>
      </w:r>
      <w:r w:rsidRPr="000C0B91">
        <w:rPr>
          <w:rFonts w:ascii="Fiserv" w:hAnsi="Fiserv"/>
        </w:rPr>
        <w:t xml:space="preserve"> realizow</w:t>
      </w:r>
      <w:r w:rsidR="00DE17ED" w:rsidRPr="000C0B91">
        <w:rPr>
          <w:rFonts w:ascii="Fiserv" w:hAnsi="Fiserv"/>
        </w:rPr>
        <w:t>anie</w:t>
      </w:r>
      <w:r w:rsidRPr="000C0B91">
        <w:rPr>
          <w:rFonts w:ascii="Fiserv" w:hAnsi="Fiserv"/>
        </w:rPr>
        <w:t xml:space="preserve"> płatności w czasie rzeczywistym – środki trafiają na konto użytkownika </w:t>
      </w:r>
      <w:r w:rsidR="0037444F">
        <w:rPr>
          <w:rFonts w:ascii="Fiserv" w:hAnsi="Fiserv"/>
        </w:rPr>
        <w:t>w bardzo krótkim czasie.</w:t>
      </w:r>
    </w:p>
    <w:p w14:paraId="3B6A0443" w14:textId="77777777" w:rsidR="000C0B91" w:rsidRPr="000C0B91" w:rsidRDefault="000C0B91" w:rsidP="00EB540B">
      <w:pPr>
        <w:jc w:val="both"/>
        <w:rPr>
          <w:rFonts w:ascii="Fiserv" w:hAnsi="Fiserv"/>
        </w:rPr>
      </w:pPr>
      <w:r w:rsidRPr="000C0B91">
        <w:rPr>
          <w:rFonts w:ascii="Fiserv" w:hAnsi="Fiserv"/>
        </w:rPr>
        <w:t>W praktyce proces wygląda następująco:</w:t>
      </w:r>
    </w:p>
    <w:p w14:paraId="6D32466B" w14:textId="77777777" w:rsidR="000C0B91" w:rsidRPr="000C0B91" w:rsidRDefault="000C0B91" w:rsidP="00EB540B">
      <w:pPr>
        <w:numPr>
          <w:ilvl w:val="0"/>
          <w:numId w:val="1"/>
        </w:numPr>
        <w:jc w:val="both"/>
        <w:rPr>
          <w:rFonts w:ascii="Fiserv" w:hAnsi="Fiserv"/>
        </w:rPr>
      </w:pPr>
      <w:r w:rsidRPr="000C0B91">
        <w:rPr>
          <w:rFonts w:ascii="Fiserv" w:hAnsi="Fiserv"/>
        </w:rPr>
        <w:t>użytkownik oddaje opakowania do recyklomatu,</w:t>
      </w:r>
    </w:p>
    <w:p w14:paraId="3CC46D09" w14:textId="77777777" w:rsidR="000C0B91" w:rsidRPr="000C0B91" w:rsidRDefault="000C0B91" w:rsidP="00EB540B">
      <w:pPr>
        <w:numPr>
          <w:ilvl w:val="0"/>
          <w:numId w:val="1"/>
        </w:numPr>
        <w:jc w:val="both"/>
        <w:rPr>
          <w:rFonts w:ascii="Fiserv" w:hAnsi="Fiserv"/>
        </w:rPr>
      </w:pPr>
      <w:r w:rsidRPr="000C0B91">
        <w:rPr>
          <w:rFonts w:ascii="Fiserv" w:hAnsi="Fiserv"/>
        </w:rPr>
        <w:t>system oblicza należną kwotę kaucji,</w:t>
      </w:r>
    </w:p>
    <w:p w14:paraId="5697B6FA" w14:textId="77777777" w:rsidR="000C0B91" w:rsidRPr="000C0B91" w:rsidRDefault="000C0B91" w:rsidP="00EB540B">
      <w:pPr>
        <w:numPr>
          <w:ilvl w:val="0"/>
          <w:numId w:val="1"/>
        </w:numPr>
        <w:jc w:val="both"/>
        <w:rPr>
          <w:rFonts w:ascii="Fiserv" w:hAnsi="Fiserv"/>
        </w:rPr>
      </w:pPr>
      <w:r w:rsidRPr="000C0B91">
        <w:rPr>
          <w:rFonts w:ascii="Fiserv" w:hAnsi="Fiserv"/>
        </w:rPr>
        <w:t>urządzenie inicjuje wypłatę na terminalu płatniczym,</w:t>
      </w:r>
    </w:p>
    <w:p w14:paraId="15538451" w14:textId="0061D0FF" w:rsidR="000C0B91" w:rsidRPr="000C0B91" w:rsidRDefault="000C0B91" w:rsidP="00EB540B">
      <w:pPr>
        <w:numPr>
          <w:ilvl w:val="0"/>
          <w:numId w:val="1"/>
        </w:numPr>
        <w:jc w:val="both"/>
        <w:rPr>
          <w:rFonts w:ascii="Fiserv" w:hAnsi="Fiserv"/>
        </w:rPr>
      </w:pPr>
      <w:r w:rsidRPr="000C0B91">
        <w:rPr>
          <w:rFonts w:ascii="Fiserv" w:hAnsi="Fiserv"/>
        </w:rPr>
        <w:t xml:space="preserve">użytkownik potwierdza operację przykładając kartę (również w formie mobilnej, </w:t>
      </w:r>
      <w:r w:rsidR="00EB540B">
        <w:rPr>
          <w:rFonts w:ascii="Fiserv" w:hAnsi="Fiserv"/>
        </w:rPr>
        <w:br/>
      </w:r>
      <w:r w:rsidRPr="000C0B91">
        <w:rPr>
          <w:rFonts w:ascii="Fiserv" w:hAnsi="Fiserv"/>
        </w:rPr>
        <w:t>np. Apple Pay lub Google Pay),</w:t>
      </w:r>
    </w:p>
    <w:p w14:paraId="320D6835" w14:textId="4B892172" w:rsidR="00033776" w:rsidRPr="000C0B91" w:rsidRDefault="000C0B91" w:rsidP="00EB540B">
      <w:pPr>
        <w:numPr>
          <w:ilvl w:val="0"/>
          <w:numId w:val="1"/>
        </w:numPr>
        <w:jc w:val="both"/>
        <w:rPr>
          <w:rFonts w:ascii="Fiserv" w:hAnsi="Fiserv"/>
        </w:rPr>
      </w:pPr>
      <w:r w:rsidRPr="000C0B91">
        <w:rPr>
          <w:rFonts w:ascii="Fiserv" w:hAnsi="Fiserv"/>
        </w:rPr>
        <w:t>środki trafiają na rachunek karty w krótkim czasie</w:t>
      </w:r>
      <w:r w:rsidR="0037444F">
        <w:rPr>
          <w:rFonts w:ascii="Fiserv" w:hAnsi="Fiserv"/>
        </w:rPr>
        <w:t>, zwykle w kilkadziesiąt sekund</w:t>
      </w:r>
      <w:r w:rsidR="0037444F" w:rsidRPr="000C0B91">
        <w:rPr>
          <w:rFonts w:ascii="Fiserv" w:hAnsi="Fiserv"/>
        </w:rPr>
        <w:t>.</w:t>
      </w:r>
    </w:p>
    <w:p w14:paraId="09272A03" w14:textId="0C5C330B" w:rsidR="00033776" w:rsidRDefault="000C0B91" w:rsidP="00EB540B">
      <w:pPr>
        <w:jc w:val="both"/>
        <w:rPr>
          <w:rFonts w:ascii="Fiserv" w:hAnsi="Fiserv"/>
          <w:i/>
          <w:iCs/>
        </w:rPr>
      </w:pPr>
      <w:r w:rsidRPr="000C0B91">
        <w:rPr>
          <w:rFonts w:ascii="Fiserv" w:hAnsi="Fiserv"/>
        </w:rPr>
        <w:t xml:space="preserve">- </w:t>
      </w:r>
      <w:r w:rsidR="002C142D" w:rsidRPr="000C0B91">
        <w:rPr>
          <w:rFonts w:ascii="Fiserv" w:hAnsi="Fiserv"/>
          <w:i/>
          <w:iCs/>
        </w:rPr>
        <w:t>Połączenie recyklomatów z usługą zwrotu kaucji na kartę wpisuje się w szerszy trend integracji usług finansowych z infrastrukturą miejską i handlową.</w:t>
      </w:r>
      <w:r w:rsidR="008173C3" w:rsidRPr="000C0B91">
        <w:rPr>
          <w:rFonts w:ascii="Fiserv" w:hAnsi="Fiserv"/>
          <w:i/>
          <w:iCs/>
        </w:rPr>
        <w:t xml:space="preserve"> Dzięki temu system kaucyjny staje się częścią codziennych nawyków konsumentów – podobnie jak płatności bezgotówkowe czy korzystanie </w:t>
      </w:r>
      <w:r w:rsidR="00EB540B">
        <w:rPr>
          <w:rFonts w:ascii="Fiserv" w:hAnsi="Fiserv"/>
          <w:i/>
          <w:iCs/>
        </w:rPr>
        <w:br/>
      </w:r>
      <w:r w:rsidR="008173C3" w:rsidRPr="000C0B91">
        <w:rPr>
          <w:rFonts w:ascii="Fiserv" w:hAnsi="Fiserv"/>
          <w:i/>
          <w:iCs/>
        </w:rPr>
        <w:lastRenderedPageBreak/>
        <w:t>z automatów samoobsługowych</w:t>
      </w:r>
      <w:r w:rsidR="008173C3" w:rsidRPr="000C0B91">
        <w:rPr>
          <w:rFonts w:ascii="Fiserv" w:hAnsi="Fiserv"/>
        </w:rPr>
        <w:t xml:space="preserve"> – zauważa </w:t>
      </w:r>
      <w:r w:rsidR="008173C3" w:rsidRPr="000C0B91">
        <w:rPr>
          <w:rFonts w:ascii="Fiserv" w:hAnsi="Fiserv"/>
          <w:b/>
          <w:bCs/>
        </w:rPr>
        <w:t>Elżbieta Burliga</w:t>
      </w:r>
      <w:r w:rsidR="00214C9B" w:rsidRPr="000C0B91">
        <w:rPr>
          <w:rFonts w:ascii="Fiserv" w:hAnsi="Fiserv"/>
          <w:b/>
          <w:bCs/>
        </w:rPr>
        <w:t>, Dyrektorka ds. Rozwoju Biznesu w Fiserv Polska.</w:t>
      </w:r>
      <w:r>
        <w:rPr>
          <w:rFonts w:ascii="Fiserv" w:hAnsi="Fiserv"/>
          <w:b/>
          <w:bCs/>
        </w:rPr>
        <w:t xml:space="preserve"> </w:t>
      </w:r>
      <w:r w:rsidR="009C64A4">
        <w:rPr>
          <w:rFonts w:ascii="Fiserv" w:hAnsi="Fiserv"/>
          <w:b/>
          <w:bCs/>
        </w:rPr>
        <w:t>–</w:t>
      </w:r>
      <w:r>
        <w:rPr>
          <w:rFonts w:ascii="Fiserv" w:hAnsi="Fiserv"/>
          <w:b/>
          <w:bCs/>
        </w:rPr>
        <w:t xml:space="preserve"> </w:t>
      </w:r>
      <w:r w:rsidR="00262FC3" w:rsidRPr="000C0B91">
        <w:rPr>
          <w:rFonts w:ascii="Fiserv" w:hAnsi="Fiserv"/>
          <w:i/>
          <w:iCs/>
        </w:rPr>
        <w:t>Z perspektywy operatorów oznacza to także nowe możliwości m.in. ograniczenie kosztów operacyjnych dzięki automatyzacji</w:t>
      </w:r>
      <w:r w:rsidR="002267FB">
        <w:rPr>
          <w:rFonts w:ascii="Fiserv" w:hAnsi="Fiserv"/>
          <w:i/>
          <w:iCs/>
        </w:rPr>
        <w:t xml:space="preserve"> płatności</w:t>
      </w:r>
      <w:r w:rsidR="00262FC3" w:rsidRPr="000C0B91">
        <w:rPr>
          <w:rFonts w:ascii="Fiserv" w:hAnsi="Fiserv"/>
          <w:i/>
          <w:iCs/>
        </w:rPr>
        <w:t>, uproszczenie rozliczeń oraz zwiększenie rotacji klientów poprzez wygodniejsze doświadczenie użytkownika.</w:t>
      </w:r>
      <w:r w:rsidR="00033776" w:rsidRPr="000C0B91">
        <w:rPr>
          <w:rFonts w:ascii="Fiserv" w:hAnsi="Fiserv"/>
          <w:i/>
          <w:iCs/>
        </w:rPr>
        <w:t xml:space="preserve"> </w:t>
      </w:r>
      <w:r w:rsidR="002267FB">
        <w:rPr>
          <w:rFonts w:ascii="Fiserv" w:hAnsi="Fiserv"/>
          <w:i/>
          <w:iCs/>
        </w:rPr>
        <w:t xml:space="preserve">Wypłata kaucji na kartę płatniczą pozwala na popularyzację zbiórki opakowań bez powiązania jej z koniecznością realizacji kuponu w konkretnym sklepie, a to pozwala na stawianie maszyn w przestrzeni publicznej – </w:t>
      </w:r>
      <w:r w:rsidR="00EB540B">
        <w:rPr>
          <w:rFonts w:ascii="Fiserv" w:hAnsi="Fiserv"/>
          <w:i/>
          <w:iCs/>
        </w:rPr>
        <w:br/>
      </w:r>
      <w:r w:rsidR="002267FB">
        <w:rPr>
          <w:rFonts w:ascii="Fiserv" w:hAnsi="Fiserv"/>
          <w:i/>
          <w:iCs/>
        </w:rPr>
        <w:t xml:space="preserve">tam gdzie my, jako użytkownicy systemu kaucyjnego się pojawiamy. Dodatkowy atut naszego rozwiązania to fakt, iż kaucja wypłacona na kartę nie ma terminu ważności – w przeciwieństwie </w:t>
      </w:r>
      <w:r w:rsidR="00EB540B">
        <w:rPr>
          <w:rFonts w:ascii="Fiserv" w:hAnsi="Fiserv"/>
          <w:i/>
          <w:iCs/>
        </w:rPr>
        <w:br/>
      </w:r>
      <w:r w:rsidR="002267FB">
        <w:rPr>
          <w:rFonts w:ascii="Fiserv" w:hAnsi="Fiserv"/>
          <w:i/>
          <w:iCs/>
        </w:rPr>
        <w:t xml:space="preserve">do kuponu. Wygoda użytkownika zwiększa szanse na sukces zbiórki, a na tym powinno nam zależeć </w:t>
      </w:r>
      <w:r w:rsidR="00C45FBA">
        <w:rPr>
          <w:rFonts w:ascii="Fiserv" w:hAnsi="Fiserv"/>
          <w:i/>
          <w:iCs/>
        </w:rPr>
        <w:t xml:space="preserve"> </w:t>
      </w:r>
      <w:r w:rsidR="00B814F2">
        <w:rPr>
          <w:rFonts w:ascii="Fiserv" w:hAnsi="Fiserv"/>
        </w:rPr>
        <w:t>– dodaje.</w:t>
      </w:r>
    </w:p>
    <w:p w14:paraId="2ADB8E2E" w14:textId="57BD7153" w:rsidR="00AC7BEC" w:rsidRDefault="0009496F" w:rsidP="00EB540B">
      <w:pPr>
        <w:jc w:val="both"/>
        <w:rPr>
          <w:rFonts w:ascii="Fiserv" w:hAnsi="Fiserv"/>
        </w:rPr>
      </w:pPr>
      <w:r w:rsidRPr="000C0B91">
        <w:rPr>
          <w:rFonts w:ascii="Fiserv" w:hAnsi="Fiserv"/>
        </w:rPr>
        <w:t>Współpraca obu firm pojawia się na styku potrzeb logistycznych i płatniczych.</w:t>
      </w:r>
      <w:r w:rsidR="00AC7BEC">
        <w:rPr>
          <w:rFonts w:ascii="Fiserv" w:hAnsi="Fiserv"/>
        </w:rPr>
        <w:t xml:space="preserve"> </w:t>
      </w:r>
      <w:r w:rsidR="00AC7BEC" w:rsidRPr="00AC7BEC">
        <w:rPr>
          <w:rFonts w:ascii="Fiserv" w:hAnsi="Fiserv"/>
        </w:rPr>
        <w:t>W efekcie powstaje model, w którym recykling staje się szybkim, wygodnym i naturalnym elementem codziennych czynności, a nie dodatkowym obowiązkiem.</w:t>
      </w:r>
      <w:r w:rsidR="00AC7BEC">
        <w:rPr>
          <w:rFonts w:ascii="Fiserv" w:hAnsi="Fiserv"/>
        </w:rPr>
        <w:t xml:space="preserve"> </w:t>
      </w:r>
      <w:r w:rsidR="00AC7BEC" w:rsidRPr="00AC7BEC">
        <w:rPr>
          <w:rFonts w:ascii="Fiserv" w:hAnsi="Fiserv"/>
        </w:rPr>
        <w:t>To właśnie takie podejście – łączące infrastrukturę, logistykę i fintech – może w praktyce przesądzić o skuteczności systemu kaucyjnego w Polsce.</w:t>
      </w:r>
    </w:p>
    <w:p w14:paraId="4706760B" w14:textId="77777777" w:rsidR="00AC7BEC" w:rsidRDefault="00AC7BEC" w:rsidP="00EB540B">
      <w:pPr>
        <w:jc w:val="both"/>
        <w:rPr>
          <w:rFonts w:ascii="Fiserv" w:hAnsi="Fiserv"/>
        </w:rPr>
      </w:pPr>
    </w:p>
    <w:p w14:paraId="1D9B92D7" w14:textId="77777777" w:rsidR="00A26A7D" w:rsidRDefault="00A26A7D" w:rsidP="001256EA">
      <w:pPr>
        <w:spacing w:after="0"/>
        <w:jc w:val="both"/>
        <w:rPr>
          <w:rFonts w:ascii="Fiserv" w:hAnsi="Fiserv" w:cs="Calibri"/>
          <w:b/>
          <w:bCs/>
          <w:sz w:val="18"/>
          <w:szCs w:val="18"/>
        </w:rPr>
      </w:pPr>
    </w:p>
    <w:p w14:paraId="2DF57EEA" w14:textId="77777777" w:rsidR="00A26A7D" w:rsidRDefault="00A26A7D" w:rsidP="001256EA">
      <w:pPr>
        <w:spacing w:after="0"/>
        <w:jc w:val="both"/>
        <w:rPr>
          <w:rFonts w:ascii="Fiserv" w:hAnsi="Fiserv" w:cs="Calibri"/>
          <w:b/>
          <w:bCs/>
          <w:sz w:val="18"/>
          <w:szCs w:val="18"/>
        </w:rPr>
      </w:pPr>
    </w:p>
    <w:p w14:paraId="147263E8" w14:textId="745CFA26" w:rsidR="001256EA" w:rsidRPr="008C3AF3" w:rsidRDefault="001256EA" w:rsidP="001256EA">
      <w:pPr>
        <w:spacing w:after="0"/>
        <w:jc w:val="both"/>
        <w:rPr>
          <w:rFonts w:ascii="Fiserv" w:hAnsi="Fiserv" w:cs="Calibri"/>
          <w:b/>
          <w:bCs/>
          <w:sz w:val="18"/>
          <w:szCs w:val="18"/>
        </w:rPr>
      </w:pPr>
      <w:r w:rsidRPr="008C3AF3">
        <w:rPr>
          <w:rFonts w:ascii="Fiserv" w:hAnsi="Fiserv" w:cs="Calibri"/>
          <w:b/>
          <w:bCs/>
          <w:sz w:val="18"/>
          <w:szCs w:val="18"/>
        </w:rPr>
        <w:t>Więcej informacji:</w:t>
      </w:r>
    </w:p>
    <w:p w14:paraId="036F8A09" w14:textId="77777777" w:rsidR="001256EA" w:rsidRPr="007D2149" w:rsidRDefault="001256EA" w:rsidP="001256EA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7D2149">
        <w:rPr>
          <w:rFonts w:ascii="Fiserv" w:hAnsi="Fiserv" w:cs="Calibri"/>
          <w:sz w:val="18"/>
          <w:szCs w:val="18"/>
        </w:rPr>
        <w:t>Iza Hoppe</w:t>
      </w:r>
    </w:p>
    <w:p w14:paraId="690F2B12" w14:textId="77777777" w:rsidR="001256EA" w:rsidRPr="007D2149" w:rsidRDefault="001256EA" w:rsidP="001256EA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7D2149">
        <w:rPr>
          <w:rFonts w:ascii="Fiserv" w:hAnsi="Fiserv" w:cs="Calibri"/>
          <w:sz w:val="18"/>
          <w:szCs w:val="18"/>
        </w:rPr>
        <w:t>Starsza Konsultantka, Clear Communication Group</w:t>
      </w:r>
    </w:p>
    <w:p w14:paraId="05F44D66" w14:textId="77777777" w:rsidR="001256EA" w:rsidRPr="008C3AF3" w:rsidRDefault="001256EA" w:rsidP="001256EA">
      <w:pPr>
        <w:spacing w:after="0"/>
        <w:jc w:val="both"/>
        <w:rPr>
          <w:rFonts w:ascii="Fiserv" w:hAnsi="Fiserv" w:cs="Calibri"/>
          <w:sz w:val="18"/>
          <w:szCs w:val="18"/>
        </w:rPr>
      </w:pPr>
      <w:r>
        <w:rPr>
          <w:rFonts w:ascii="Fiserv" w:hAnsi="Fiserv" w:cs="Calibri"/>
          <w:sz w:val="18"/>
          <w:szCs w:val="18"/>
        </w:rPr>
        <w:t>Iza.hoppe</w:t>
      </w:r>
      <w:r w:rsidRPr="008C3AF3">
        <w:rPr>
          <w:rFonts w:ascii="Fiserv" w:hAnsi="Fiserv" w:cs="Calibri"/>
          <w:sz w:val="18"/>
          <w:szCs w:val="18"/>
        </w:rPr>
        <w:t>@clearcom.pl</w:t>
      </w:r>
    </w:p>
    <w:p w14:paraId="0849FF33" w14:textId="0D7D2274" w:rsidR="001256EA" w:rsidRDefault="001256EA" w:rsidP="001256EA">
      <w:pPr>
        <w:jc w:val="both"/>
        <w:rPr>
          <w:rFonts w:ascii="Fiserv" w:hAnsi="Fiserv" w:cs="Calibri"/>
          <w:sz w:val="18"/>
          <w:szCs w:val="18"/>
        </w:rPr>
      </w:pPr>
      <w:r w:rsidRPr="008C3AF3">
        <w:rPr>
          <w:rFonts w:ascii="Fiserv" w:hAnsi="Fiserv" w:cs="Calibri"/>
          <w:sz w:val="18"/>
          <w:szCs w:val="18"/>
        </w:rPr>
        <w:t>608 750</w:t>
      </w:r>
      <w:r w:rsidR="00A26A7D">
        <w:rPr>
          <w:rFonts w:ascii="Fiserv" w:hAnsi="Fiserv" w:cs="Calibri"/>
          <w:sz w:val="18"/>
          <w:szCs w:val="18"/>
        </w:rPr>
        <w:t> </w:t>
      </w:r>
      <w:r w:rsidRPr="008C3AF3">
        <w:rPr>
          <w:rFonts w:ascii="Fiserv" w:hAnsi="Fiserv" w:cs="Calibri"/>
          <w:sz w:val="18"/>
          <w:szCs w:val="18"/>
        </w:rPr>
        <w:t>786</w:t>
      </w:r>
    </w:p>
    <w:p w14:paraId="6ADB6BBF" w14:textId="324E2B0C" w:rsidR="00A26A7D" w:rsidRDefault="00A26A7D" w:rsidP="001256EA">
      <w:pPr>
        <w:jc w:val="both"/>
        <w:rPr>
          <w:rFonts w:ascii="Fiserv" w:hAnsi="Fiserv" w:cs="Calibri"/>
          <w:sz w:val="18"/>
          <w:szCs w:val="18"/>
        </w:rPr>
      </w:pPr>
    </w:p>
    <w:p w14:paraId="7BD643EC" w14:textId="1CC78620" w:rsidR="00A26A7D" w:rsidRPr="00B823A8" w:rsidRDefault="00A26A7D" w:rsidP="001256EA">
      <w:pPr>
        <w:jc w:val="both"/>
        <w:rPr>
          <w:rFonts w:ascii="Fiserv" w:hAnsi="Fiserv"/>
          <w:sz w:val="18"/>
          <w:szCs w:val="18"/>
        </w:rPr>
      </w:pPr>
      <w:r w:rsidRPr="00B823A8">
        <w:rPr>
          <w:rFonts w:ascii="Fiserv" w:hAnsi="Fiserv"/>
          <w:sz w:val="18"/>
          <w:szCs w:val="18"/>
        </w:rPr>
        <w:t>EcoAction –</w:t>
      </w:r>
      <w:r w:rsidR="002D3CA8">
        <w:rPr>
          <w:rFonts w:ascii="Fiserv" w:hAnsi="Fiserv"/>
          <w:sz w:val="18"/>
          <w:szCs w:val="18"/>
        </w:rPr>
        <w:t xml:space="preserve"> </w:t>
      </w:r>
      <w:r w:rsidR="00B4583C" w:rsidRPr="00B4583C">
        <w:rPr>
          <w:rFonts w:ascii="Fiserv" w:hAnsi="Fiserv"/>
          <w:sz w:val="18"/>
          <w:szCs w:val="18"/>
        </w:rPr>
        <w:t>marka</w:t>
      </w:r>
      <w:r w:rsidR="002D3CA8">
        <w:rPr>
          <w:rFonts w:ascii="Fiserv" w:hAnsi="Fiserv"/>
          <w:sz w:val="18"/>
          <w:szCs w:val="18"/>
        </w:rPr>
        <w:t xml:space="preserve"> </w:t>
      </w:r>
      <w:r w:rsidR="00B4583C" w:rsidRPr="00B4583C">
        <w:rPr>
          <w:rFonts w:ascii="Fiserv" w:hAnsi="Fiserv"/>
          <w:sz w:val="18"/>
          <w:szCs w:val="18"/>
        </w:rPr>
        <w:t>nowoczesn</w:t>
      </w:r>
      <w:r w:rsidR="002D3CA8">
        <w:rPr>
          <w:rFonts w:ascii="Fiserv" w:hAnsi="Fiserv"/>
          <w:sz w:val="18"/>
          <w:szCs w:val="18"/>
        </w:rPr>
        <w:t>ych</w:t>
      </w:r>
      <w:r w:rsidR="00B4583C" w:rsidRPr="00B4583C">
        <w:rPr>
          <w:rFonts w:ascii="Fiserv" w:hAnsi="Fiserv"/>
          <w:sz w:val="18"/>
          <w:szCs w:val="18"/>
        </w:rPr>
        <w:t xml:space="preserve"> polski</w:t>
      </w:r>
      <w:r w:rsidR="002D3CA8">
        <w:rPr>
          <w:rFonts w:ascii="Fiserv" w:hAnsi="Fiserv"/>
          <w:sz w:val="18"/>
          <w:szCs w:val="18"/>
        </w:rPr>
        <w:t>ch</w:t>
      </w:r>
      <w:r w:rsidR="00B4583C" w:rsidRPr="00B4583C">
        <w:rPr>
          <w:rFonts w:ascii="Fiserv" w:hAnsi="Fiserv"/>
          <w:sz w:val="18"/>
          <w:szCs w:val="18"/>
        </w:rPr>
        <w:t xml:space="preserve"> recyklomat</w:t>
      </w:r>
      <w:r w:rsidR="002D3CA8">
        <w:rPr>
          <w:rFonts w:ascii="Fiserv" w:hAnsi="Fiserv"/>
          <w:sz w:val="18"/>
          <w:szCs w:val="18"/>
        </w:rPr>
        <w:t>ów</w:t>
      </w:r>
      <w:r w:rsidR="00B4583C" w:rsidRPr="00B4583C">
        <w:rPr>
          <w:rFonts w:ascii="Fiserv" w:hAnsi="Fiserv"/>
          <w:sz w:val="18"/>
          <w:szCs w:val="18"/>
        </w:rPr>
        <w:t>, wspiera system kaucyjny i gospodarkę o obiegu zamkniętym. Pomaga sklepom działać ekologicznie, efektywnie i zgodnie z przepisami. Dzięki przewadze technologicznej i opatentowanemu procesowi belowania, osiąga najwyższy na polskim rynku stopień kompresji – 93%</w:t>
      </w:r>
      <w:r w:rsidR="00B4583C">
        <w:rPr>
          <w:rFonts w:ascii="Fiserv" w:hAnsi="Fiserv"/>
          <w:sz w:val="18"/>
          <w:szCs w:val="18"/>
        </w:rPr>
        <w:t xml:space="preserve">, co minimalizuje wymaganą częstotliwość </w:t>
      </w:r>
      <w:r w:rsidR="00B4583C" w:rsidRPr="00B4583C">
        <w:rPr>
          <w:rFonts w:ascii="Fiserv" w:hAnsi="Fiserv"/>
          <w:sz w:val="18"/>
          <w:szCs w:val="18"/>
        </w:rPr>
        <w:t>opróżniania urządzenia, gwarantuj</w:t>
      </w:r>
      <w:r w:rsidR="002D3CA8">
        <w:rPr>
          <w:rFonts w:ascii="Fiserv" w:hAnsi="Fiserv"/>
          <w:sz w:val="18"/>
          <w:szCs w:val="18"/>
        </w:rPr>
        <w:t>e</w:t>
      </w:r>
      <w:r w:rsidR="00B4583C" w:rsidRPr="00B4583C">
        <w:rPr>
          <w:rFonts w:ascii="Fiserv" w:hAnsi="Fiserv"/>
          <w:sz w:val="18"/>
          <w:szCs w:val="18"/>
        </w:rPr>
        <w:t xml:space="preserve"> 8-krotnie mniejszą przestrzeń magazynowania surowca oraz niższe koszty materiałów eksploatacyjnych i energii.</w:t>
      </w:r>
      <w:r w:rsidR="00B4583C">
        <w:rPr>
          <w:rFonts w:ascii="Fiserv" w:hAnsi="Fiserv"/>
          <w:sz w:val="18"/>
          <w:szCs w:val="18"/>
        </w:rPr>
        <w:t xml:space="preserve"> EcoAction o</w:t>
      </w:r>
      <w:r w:rsidR="00B4583C" w:rsidRPr="00B4583C">
        <w:rPr>
          <w:rFonts w:ascii="Fiserv" w:hAnsi="Fiserv"/>
          <w:sz w:val="18"/>
          <w:szCs w:val="18"/>
        </w:rPr>
        <w:t xml:space="preserve">feruje również funkcję przywracania kształtu zgniecionym butelkom PET. </w:t>
      </w:r>
      <w:r w:rsidR="002D3CA8">
        <w:rPr>
          <w:rFonts w:ascii="Fiserv" w:hAnsi="Fiserv"/>
          <w:sz w:val="18"/>
          <w:szCs w:val="18"/>
        </w:rPr>
        <w:t>M</w:t>
      </w:r>
      <w:r w:rsidR="002D3CA8" w:rsidRPr="000A05F3">
        <w:rPr>
          <w:rFonts w:ascii="Fiserv" w:hAnsi="Fiserv"/>
          <w:sz w:val="18"/>
          <w:szCs w:val="18"/>
        </w:rPr>
        <w:t xml:space="preserve">arka </w:t>
      </w:r>
      <w:r w:rsidR="002D3CA8">
        <w:rPr>
          <w:rFonts w:ascii="Fiserv" w:hAnsi="Fiserv"/>
          <w:sz w:val="18"/>
          <w:szCs w:val="18"/>
        </w:rPr>
        <w:t xml:space="preserve">EcoAction </w:t>
      </w:r>
      <w:r w:rsidR="002D3CA8" w:rsidRPr="000A05F3">
        <w:rPr>
          <w:rFonts w:ascii="Fiserv" w:hAnsi="Fiserv"/>
          <w:sz w:val="18"/>
          <w:szCs w:val="18"/>
        </w:rPr>
        <w:t>należ</w:t>
      </w:r>
      <w:r w:rsidR="002D3CA8">
        <w:rPr>
          <w:rFonts w:ascii="Fiserv" w:hAnsi="Fiserv"/>
          <w:sz w:val="18"/>
          <w:szCs w:val="18"/>
        </w:rPr>
        <w:t>y</w:t>
      </w:r>
      <w:r w:rsidR="002D3CA8" w:rsidRPr="000A05F3">
        <w:rPr>
          <w:rFonts w:ascii="Fiserv" w:hAnsi="Fiserv"/>
          <w:sz w:val="18"/>
          <w:szCs w:val="18"/>
        </w:rPr>
        <w:t xml:space="preserve"> do </w:t>
      </w:r>
      <w:r w:rsidR="002D3CA8">
        <w:rPr>
          <w:rFonts w:ascii="Fiserv" w:hAnsi="Fiserv"/>
          <w:sz w:val="18"/>
          <w:szCs w:val="18"/>
        </w:rPr>
        <w:t xml:space="preserve">firmy </w:t>
      </w:r>
      <w:r w:rsidR="002D3CA8" w:rsidRPr="000A05F3">
        <w:rPr>
          <w:rFonts w:ascii="Fiserv" w:hAnsi="Fiserv"/>
          <w:sz w:val="18"/>
          <w:szCs w:val="18"/>
        </w:rPr>
        <w:t>Action Production Sp. z o.o., która jest części GK ACTION S.A.</w:t>
      </w:r>
      <w:r w:rsidR="002D3CA8">
        <w:rPr>
          <w:rFonts w:ascii="Fiserv" w:hAnsi="Fiserv"/>
          <w:sz w:val="18"/>
          <w:szCs w:val="18"/>
        </w:rPr>
        <w:t xml:space="preserve"> </w:t>
      </w:r>
    </w:p>
    <w:p w14:paraId="67F29136" w14:textId="77777777" w:rsidR="00B823A8" w:rsidRPr="00B823A8" w:rsidRDefault="00B823A8" w:rsidP="00B823A8">
      <w:pPr>
        <w:jc w:val="both"/>
        <w:rPr>
          <w:rFonts w:ascii="Fiserv" w:hAnsi="Fiserv"/>
          <w:b/>
          <w:bCs/>
          <w:i/>
          <w:iCs/>
          <w:u w:val="single"/>
        </w:rPr>
      </w:pPr>
      <w:r w:rsidRPr="00B823A8">
        <w:rPr>
          <w:rFonts w:ascii="Fiserv" w:hAnsi="Fiserv"/>
          <w:b/>
          <w:bCs/>
          <w:i/>
          <w:iCs/>
          <w:u w:val="single"/>
        </w:rPr>
        <w:t xml:space="preserve">O Fiserv </w:t>
      </w:r>
    </w:p>
    <w:p w14:paraId="5FB9A3A0" w14:textId="3EEE37A9" w:rsidR="00B823A8" w:rsidRPr="00CB3D0A" w:rsidRDefault="00B823A8" w:rsidP="00B823A8">
      <w:pPr>
        <w:jc w:val="both"/>
        <w:rPr>
          <w:rFonts w:ascii="Fiserv" w:hAnsi="Fiserv"/>
          <w:i/>
          <w:iCs/>
        </w:rPr>
      </w:pPr>
      <w:r w:rsidRPr="00CB3D0A">
        <w:rPr>
          <w:rFonts w:ascii="Fiserv" w:hAnsi="Fiserv"/>
          <w:i/>
          <w:iCs/>
        </w:rPr>
        <w:t>Fiserv Polska S.A., właściciel marki PolCard należy do  grupy Fiserv, Inc. (NASDAQ: FISV), któr</w:t>
      </w:r>
      <w:r>
        <w:rPr>
          <w:rFonts w:ascii="Fiserv" w:hAnsi="Fiserv"/>
          <w:i/>
          <w:iCs/>
        </w:rPr>
        <w:t>a</w:t>
      </w:r>
      <w:r w:rsidRPr="00CB3D0A">
        <w:rPr>
          <w:rFonts w:ascii="Fiserv" w:hAnsi="Fiserv"/>
          <w:i/>
          <w:iCs/>
        </w:rPr>
        <w:t xml:space="preserve"> dąży do tego, aby przesyłać pieniądze i informacje w sposób, który porusza świat. Jako globalny lider w obszarze płatności i technologii finansowych firma wspiera klientów w osiąganiu najlepszych wyników, koncentrując się na innowacyjności i doskonałości w takich obszarach jak: rozwiązania bankowości cyfrowej; obsługa kart i usługi sieciowe; płatności cyfrowe; e</w:t>
      </w:r>
      <w:r w:rsidRPr="00CB3D0A">
        <w:rPr>
          <w:rFonts w:ascii="Fiserv" w:hAnsi="Fiserv"/>
          <w:i/>
          <w:iCs/>
        </w:rPr>
        <w:noBreakHyphen/>
        <w:t>commerce; acquiring i przetwarzanie płatności; a także Clover® – chmurowa platforma do obsługi punktów sprzedaży i zarządzania biznesem.</w:t>
      </w:r>
    </w:p>
    <w:p w14:paraId="6FC71740" w14:textId="77777777" w:rsidR="00B823A8" w:rsidRPr="00CB3D0A" w:rsidRDefault="00B823A8" w:rsidP="00B823A8">
      <w:pPr>
        <w:jc w:val="both"/>
        <w:rPr>
          <w:rFonts w:ascii="Fiserv" w:hAnsi="Fiserv"/>
          <w:i/>
          <w:iCs/>
        </w:rPr>
      </w:pPr>
      <w:r w:rsidRPr="00CB3D0A">
        <w:rPr>
          <w:rFonts w:ascii="Fiserv" w:hAnsi="Fiserv"/>
          <w:i/>
          <w:iCs/>
        </w:rPr>
        <w:t>Fiserv jest członkiem indeksu S\&amp;P 500® oraz znajduje się w gronie najbardziej podziwianych firm świata według rankingu Fortune®.</w:t>
      </w:r>
    </w:p>
    <w:p w14:paraId="11761DE3" w14:textId="5C6F5F06" w:rsidR="00ED329C" w:rsidRPr="00A26A7D" w:rsidRDefault="00B823A8" w:rsidP="00ED329C">
      <w:pPr>
        <w:rPr>
          <w:rFonts w:ascii="Fiserv" w:hAnsi="Fiserv"/>
        </w:rPr>
      </w:pPr>
      <w:r w:rsidRPr="00CB3D0A">
        <w:rPr>
          <w:rFonts w:ascii="Fiserv" w:hAnsi="Fiserv"/>
          <w:i/>
          <w:iCs/>
        </w:rPr>
        <w:t>Więcej informacji i najnowsze aktualności o firmie można znaleźć na stronie fiserv.com, polcard.pl oraz w mediach społecznościowych.</w:t>
      </w:r>
    </w:p>
    <w:p w14:paraId="438654AA" w14:textId="77777777" w:rsidR="006B21E3" w:rsidRPr="00A26A7D" w:rsidRDefault="006B21E3">
      <w:pPr>
        <w:rPr>
          <w:rFonts w:ascii="Fiserv" w:hAnsi="Fiserv"/>
        </w:rPr>
      </w:pPr>
    </w:p>
    <w:sectPr w:rsidR="006B21E3" w:rsidRPr="00A2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iserv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0E3F"/>
    <w:multiLevelType w:val="multilevel"/>
    <w:tmpl w:val="83CC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F73E8"/>
    <w:multiLevelType w:val="multilevel"/>
    <w:tmpl w:val="CC08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52285">
    <w:abstractNumId w:val="0"/>
  </w:num>
  <w:num w:numId="2" w16cid:durableId="814839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AA"/>
    <w:rsid w:val="00000DE3"/>
    <w:rsid w:val="000076EB"/>
    <w:rsid w:val="00033776"/>
    <w:rsid w:val="00047383"/>
    <w:rsid w:val="00072871"/>
    <w:rsid w:val="0009496F"/>
    <w:rsid w:val="000B65BB"/>
    <w:rsid w:val="000C0B91"/>
    <w:rsid w:val="00106876"/>
    <w:rsid w:val="0010779F"/>
    <w:rsid w:val="001220A0"/>
    <w:rsid w:val="001256EA"/>
    <w:rsid w:val="00137CFD"/>
    <w:rsid w:val="0014209E"/>
    <w:rsid w:val="00153C5B"/>
    <w:rsid w:val="001542BB"/>
    <w:rsid w:val="00214C9B"/>
    <w:rsid w:val="0022136C"/>
    <w:rsid w:val="002267FB"/>
    <w:rsid w:val="002321A9"/>
    <w:rsid w:val="00262FC3"/>
    <w:rsid w:val="00270995"/>
    <w:rsid w:val="00274811"/>
    <w:rsid w:val="00294EA6"/>
    <w:rsid w:val="002C079D"/>
    <w:rsid w:val="002C142D"/>
    <w:rsid w:val="002D3CA8"/>
    <w:rsid w:val="002D420B"/>
    <w:rsid w:val="002F2C93"/>
    <w:rsid w:val="00302E6A"/>
    <w:rsid w:val="00311263"/>
    <w:rsid w:val="003461C8"/>
    <w:rsid w:val="0037444F"/>
    <w:rsid w:val="003B3993"/>
    <w:rsid w:val="003B62DF"/>
    <w:rsid w:val="00421427"/>
    <w:rsid w:val="00484F14"/>
    <w:rsid w:val="004920AA"/>
    <w:rsid w:val="004F678D"/>
    <w:rsid w:val="004F6B31"/>
    <w:rsid w:val="0051664F"/>
    <w:rsid w:val="0052712E"/>
    <w:rsid w:val="005321DD"/>
    <w:rsid w:val="00534CF8"/>
    <w:rsid w:val="00547943"/>
    <w:rsid w:val="00596B4B"/>
    <w:rsid w:val="005B3298"/>
    <w:rsid w:val="005C33BA"/>
    <w:rsid w:val="005F75BA"/>
    <w:rsid w:val="00605863"/>
    <w:rsid w:val="00612C98"/>
    <w:rsid w:val="00636A0B"/>
    <w:rsid w:val="00667209"/>
    <w:rsid w:val="006803BB"/>
    <w:rsid w:val="00693329"/>
    <w:rsid w:val="006B21E3"/>
    <w:rsid w:val="006C7230"/>
    <w:rsid w:val="006F7BE3"/>
    <w:rsid w:val="00750CBC"/>
    <w:rsid w:val="00756A5B"/>
    <w:rsid w:val="00762676"/>
    <w:rsid w:val="007A2629"/>
    <w:rsid w:val="007A2DF6"/>
    <w:rsid w:val="007A643E"/>
    <w:rsid w:val="007A7842"/>
    <w:rsid w:val="007E4F2A"/>
    <w:rsid w:val="008173C3"/>
    <w:rsid w:val="008C31CE"/>
    <w:rsid w:val="008F05B4"/>
    <w:rsid w:val="00902AE8"/>
    <w:rsid w:val="00917E22"/>
    <w:rsid w:val="00951E17"/>
    <w:rsid w:val="009B0D53"/>
    <w:rsid w:val="009B4BE6"/>
    <w:rsid w:val="009C64A4"/>
    <w:rsid w:val="009F64F4"/>
    <w:rsid w:val="00A26A7D"/>
    <w:rsid w:val="00A54FBB"/>
    <w:rsid w:val="00A55988"/>
    <w:rsid w:val="00A72EE9"/>
    <w:rsid w:val="00A84992"/>
    <w:rsid w:val="00AC7BEC"/>
    <w:rsid w:val="00B06843"/>
    <w:rsid w:val="00B4583C"/>
    <w:rsid w:val="00B51135"/>
    <w:rsid w:val="00B73C24"/>
    <w:rsid w:val="00B7441D"/>
    <w:rsid w:val="00B814F2"/>
    <w:rsid w:val="00B823A8"/>
    <w:rsid w:val="00B93858"/>
    <w:rsid w:val="00BA402B"/>
    <w:rsid w:val="00BA56CF"/>
    <w:rsid w:val="00BC16BA"/>
    <w:rsid w:val="00BD3BDE"/>
    <w:rsid w:val="00BF01EB"/>
    <w:rsid w:val="00BF5CD1"/>
    <w:rsid w:val="00BF607E"/>
    <w:rsid w:val="00C13E48"/>
    <w:rsid w:val="00C27E51"/>
    <w:rsid w:val="00C33F94"/>
    <w:rsid w:val="00C43DBA"/>
    <w:rsid w:val="00C45FBA"/>
    <w:rsid w:val="00CC0018"/>
    <w:rsid w:val="00CC04EF"/>
    <w:rsid w:val="00CD58E7"/>
    <w:rsid w:val="00CE4291"/>
    <w:rsid w:val="00CE6AC3"/>
    <w:rsid w:val="00CF5874"/>
    <w:rsid w:val="00D06284"/>
    <w:rsid w:val="00D1629E"/>
    <w:rsid w:val="00D210B9"/>
    <w:rsid w:val="00D25D49"/>
    <w:rsid w:val="00D3121B"/>
    <w:rsid w:val="00D4302B"/>
    <w:rsid w:val="00D566F6"/>
    <w:rsid w:val="00D935CC"/>
    <w:rsid w:val="00DB056D"/>
    <w:rsid w:val="00DD57B9"/>
    <w:rsid w:val="00DE17ED"/>
    <w:rsid w:val="00E27211"/>
    <w:rsid w:val="00E33EC4"/>
    <w:rsid w:val="00E377A3"/>
    <w:rsid w:val="00E41E2A"/>
    <w:rsid w:val="00E955C4"/>
    <w:rsid w:val="00EB540B"/>
    <w:rsid w:val="00EC79CA"/>
    <w:rsid w:val="00ED329C"/>
    <w:rsid w:val="00EE1A39"/>
    <w:rsid w:val="00F02ECD"/>
    <w:rsid w:val="00F22538"/>
    <w:rsid w:val="00F56200"/>
    <w:rsid w:val="00F8603E"/>
    <w:rsid w:val="00FC3A8C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38CE"/>
  <w15:chartTrackingRefBased/>
  <w15:docId w15:val="{14604A40-16EC-494F-9B9B-1B456BA5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3C"/>
  </w:style>
  <w:style w:type="paragraph" w:styleId="Nagwek1">
    <w:name w:val="heading 1"/>
    <w:basedOn w:val="Normalny"/>
    <w:next w:val="Normalny"/>
    <w:uiPriority w:val="9"/>
    <w:qFormat/>
    <w:rsid w:val="00492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9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92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92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92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92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492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492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492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92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20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20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04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C7BEC"/>
    <w:rPr>
      <w:rFonts w:ascii="Times New Roman" w:hAnsi="Times New Roman" w:cs="Times New Roman"/>
      <w:sz w:val="24"/>
      <w:szCs w:val="24"/>
    </w:rPr>
  </w:style>
  <w:style w:type="character" w:customStyle="1" w:styleId="CommentReference">
    <w:name w:val="Comment Reference"/>
    <w:basedOn w:val="Domylnaczcionkaakapitu"/>
    <w:uiPriority w:val="99"/>
    <w:semiHidden/>
    <w:unhideWhenUsed/>
    <w:rsid w:val="00FC3A8C"/>
    <w:rPr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unhideWhenUsed/>
    <w:rsid w:val="00FC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"/>
    <w:uiPriority w:val="99"/>
    <w:rsid w:val="00FC3A8C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FC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A8C"/>
    <w:rPr>
      <w:b/>
      <w:bCs/>
      <w:sz w:val="20"/>
      <w:szCs w:val="20"/>
    </w:rPr>
  </w:style>
  <w:style w:type="character" w:customStyle="1" w:styleId="TytuZnak1">
    <w:name w:val="Tytuł Znak1"/>
    <w:basedOn w:val="Domylnaczcionkaakapitu"/>
    <w:uiPriority w:val="10"/>
    <w:rsid w:val="00FC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FC3A8C"/>
    <w:rPr>
      <w:rFonts w:eastAsiaTheme="minorEastAsia"/>
      <w:color w:val="5A5A5A" w:themeColor="text1" w:themeTint="A5"/>
      <w:spacing w:val="15"/>
    </w:rPr>
  </w:style>
  <w:style w:type="character" w:customStyle="1" w:styleId="CytatZnak1">
    <w:name w:val="Cytat Znak1"/>
    <w:basedOn w:val="Domylnaczcionkaakapitu"/>
    <w:uiPriority w:val="29"/>
    <w:rsid w:val="00FC3A8C"/>
    <w:rPr>
      <w:i/>
      <w:iCs/>
      <w:color w:val="404040" w:themeColor="text1" w:themeTint="BF"/>
    </w:rPr>
  </w:style>
  <w:style w:type="character" w:customStyle="1" w:styleId="CytatintensywnyZnak1">
    <w:name w:val="Cytat intensywny Znak1"/>
    <w:basedOn w:val="Domylnaczcionkaakapitu"/>
    <w:uiPriority w:val="30"/>
    <w:rsid w:val="00FC3A8C"/>
    <w:rPr>
      <w:i/>
      <w:iCs/>
      <w:color w:val="156082" w:themeColor="accent1"/>
    </w:rPr>
  </w:style>
  <w:style w:type="character" w:customStyle="1" w:styleId="Nagwek1Znak">
    <w:name w:val="Nagłówek 1 Znak"/>
    <w:basedOn w:val="Domylnaczcionkaakapitu"/>
    <w:uiPriority w:val="9"/>
    <w:rsid w:val="00BF5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BF5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BF5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BF5C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BF5C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BF5C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BF5C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BF5C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BF5CD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BF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BF5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BF5CD1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BF5CD1"/>
    <w:rPr>
      <w:i/>
      <w:iCs/>
      <w:color w:val="0F476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4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4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4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4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43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26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86369-aa36-4f9b-bce6-09a3219410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FC96725C30E48AA3F8EBBD054ADDB" ma:contentTypeVersion="16" ma:contentTypeDescription="Create a new document." ma:contentTypeScope="" ma:versionID="979c57ee2fa9a8f60a54027e615869f3">
  <xsd:schema xmlns:xsd="http://www.w3.org/2001/XMLSchema" xmlns:xs="http://www.w3.org/2001/XMLSchema" xmlns:p="http://schemas.microsoft.com/office/2006/metadata/properties" xmlns:ns2="1b886369-aa36-4f9b-bce6-09a321941024" xmlns:ns3="049d7ecb-b05c-4ce8-bcd8-7685da27ce23" targetNamespace="http://schemas.microsoft.com/office/2006/metadata/properties" ma:root="true" ma:fieldsID="6b77eb6ebea64852e60a0e59a11a8fa2" ns2:_="" ns3:_="">
    <xsd:import namespace="1b886369-aa36-4f9b-bce6-09a321941024"/>
    <xsd:import namespace="049d7ecb-b05c-4ce8-bcd8-7685da27c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6369-aa36-4f9b-bce6-09a3219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d7ecb-b05c-4ce8-bcd8-7685da27c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317F5-FB50-4FBD-8DB2-9377950CB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7670F-2FF2-41A8-8B62-6D5F5A3DB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E1C10-65BB-4557-AB26-8700122A4787}">
  <ds:schemaRefs>
    <ds:schemaRef ds:uri="http://schemas.microsoft.com/office/2006/metadata/properties"/>
    <ds:schemaRef ds:uri="http://schemas.microsoft.com/office/infopath/2007/PartnerControls"/>
    <ds:schemaRef ds:uri="1b886369-aa36-4f9b-bce6-09a321941024"/>
  </ds:schemaRefs>
</ds:datastoreItem>
</file>

<file path=customXml/itemProps4.xml><?xml version="1.0" encoding="utf-8"?>
<ds:datastoreItem xmlns:ds="http://schemas.openxmlformats.org/officeDocument/2006/customXml" ds:itemID="{3E5C14FE-D650-4779-A0B0-C5F487500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6369-aa36-4f9b-bce6-09a321941024"/>
    <ds:schemaRef ds:uri="049d7ecb-b05c-4ce8-bcd8-7685da27c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Hoppe CCG</dc:creator>
  <cp:keywords/>
  <dc:description/>
  <cp:lastModifiedBy>Iza Hoppe CCG</cp:lastModifiedBy>
  <cp:revision>10</cp:revision>
  <dcterms:created xsi:type="dcterms:W3CDTF">2026-05-08T14:43:00Z</dcterms:created>
  <dcterms:modified xsi:type="dcterms:W3CDTF">2026-05-13T05:50:00Z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0x01010016FFC96725C30E48AA3F8EBBD054ADDB</vt:lpwstr>
  </property>
  <property fmtid="{D5CDD505-2E9C-101B-9397-08002B2CF9AE}" pid="3" name="MediaServiceImageTags">
    <vt:lpwstr/>
  </property>
</Properties>
</file>