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 Light" w:cs="Raleway Light" w:eastAsia="Raleway Light" w:hAnsi="Raleway Ligh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Fonts w:ascii="Raleway Light" w:cs="Raleway Light" w:eastAsia="Raleway Light" w:hAnsi="Raleway Light"/>
          <w:i w:val="1"/>
          <w:iCs w:val="1"/>
          <w:color w:val="434343"/>
          <w:rtl w:val="0"/>
        </w:rPr>
        <w:t xml:space="preserve">Informacja Prasowa</w:t>
      </w:r>
    </w:p>
    <w:p w:rsidR="00000000" w:rsidDel="00000000" w:rsidP="00000000" w:rsidRDefault="00000000" w:rsidRPr="00000000" w14:paraId="00000004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 Light" w:cs="Raleway Light" w:eastAsia="Raleway Light" w:hAnsi="Raleway Light"/>
          <w:color w:val="434343"/>
          <w:rtl w:val="0"/>
        </w:rPr>
        <w:t xml:space="preserve">Warszawa, dnia 13.05.2026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288" w:lineRule="auto"/>
        <w:jc w:val="center"/>
        <w:rPr>
          <w:rFonts w:ascii="Raleway" w:cs="Raleway" w:eastAsia="Raleway" w:hAnsi="Raleway"/>
          <w:color w:val="222222"/>
        </w:rPr>
      </w:pPr>
      <w:bookmarkStart w:colFirst="0" w:colLast="0" w:name="_7abz3oaop93c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212b35"/>
          <w:sz w:val="28"/>
          <w:szCs w:val="28"/>
          <w:rtl w:val="0"/>
        </w:rPr>
        <w:t xml:space="preserve">MediaPlus z pierwszą kampanią TV Dr. Beckmann dla listków piorących “Magic Leaves”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8.0000000000000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Dr. Beckmann debiutuje z listkami piorącymi “Magic Leaves" w polskiej telewizji z kampanią mediową przygotowaną we współpracy z MediaPlus. To pierwsza kampania TV marki w Polsce i jednocześnie zintegrowana aktywacja mediowa promująca detergenty do prania w formie listków piorących „Magic Leaves”, realizowana w telewizji, VOD oraz na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YouTube.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W ramach współpracy MediaPlus odpowiada za strategię mediową, VOD oraz koordynację projektu we współpracy z Salestube, odpowiedzialnym za zakup i raportowanie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działań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 na YouTube.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Debiut marki w telewizji został zaplanowany jako szerokozasięgowe działanie wspierające rozwój produktu. Listki piorące „Magic Leaves” to dynamicznie rozwijający się format detergentu do prania, zaprojektowany z myślą o wygodzie użytkowania i efektywności. Genialnie wpisuje się w rosnące oczekiwania konsumentów szukających produktów skutecznych, a jednocześnie łatwych w użyciu i przechowywaniu. Kampania wspiera rozwój kategorii oraz wzmacnia pozycję Dr. Beckmann jako marki oferującej praktyczne, nowoczesne rozwiązania w codziennym dbaniu o dom. Strategia mediowa została oparta na koncepcji „Simple Formula: Sustainable Growth”, łączącej tworzenie popytu z jego konwersją. W ramach działań MediaPlus wykorzystuje komplementarny media mix, który integruje zasięg telewizji z precyzją kanałów online video.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Szerokozasięgowa kampania TV zapewnia skuteczne budowanie świadomości marki. Strategię uzupełnia precyzyjnie targetowana obecność w serwisach VOD dobrana tak, aby maksymalizować dotarcie do grupy docelowej. Dopełnieniem ekosystemu wideo są wysokozasięgowe działania na YouTube, gwarantujące pełną widoczność przekazu.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Działania TV prowadzone są m.in.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w stacjach Polsat, kanałach tematycznych Polsatu, TVN MAX+, Premium TV oraz TVP Mix.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Za realizację kampanii odpowiadają spółki Group One działające w modelu House of Communication. MediaPlus koordynuje całość działań, odpowiada za komunikację z klientem, strategię mediową oraz działania VOD, a Salestube za zakup i raportowanie kampanii na YouTube. Kampania potrwa do 30 sierpnia 2026 roku.</w:t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Reklamę listków piorących “Magic Leaves” można obejrzeć </w:t>
      </w:r>
      <w:hyperlink r:id="rId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TUTAJ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="278.0000000000000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MediaPlus</w:t>
      </w:r>
    </w:p>
    <w:p w:rsidR="00000000" w:rsidDel="00000000" w:rsidP="00000000" w:rsidRDefault="00000000" w:rsidRPr="00000000" w14:paraId="0000000F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Wielokrotnie nagradzana i najlepiej oceniana przez Klientów agencja mediowa w Polsce wg badania Kantar i Raportu “Agencje Reklamowe i Domy Mediowe 2024” magazynu “Media i Marketing Polska”, z pozycją “Dominant” w globalnym rankingu RECMA i tytułem “Najlepszej Niezależnej Agencji” według rankingu WARC. W 2024 roku wyróżniona w rankingu “Panorama Reklamy” magazynu Press tytułem “Zaufanie Roku”. MediaPlus oferuje zintegrowane doradztwo strategiczne i mediowe, łącząc na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plus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biznesu klientów najszersze kompetencje komunikacyjne na rynku z zakresu technologii, kreacji i contentu, e-commerce i MarTech oraz digital transformation. Jest częścią Serviceplan – największej niezależnej grupy komunikacji marketingowej w Europie oraz MediaPlus International z siedzibą w Berlinie. Dzięki wymianie wiedzy z zagranicznymi partnerami i wieloletniemu doświadczeniu na polskim rynku spółka z sukcesami realizuje strategie i działania mediowe dla krajowych i globalnych marek takich jak: Polkomtel, Grupa De’Longhi, Stada, E.ON, czy Kikkoman.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***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 Salestube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Spółka e-commerce &amp; MarTech connected z oddziałami w Warszawie, Nowym Jorku, Auckland i Berlinie. Łączy kompetencje w obszarze e-commerce, technologii, danych i mediów, aby budować najlepsze doświadczenie użytkowników w świecie zakupów na ponad 35 światowych rynkach. Partner technologiczny Big Tech, m.in. Google Marketing Platform, Google Cloud, Salesforce, Microsoft, Meta, TikTok. Jedna z pierwszych firm na świecie z pełną certyfikacją Google Marketing Platform i największy reseller tej technologii w regionie CEE obsługujący ponad 250 klientów. Agencja Digital 2021 oraz 2024 wg M&amp;MP, w 2023 roku wyróżniona tytułem “Mistrzowie Efektywności” w Raporcie Agencje Digitalowe M&amp;MP oraz Agencja Roku wg </w:t>
      </w: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Performance Marketing Diamonds 2022 oraz 2023.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Więcej informacji: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  | Senior PR Specialist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anna.lada-grodzicka@groupone.com.pl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|  +48 452 484 127</w:t>
      </w:r>
    </w:p>
    <w:p w:rsidR="00000000" w:rsidDel="00000000" w:rsidP="00000000" w:rsidRDefault="00000000" w:rsidRPr="00000000" w14:paraId="00000019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Raleway" w:cs="Raleway" w:eastAsia="Raleway" w:hAnsi="Raleway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71813" cy="32146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71813" cy="321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pSDilZupz7w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Light-regular.ttf"/><Relationship Id="rId6" Type="http://schemas.openxmlformats.org/officeDocument/2006/relationships/font" Target="fonts/RalewayLight-bold.ttf"/><Relationship Id="rId7" Type="http://schemas.openxmlformats.org/officeDocument/2006/relationships/font" Target="fonts/RalewayLight-italic.ttf"/><Relationship Id="rId8" Type="http://schemas.openxmlformats.org/officeDocument/2006/relationships/font" Target="fonts/Raleway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