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44061"/>
          <w:sz w:val="28"/>
          <w:szCs w:val="28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Warszawa, 6 maja 2026 r. </w:t>
      </w:r>
    </w:p>
    <w:p w:rsidR="00000000" w:rsidDel="00000000" w:rsidP="00000000" w:rsidRDefault="00000000" w:rsidRPr="00000000" w14:paraId="0000000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Komunikat prasowy </w:t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  <w:bCs w:val="1"/>
          <w:color w:val="24406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b w:val="1"/>
          <w:bCs w:val="1"/>
          <w:color w:val="24406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bCs w:val="1"/>
          <w:color w:val="36609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8"/>
          <w:szCs w:val="28"/>
          <w:rtl w:val="0"/>
        </w:rPr>
        <w:t xml:space="preserve">Nowy raport podważa mit międzypokoleniowej przepaści.</w:t>
        <w:br w:type="textWrapping"/>
        <w:t xml:space="preserve"> W sprawach naprawdę ważnych Polacy myślą podobnie</w:t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color w:val="24406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Zetki, Millenialsi i przedstawiciele pokolenia X mają ze sobą więcej wspólnego, niż mogłoby się wydawać. Łączą ich podobne priorytety życiowe i sposób myślenia o przyszłości. Są zgodni co do tego, że o dorosłości </w:t>
        <w:br w:type="textWrapping"/>
        <w:t xml:space="preserve">i dojrzałości życiowej decydują przede wszystkim: samodzielność, odpowiedzialność, stabilność emocjonalna </w:t>
        <w:br w:type="textWrapping"/>
        <w:t xml:space="preserve">i finansowa niezależność. Wyraźniejsze różnice pojawiają się dopiero wtedy, gdy rozmowa schodzi na pracę </w:t>
        <w:br w:type="textWrapping"/>
        <w:t xml:space="preserve">i rodzicielstwo.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różnicach międzypokoleniowych mówi się często i chętnie. Każda generacja lubi myśleć o sobie jako o tej bardziej otwartej, niezależnej i częściej żyjącej po swojemu niż poprzednia. Nowy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raport, stworzony przez Unum </w:t>
          <w:br w:type="textWrapping"/>
          <w:t xml:space="preserve">i Uniwersytet Warszawski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pokazuje znacznie bardziej zniuansowany obraz. </w:t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b w:val="1"/>
          <w:bCs w:val="1"/>
          <w:color w:val="36609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4"/>
          <w:szCs w:val="24"/>
          <w:rtl w:val="0"/>
        </w:rPr>
        <w:t xml:space="preserve">Dorosłość? Przede wszystkim samodzielność</w:t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Niezależnie od wieku Polacy bardzo podobnie definiują dorosłość i dojrzałość życiową. Na pierwszy plan wysuwają się: samodzielność w podejmowaniu decyzji i rozwiązywaniu problemów, odpowiedzialność za siebie i innych, stabilność finansowa oraz umiejętność radzenia sobie z emocjami.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Zdanie: «Jestem osobą dorosłą i odpowiedzialną» oznacza dla Pana/i przede wszystkim…</w:t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6549180" cy="356882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49180" cy="35688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 ważne, we wszystkich pokoleniach najsilniej wybrzmiewa jeden wniosek: najważniejszym wyznacznikiem dojrzałości jest zdolność do utrzymania się, czyli samodzielność finansowa i niezależność materialna.</w:t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Najważniejszy wyznacznik dojrzałości wg. wszystkich pokoleń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19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6276853" cy="2202287"/>
            <wp:effectExtent b="0" l="0" r="0" t="0"/>
            <wp:docPr id="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76853" cy="22022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To pokazuje, że dziś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dojrzałość nie jest definiowana przede wszystkim przez wiek, ale przez sprawczość </w:t>
        <w:br w:type="textWrapping"/>
        <w:t xml:space="preserve">i umiejętność radzenia sobie z codziennością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Widać jednak, że z wiekiem częściej utożsamiamy się z dojrzałością i odpowiedzialnością – za osoby dojrzałe uważa się 62,8% Zetek (17-28 lat), 75,8% Millenialsów (29-44 lat) i 86,8% przedstawicieli pokolenia X (45-60 lat). Podobnie jest z poczuciem odpowiedzialności: deklaruje je 70,8% najmłodszych, 79,2% Millenialsów i 87,6% Iksów.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b w:val="1"/>
          <w:bCs w:val="1"/>
          <w:color w:val="36609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4"/>
          <w:szCs w:val="24"/>
          <w:rtl w:val="0"/>
        </w:rPr>
        <w:t xml:space="preserve">Podobne życie, podobne aspiracje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Wbrew obiegowym opiniom wszyscy mamy też zbliżone życiowe priorytety. Dla większości badanych ważne jest łączenie różnych ról społecznych i obszarów codzienności. Wspólnym modelem życia pozostaje połączenie związku, dzieci, kariery i realizacji własnych pasji – chcemy mieć wszystko, bez wyboru „albo-albo”.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Podobnie wygląda myślenie o przyszłości.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Polacy, niezależnie od wieku, nie chcą stać w miejscu, ale również nie chcą życiowych rewolucji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Zamierzają przede wszystkim sfinalizować swoje dotychczasowe plany (około co czwarty przedstawiciel Zetek i Millenialsów i co szósty pokolenia X) lub dostosowywać się do pojawiających się sytuacji (około co czwarta osoba z Gen Z i Gen Y, oraz co trzecia z Gen X).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Jakie są Pana/i plany na przyszłość w perspektywie najbliższych 5 lat?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6510421" cy="338643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10421" cy="3386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  <w:color w:val="24406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  <w:b w:val="1"/>
          <w:bCs w:val="1"/>
          <w:color w:val="36609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4"/>
          <w:szCs w:val="24"/>
          <w:rtl w:val="0"/>
        </w:rPr>
        <w:br w:type="textWrapping"/>
        <w:t xml:space="preserve">Największe różnice? Praca i rodzicielstwo </w:t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Najwyraźniej pokolenia różnią się w podejściu do pracy. Dla najmłodszych częściej jest ona przestrzenią rozwoju, ambicji i satysfakcji – mówi o tym 31% Zetek, a kolejne 24,2% deklaruje, że jeśli nie może się dziś w pełni rozwijać zawodowo, chciałoby to zmienić. Z kolei starsze pokolenia częściej patrzą na pracę bardziej pragmatycznie. Jest dla nich koniecznością i źródłem stabilnego dochodu. Tak odpowiada 40,1% Millenialsów i 44,4% przedstawicieli pokolenia X.</w:t>
      </w:r>
    </w:p>
    <w:p w:rsidR="00000000" w:rsidDel="00000000" w:rsidP="00000000" w:rsidRDefault="00000000" w:rsidRPr="00000000" w14:paraId="0000003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Drugim wyraźnym polem różnicy jest podejście do posiadania dzieci.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Najmłodsi częściej niż starsze pokolenia uważają, że bycie rodzicem ma dziś więcej wad niż zalet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– taką opinię wyraża 35,7% Zetek, wobec 30,7% Millenialsów i 22,6% Iksów. To pokazuje, że rodzicielstwo coraz rzadziej traktowane jest jako oczywisty etap dorosłości, a coraz częściej jako decyzja, którą rozważa się bardziej indywidualnie.</w:t>
      </w:r>
    </w:p>
    <w:p w:rsidR="00000000" w:rsidDel="00000000" w:rsidP="00000000" w:rsidRDefault="00000000" w:rsidRPr="00000000" w14:paraId="0000003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72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– Wyniki badania pokazują, że różnice obserwowane między pokoleniami należy interpretować przede wszystkim w kontekście odmiennych doświadczeń społecznych, etapów życia oraz aktualnych priorytetów. Zróżnicowanie postaw i opinii odzwierciedla różne perspektywy, z których poszczególne grupy patrzą na kwestie związane z codziennością, bezpieczeństwem i planowaniem przyszłości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podkreśla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prof. dr hab. Dariusz Tworzydło, ekspert z zakresu ekonomii i badań społecznych z Uniwersytetu Warszawskiego.</w:t>
      </w:r>
    </w:p>
    <w:p w:rsidR="00000000" w:rsidDel="00000000" w:rsidP="00000000" w:rsidRDefault="00000000" w:rsidRPr="00000000" w14:paraId="0000003A">
      <w:pPr>
        <w:ind w:left="72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72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72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72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72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720" w:firstLine="0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Calibri" w:cs="Calibri" w:eastAsia="Calibri" w:hAnsi="Calibri"/>
          <w:b w:val="1"/>
          <w:bCs w:val="1"/>
          <w:color w:val="36609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66091"/>
          <w:sz w:val="24"/>
          <w:szCs w:val="24"/>
          <w:rtl w:val="0"/>
        </w:rPr>
        <w:t xml:space="preserve">Ubezpieczenia wpisują się w ten sam system wartości</w:t>
      </w:r>
    </w:p>
    <w:p w:rsidR="00000000" w:rsidDel="00000000" w:rsidP="00000000" w:rsidRDefault="00000000" w:rsidRPr="00000000" w14:paraId="0000004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 tym tle ciekawie wypada też wątek ubezpieczeń na życie. Niezależnie od pokolenia kojarzą się one przede wszystkim z: ochroną rodziny, bezpieczeństwem, odpowiedzialnością, stabilnością i rozsądnym myśleniem </w:t>
        <w:br w:type="textWrapping"/>
        <w:t xml:space="preserve">o przyszłości. Skojarzenie z ochroną rodziny wskazuje 30,7% Zetek, ale już 39,9% Millenialsów i 40,5% przedstawicieli pokolenia X. </w:t>
      </w:r>
    </w:p>
    <w:p w:rsidR="00000000" w:rsidDel="00000000" w:rsidP="00000000" w:rsidRDefault="00000000" w:rsidRPr="00000000" w14:paraId="0000004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Ubezpieczenie na życie funkcjonuje dziś nie tylko jako produkt finansowy, ale także jako praktyczny wyraz postawy, którą badani uznają za dojrzałą i odpowiedzialną. Potwierdza to również fakt, że niemal połowa badanych w każdym pokoleniu uważa, że posiadanie ubezpieczenia na życie świadczy o dojrzałości życiowej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dodaje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Małgorzata Morańska, rzecznik prasowy Unum.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Różnice w myśleniu i podejściu do życia pomiędzy pokoleniami istnieją, ale nie są tak głębokie, jak zwykliśmy sądzić. W sprawach podstawowych, takich jak rozumienie dorosłości, odpowiedzialności i życiowej dojrzałości, Polacy różnych generacji mówią zaskakująco podobnym głosem.</w:t>
      </w:r>
    </w:p>
    <w:p w:rsidR="00000000" w:rsidDel="00000000" w:rsidP="00000000" w:rsidRDefault="00000000" w:rsidRPr="00000000" w14:paraId="0000004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Raport do pobrania na stronie: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u w:val="single"/>
            <w:rtl w:val="0"/>
          </w:rPr>
          <w:t xml:space="preserve">www.jawswoimwieku.unum.pl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jc w:val="both"/>
        <w:rPr>
          <w:rFonts w:ascii="Ubuntu" w:cs="Ubuntu" w:eastAsia="Ubuntu" w:hAnsi="Ubuntu"/>
          <w:color w:val="366091"/>
          <w:sz w:val="18"/>
          <w:szCs w:val="18"/>
        </w:rPr>
      </w:pPr>
      <w:r w:rsidDel="00000000" w:rsidR="00000000" w:rsidRPr="00000000">
        <w:rPr>
          <w:rFonts w:ascii="Ubuntu" w:cs="Ubuntu" w:eastAsia="Ubuntu" w:hAnsi="Ubuntu"/>
          <w:color w:val="366091"/>
          <w:sz w:val="18"/>
          <w:szCs w:val="18"/>
          <w:rtl w:val="0"/>
        </w:rPr>
        <w:t xml:space="preserve">***</w:t>
      </w:r>
    </w:p>
    <w:p w:rsidR="00000000" w:rsidDel="00000000" w:rsidP="00000000" w:rsidRDefault="00000000" w:rsidRPr="00000000" w14:paraId="0000004B">
      <w:pPr>
        <w:rPr>
          <w:rFonts w:ascii="Ubuntu" w:cs="Ubuntu" w:eastAsia="Ubuntu" w:hAnsi="Ubuntu"/>
          <w:color w:val="366091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color w:val="366091"/>
          <w:sz w:val="20"/>
          <w:szCs w:val="20"/>
          <w:rtl w:val="0"/>
        </w:rPr>
        <w:t xml:space="preserve">Dodatkowe informacje: </w:t>
        <w:br w:type="textWrapping"/>
      </w:r>
      <w:r w:rsidDel="00000000" w:rsidR="00000000" w:rsidRPr="00000000">
        <w:rPr>
          <w:rFonts w:ascii="Ubuntu" w:cs="Ubuntu" w:eastAsia="Ubuntu" w:hAnsi="Ubuntu"/>
          <w:color w:val="366091"/>
          <w:sz w:val="20"/>
          <w:szCs w:val="20"/>
          <w:rtl w:val="0"/>
        </w:rPr>
        <w:t xml:space="preserve">Małgorzata Morańska</w:t>
        <w:br w:type="textWrapping"/>
        <w:t xml:space="preserve">Rzecznik prasowy </w:t>
        <w:br w:type="textWrapping"/>
      </w:r>
      <w:hyperlink r:id="rId12">
        <w:r w:rsidDel="00000000" w:rsidR="00000000" w:rsidRPr="00000000">
          <w:rPr>
            <w:rFonts w:ascii="Ubuntu" w:cs="Ubuntu" w:eastAsia="Ubuntu" w:hAnsi="Ubuntu"/>
            <w:color w:val="366091"/>
            <w:sz w:val="20"/>
            <w:szCs w:val="20"/>
            <w:u w:val="single"/>
            <w:rtl w:val="0"/>
          </w:rPr>
          <w:t xml:space="preserve">malgorzata.moranska@unum.pl</w:t>
        </w:r>
      </w:hyperlink>
      <w:r w:rsidDel="00000000" w:rsidR="00000000" w:rsidRPr="00000000">
        <w:rPr>
          <w:rFonts w:ascii="Ubuntu" w:cs="Ubuntu" w:eastAsia="Ubuntu" w:hAnsi="Ubuntu"/>
          <w:color w:val="366091"/>
          <w:sz w:val="20"/>
          <w:szCs w:val="20"/>
          <w:rtl w:val="0"/>
        </w:rPr>
        <w:br w:type="textWrapping"/>
        <w:t xml:space="preserve">Tel. (+48) 660 755 238</w:t>
      </w:r>
    </w:p>
    <w:p w:rsidR="00000000" w:rsidDel="00000000" w:rsidP="00000000" w:rsidRDefault="00000000" w:rsidRPr="00000000" w14:paraId="0000004C">
      <w:pPr>
        <w:rPr>
          <w:rFonts w:ascii="Ubuntu" w:cs="Ubuntu" w:eastAsia="Ubuntu" w:hAnsi="Ubuntu"/>
          <w:color w:val="36609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Ubuntu" w:cs="Ubuntu" w:eastAsia="Ubuntu" w:hAnsi="Ubuntu"/>
          <w:color w:val="366091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color w:val="366091"/>
          <w:sz w:val="20"/>
          <w:szCs w:val="20"/>
          <w:rtl w:val="0"/>
        </w:rPr>
        <w:t xml:space="preserve">Zuzanna Pazura </w:t>
      </w:r>
    </w:p>
    <w:p w:rsidR="00000000" w:rsidDel="00000000" w:rsidP="00000000" w:rsidRDefault="00000000" w:rsidRPr="00000000" w14:paraId="0000004E">
      <w:pPr>
        <w:rPr>
          <w:rFonts w:ascii="Ubuntu" w:cs="Ubuntu" w:eastAsia="Ubuntu" w:hAnsi="Ubuntu"/>
          <w:color w:val="366091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color w:val="366091"/>
          <w:sz w:val="20"/>
          <w:szCs w:val="20"/>
          <w:rtl w:val="0"/>
        </w:rPr>
        <w:t xml:space="preserve">Agencja Komunikacji Ro</w:t>
      </w:r>
    </w:p>
    <w:p w:rsidR="00000000" w:rsidDel="00000000" w:rsidP="00000000" w:rsidRDefault="00000000" w:rsidRPr="00000000" w14:paraId="0000004F">
      <w:pPr>
        <w:rPr>
          <w:rFonts w:ascii="Ubuntu" w:cs="Ubuntu" w:eastAsia="Ubuntu" w:hAnsi="Ubuntu"/>
          <w:color w:val="366091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color w:val="366091"/>
          <w:sz w:val="20"/>
          <w:szCs w:val="20"/>
          <w:rtl w:val="0"/>
        </w:rPr>
        <w:t xml:space="preserve">zuzanna.pazura@ro.team</w:t>
      </w:r>
    </w:p>
    <w:p w:rsidR="00000000" w:rsidDel="00000000" w:rsidP="00000000" w:rsidRDefault="00000000" w:rsidRPr="00000000" w14:paraId="00000050">
      <w:pPr>
        <w:rPr>
          <w:rFonts w:ascii="Ubuntu" w:cs="Ubuntu" w:eastAsia="Ubuntu" w:hAnsi="Ubuntu"/>
          <w:color w:val="366091"/>
          <w:sz w:val="20"/>
          <w:szCs w:val="20"/>
        </w:rPr>
      </w:pPr>
      <w:r w:rsidDel="00000000" w:rsidR="00000000" w:rsidRPr="00000000">
        <w:rPr>
          <w:rFonts w:ascii="Ubuntu" w:cs="Ubuntu" w:eastAsia="Ubuntu" w:hAnsi="Ubuntu"/>
          <w:color w:val="366091"/>
          <w:sz w:val="20"/>
          <w:szCs w:val="20"/>
          <w:rtl w:val="0"/>
        </w:rPr>
        <w:t xml:space="preserve">Tel. (+48) 570 185 228</w:t>
      </w:r>
    </w:p>
    <w:p w:rsidR="00000000" w:rsidDel="00000000" w:rsidP="00000000" w:rsidRDefault="00000000" w:rsidRPr="00000000" w14:paraId="00000051">
      <w:pPr>
        <w:rPr>
          <w:rFonts w:ascii="Ubuntu" w:cs="Ubuntu" w:eastAsia="Ubuntu" w:hAnsi="Ubuntu"/>
          <w:color w:val="36609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3" w:type="default"/>
      <w:pgSz w:h="16834" w:w="11909" w:orient="portrait"/>
      <w:pgMar w:bottom="1134" w:top="1134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-599759</wp:posOffset>
          </wp:positionH>
          <wp:positionV relativeFrom="paragraph">
            <wp:posOffset>-504698</wp:posOffset>
          </wp:positionV>
          <wp:extent cx="7635119" cy="10799999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35119" cy="107999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jawswoimwieku.unum.pl/" TargetMode="External"/><Relationship Id="rId10" Type="http://schemas.openxmlformats.org/officeDocument/2006/relationships/image" Target="media/image2.png"/><Relationship Id="rId13" Type="http://schemas.openxmlformats.org/officeDocument/2006/relationships/header" Target="header1.xml"/><Relationship Id="rId12" Type="http://schemas.openxmlformats.org/officeDocument/2006/relationships/hyperlink" Target="mailto:malgorzata.moranska@unum.p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jawswoimwieku.unum.pl/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svkvnsdvJPwdjbHTCukHeFNIUQ==">CgMxLjA4AHIhMUtNTnFBZ0RxUnhqdGhuS29uNDVNVS1DbnVTeEt1QjVN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