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4406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Warszawa, 6 maja 2026 r. 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Komunikat prasowy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color w:val="2440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color w:val="2440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Ubezpieczenie na życie jako znak finansowej dojrzałości? </w:t>
        <w:br w:type="textWrapping"/>
        <w:t xml:space="preserve">Sprawdzamy, co myślą Polacy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2440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Nowy raport Unum, przygotowany we współpracy z Uniwersytetem Warszawskim, pokazuje, że ubezpieczenie na życie coraz wyraźniej wpisuje się w ten sam system wartości, z którym Polacy łączą dorosłość, odpowiedzialność i rozsądne planowanie przyszłości. Blisko połowa badanych uważa, że jego posiadanie świadczy o dojrzałości życiowej, a wraz z wiekiem rośnie skłonność do ostrożniejszego zarządzania pieniędzmi </w:t>
        <w:br w:type="textWrapping"/>
        <w:t xml:space="preserve">i analizowania konsekwencji własnych decyzji.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Ubezpieczenie to dziś coś więcej niż produkt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Polacy nie patrzą na ubezpieczenie na życie wyłącznie jak na usługę finansową. Niezależnie od wieku kojarzą je przede wszystkim z: ochroną rodziny, bezpieczeństwem zdrowotnym, odpowiedzialnością, stabilnością, mądrą decyzją i bezpieczeństwem ekonomicznym. To ważny sygnał: w świadomości badanych ubezpieczenie funkcjonuje nie tylko jako forma zabezpieczenia finansowego, ale też jako element szerszego myślenia o odpowiedzialności </w:t>
        <w:br w:type="textWrapping"/>
        <w:t xml:space="preserve">i trosce o przyszłość najbliższych.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Z czym najbardziej kojarzy się Panu/i ubezpieczenie na życie?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4680000" cy="3774053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6453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774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Najlepiej widać to przy skojarzeniu z ochroną rodziny. Wskazuje je 30,7% Zetek (17-28 lat), 39,9% Millenialsów (29-44 lat) i 40,5% przedstawicieli pokolenia X (45-60 lat). Jednocześnie we wszystkich grupach wiekowych dominują pozytywne skojarzenia z ubezpieczeniami, co pokazuje rosnącą świadomość ich roli w codziennym życiu. To także sygnał, że branża ma przestrzeń do dalszej edukacji i budowania dobrych doświadczeń klientów, bo wraz z nimi umacnia się zaufanie oraz pozytywny wizerunek całego rynku.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Wiek sprzyja finansowemu pragmatyzmowi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Wraz z wiekiem rośnie ostrożność i uporządkowane podejście do finansów. O tym, że rozsądnie zarządza swoimi pieniędzmi, mówi 66,1% Zetek, 74,5% Millenialsów i aż 83,6% przedstawicieli pokolenia X. Podobny trend widać przy analizowaniu skutków własnych decyzji – wszystkie możliwe konsekwencje rozważa 70% najmłodszych badanych, 78% Millenialsów i 85,7% Iksów. Równolegle rośnie też poczucie odpowiedzialności. Za osoby odpowiedzialne uważa się 70,8% Zetek, 79,2% Millenialsów i 87,6% przedstawicieli pokolenia X.</w:t>
      </w:r>
    </w:p>
    <w:p w:rsidR="00000000" w:rsidDel="00000000" w:rsidP="00000000" w:rsidRDefault="00000000" w:rsidRPr="00000000" w14:paraId="0000001A">
      <w:pPr>
        <w:ind w:left="72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Zobowiązania, które rosną wraz z wiekiem, skłaniają nas do myślenia o przyszłości i sprzyjają stawianiu długoterminowych celów. Rodzina, kredyt hipoteczny czy odpowiedzialność za domowy budżet sprawiają, że łatwiej sięgamy po rozwiązania zapewniające stabilność w dłuższej perspektywie. Warto jednak pamiętać, że dla młodszych osób polisy często są szczególnie korzystne ze względu na niższe składki </w:t>
        <w:br w:type="textWrapping"/>
        <w:t xml:space="preserve">i mniejsze ryzyko ubezpieczeniowe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Renata Stawiczny, Członkini Zarządu Unum.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 finansowy pragmatyzm dobrze koresponduje z tym, jak badani definiują dojrzałość. We wszystkich pokoleniach najważniejszym jej wyznacznikiem pozostaje zdolność do utrzymania się, czyli samodzielność finansowa i niezależność materialna. W praktyce oznacza to, że bezpieczeństwo finansowe nie jest dodatkiem do dorosłości, ale jednym z jej podstawowych filarów.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Najważniejszy wyznacznik dojrzałości wg. wszystkich pokoleń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499125" cy="228027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9125" cy="22802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Posiadanie polisy jako sygnał dojrzałości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tym tle nie dziwi, że dla części badanych posiadanie ubezpieczenia na życie jest również oznaką dojrzałości życiowej. Taką opinię wyraża 48% Zetek, 46,6% Millenialsów i 52,6% przedstawicieli pokolenia X.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Z perspektywy rynku finansowego szczególnie ciekawe jest to, że ubezpieczenie na życie nie funkcjonuje w świadomości badanych jako odrębny, techniczny produkt. Jest raczej częścią szerszego podejścia do zarządzania ryzykiem i planowania przyszłości. To ważny sygnał, bo pokazuje, że decyzje ubezpieczeniowe są mocno osadzone w codziennych postawach wobec pieniędzy, odpowiedzialności i bezpieczeństwa rodziny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dodaje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Renata Stawiczny.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Raport pokazuje również, że doświadczenia Polaków z branżą ubezpieczeniową zależą od etapu życia i sytuacji społeczno-ekonomicznej. Częściej mają je osoby starsze, lepiej wykształcone i lepiej sytuowane, a także respondenci w związkach małżeńskich i posiadający dzieci. 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Ci, którzy mają większe doświadczenie z branżą ubezpieczeniową, częściej deklarują zadowolenie z życia, poczucie, że żyją tak, jak lubią, a także przekonanie, że rozsądnie zarządzają pieniędzmi. Częściej postrzegają siebie jako osoby dojrzałe, odpowiedzialne i myślące o konsekwencjach swoich decyzji. Z raportu wyłania się więc obraz, w którym ubezpieczenie na życie nie jest dla Polaków jedynie narzędziem finansowym, ale częścią szerszego myślenia o odpowiedzialności, bezpieczeństwie i przewidywaniu przyszłości, a także tym dodatkiem, dzięki którym żyje się im lepiej i spokojniej. 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Raport do pobrania na stronie: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www.jawswoimwieku.unum.pl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Ubuntu" w:cs="Ubuntu" w:eastAsia="Ubuntu" w:hAnsi="Ubuntu"/>
          <w:color w:val="366091"/>
          <w:sz w:val="18"/>
          <w:szCs w:val="18"/>
        </w:rPr>
      </w:pPr>
      <w:r w:rsidDel="00000000" w:rsidR="00000000" w:rsidRPr="00000000">
        <w:rPr>
          <w:rFonts w:ascii="Ubuntu" w:cs="Ubuntu" w:eastAsia="Ubuntu" w:hAnsi="Ubuntu"/>
          <w:color w:val="366091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37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366091"/>
          <w:sz w:val="20"/>
          <w:szCs w:val="20"/>
          <w:rtl w:val="0"/>
        </w:rPr>
        <w:t xml:space="preserve">Dodatkowe informacje: </w:t>
        <w:br w:type="textWrapping"/>
      </w:r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t xml:space="preserve">Małgorzata Morańska</w:t>
        <w:br w:type="textWrapping"/>
        <w:t xml:space="preserve">Rzecznik prasowy </w:t>
        <w:br w:type="textWrapping"/>
      </w:r>
      <w:hyperlink r:id="rId10">
        <w:r w:rsidDel="00000000" w:rsidR="00000000" w:rsidRPr="00000000">
          <w:rPr>
            <w:rFonts w:ascii="Ubuntu" w:cs="Ubuntu" w:eastAsia="Ubuntu" w:hAnsi="Ubuntu"/>
            <w:color w:val="366091"/>
            <w:sz w:val="20"/>
            <w:szCs w:val="20"/>
            <w:u w:val="single"/>
            <w:rtl w:val="0"/>
          </w:rPr>
          <w:t xml:space="preserve">malgorzata.moranska@unum.pl</w:t>
        </w:r>
      </w:hyperlink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br w:type="textWrapping"/>
        <w:t xml:space="preserve">Tel. (+48) 660 755 238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Zuzanna Pazura 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Agencja Komunikacji Ro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zuzanna.pazura@ro.team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color w:val="366091"/>
        </w:rPr>
      </w:pPr>
      <w:r w:rsidDel="00000000" w:rsidR="00000000" w:rsidRPr="00000000">
        <w:rPr>
          <w:rFonts w:ascii="Calibri" w:cs="Calibri" w:eastAsia="Calibri" w:hAnsi="Calibri"/>
          <w:color w:val="366091"/>
          <w:rtl w:val="0"/>
        </w:rPr>
        <w:t xml:space="preserve">Tel. (+48) 570 185 228</w:t>
      </w:r>
    </w:p>
    <w:sectPr>
      <w:headerReference r:id="rId11" w:type="default"/>
      <w:pgSz w:h="16834" w:w="11909" w:orient="portrait"/>
      <w:pgMar w:bottom="1134" w:top="1134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-599759</wp:posOffset>
          </wp:positionH>
          <wp:positionV relativeFrom="paragraph">
            <wp:posOffset>-504698</wp:posOffset>
          </wp:positionV>
          <wp:extent cx="7635119" cy="10799999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5119" cy="107999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malgorzata.moranska@unum.pl" TargetMode="External"/><Relationship Id="rId9" Type="http://schemas.openxmlformats.org/officeDocument/2006/relationships/hyperlink" Target="https://jawswoimwieku.unum.p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ILQWA0dNhaE3NbVGvF47liJjA==">CgMxLjA4AHIhMVBFWFVscXF6Q3k2UFRwbmg1dHhqY2JReTZjaGp6TlVX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