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37F4" w14:textId="77777777" w:rsidR="002B68F8" w:rsidRPr="002B68F8" w:rsidRDefault="002B68F8" w:rsidP="002B68F8">
      <w:pPr>
        <w:spacing w:line="240" w:lineRule="auto"/>
        <w:rPr>
          <w:rFonts w:ascii="Noto Sans" w:hAnsi="Noto Sans" w:cs="Noto Sans"/>
          <w:sz w:val="28"/>
          <w:szCs w:val="28"/>
        </w:rPr>
      </w:pPr>
      <w:r w:rsidRPr="002B68F8">
        <w:rPr>
          <w:rFonts w:ascii="Noto Sans" w:hAnsi="Noto Sans" w:cs="Noto Sans"/>
          <w:b/>
          <w:bCs/>
          <w:sz w:val="28"/>
          <w:szCs w:val="28"/>
        </w:rPr>
        <w:t xml:space="preserve">Amazon, GS1 Germany, and Domino Discuss the Future of Product Identification at </w:t>
      </w:r>
      <w:proofErr w:type="spellStart"/>
      <w:r w:rsidRPr="002B68F8">
        <w:rPr>
          <w:rFonts w:ascii="Noto Sans" w:hAnsi="Noto Sans" w:cs="Noto Sans"/>
          <w:b/>
          <w:bCs/>
          <w:sz w:val="28"/>
          <w:szCs w:val="28"/>
        </w:rPr>
        <w:t>interpack</w:t>
      </w:r>
      <w:proofErr w:type="spellEnd"/>
      <w:r w:rsidRPr="002B68F8">
        <w:rPr>
          <w:rFonts w:ascii="Noto Sans" w:hAnsi="Noto Sans" w:cs="Noto Sans"/>
          <w:b/>
          <w:bCs/>
          <w:sz w:val="28"/>
          <w:szCs w:val="28"/>
        </w:rPr>
        <w:t xml:space="preserve"> 2026</w:t>
      </w:r>
    </w:p>
    <w:p w14:paraId="65B79246" w14:textId="77777777" w:rsidR="002B68F8" w:rsidRDefault="002B68F8" w:rsidP="002B68F8">
      <w:pPr>
        <w:spacing w:line="240" w:lineRule="auto"/>
        <w:rPr>
          <w:rFonts w:ascii="Noto Sans" w:hAnsi="Noto Sans" w:cs="Noto Sans"/>
          <w:sz w:val="22"/>
        </w:rPr>
      </w:pPr>
    </w:p>
    <w:p w14:paraId="1FA4488F" w14:textId="35FF7776" w:rsidR="002B68F8" w:rsidRDefault="002B68F8" w:rsidP="002B68F8">
      <w:pPr>
        <w:spacing w:line="240" w:lineRule="auto"/>
        <w:rPr>
          <w:rFonts w:ascii="Noto Sans" w:hAnsi="Noto Sans" w:cs="Noto Sans"/>
          <w:sz w:val="22"/>
        </w:rPr>
      </w:pPr>
      <w:r w:rsidRPr="00EF7254">
        <w:rPr>
          <w:rFonts w:ascii="Noto Sans" w:hAnsi="Noto Sans" w:cs="Noto Sans"/>
          <w:sz w:val="22"/>
        </w:rPr>
        <w:t xml:space="preserve">Industry experts from across retail, global standards, and manufacturing came together at </w:t>
      </w:r>
      <w:proofErr w:type="spellStart"/>
      <w:r w:rsidRPr="00EF7254">
        <w:rPr>
          <w:rFonts w:ascii="Noto Sans" w:hAnsi="Noto Sans" w:cs="Noto Sans"/>
          <w:sz w:val="22"/>
        </w:rPr>
        <w:t>interpack</w:t>
      </w:r>
      <w:proofErr w:type="spellEnd"/>
      <w:r w:rsidRPr="00EF7254">
        <w:rPr>
          <w:rFonts w:ascii="Noto Sans" w:hAnsi="Noto Sans" w:cs="Noto Sans"/>
          <w:sz w:val="22"/>
        </w:rPr>
        <w:t xml:space="preserve"> 2026 for an industry-led panel discussion hosted by </w:t>
      </w:r>
      <w:hyperlink r:id="rId6" w:history="1">
        <w:r w:rsidRPr="002B68F8">
          <w:rPr>
            <w:rStyle w:val="Hyperlink"/>
            <w:rFonts w:ascii="Noto Sans" w:hAnsi="Noto Sans" w:cs="Noto Sans"/>
            <w:sz w:val="22"/>
          </w:rPr>
          <w:t>Domino Printing Sciences</w:t>
        </w:r>
      </w:hyperlink>
      <w:r w:rsidRPr="00EF7254">
        <w:rPr>
          <w:rFonts w:ascii="Noto Sans" w:hAnsi="Noto Sans" w:cs="Noto Sans"/>
          <w:sz w:val="22"/>
        </w:rPr>
        <w:t>. The panel explored how the industry</w:t>
      </w:r>
      <w:r>
        <w:rPr>
          <w:rFonts w:ascii="Noto Sans" w:hAnsi="Noto Sans" w:cs="Noto Sans"/>
          <w:sz w:val="22"/>
        </w:rPr>
        <w:t>’</w:t>
      </w:r>
      <w:r w:rsidRPr="00EF7254">
        <w:rPr>
          <w:rFonts w:ascii="Noto Sans" w:hAnsi="Noto Sans" w:cs="Noto Sans"/>
          <w:sz w:val="22"/>
        </w:rPr>
        <w:t>s move to 2D codes and GS1 standards, alongside automation and intelligent, integrated systems, is shaping the future of product identification and traceability across global supply chains.</w:t>
      </w:r>
    </w:p>
    <w:p w14:paraId="7EBF9E77" w14:textId="77777777" w:rsidR="002B68F8" w:rsidRPr="00EF7254" w:rsidRDefault="002B68F8" w:rsidP="002B68F8">
      <w:pPr>
        <w:spacing w:line="240" w:lineRule="auto"/>
        <w:rPr>
          <w:rFonts w:ascii="Noto Sans" w:hAnsi="Noto Sans" w:cs="Noto Sans"/>
          <w:sz w:val="22"/>
        </w:rPr>
      </w:pPr>
    </w:p>
    <w:p w14:paraId="7C806346" w14:textId="77777777"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The industry briefing held at Domino</w:t>
      </w:r>
      <w:r>
        <w:rPr>
          <w:rFonts w:ascii="Noto Sans" w:hAnsi="Noto Sans" w:cs="Noto Sans"/>
          <w:sz w:val="22"/>
        </w:rPr>
        <w:t>’</w:t>
      </w:r>
      <w:r w:rsidRPr="00EF7254">
        <w:rPr>
          <w:rFonts w:ascii="Noto Sans" w:hAnsi="Noto Sans" w:cs="Noto Sans"/>
          <w:sz w:val="22"/>
        </w:rPr>
        <w:t>s booth (C-41, Hall 8B) included perspectives from Monica Ravi, Director – Amazon Transparency, Amazon; Thomas Fell, CEO, GS1 Germany GmbH; Craig Stobie, Director – Global Sector Development, Domino Printing Sciences; and recently appointed member of the Board of Directors of OMAC</w:t>
      </w:r>
      <w:r>
        <w:rPr>
          <w:rFonts w:ascii="Noto Sans" w:hAnsi="Noto Sans" w:cs="Noto Sans"/>
          <w:sz w:val="22"/>
        </w:rPr>
        <w:t xml:space="preserve"> and </w:t>
      </w:r>
      <w:r w:rsidRPr="00EF7254">
        <w:rPr>
          <w:rFonts w:ascii="Noto Sans" w:hAnsi="Noto Sans" w:cs="Noto Sans"/>
          <w:sz w:val="22"/>
        </w:rPr>
        <w:t>Domino</w:t>
      </w:r>
      <w:r>
        <w:rPr>
          <w:rFonts w:ascii="Noto Sans" w:hAnsi="Noto Sans" w:cs="Noto Sans"/>
          <w:sz w:val="22"/>
        </w:rPr>
        <w:t>’</w:t>
      </w:r>
      <w:r w:rsidRPr="00EF7254">
        <w:rPr>
          <w:rFonts w:ascii="Noto Sans" w:hAnsi="Noto Sans" w:cs="Noto Sans"/>
          <w:sz w:val="22"/>
        </w:rPr>
        <w:t>s Director of Automation &amp; Integration, Adem Kulauzovic.</w:t>
      </w:r>
    </w:p>
    <w:p w14:paraId="40B148D3" w14:textId="77777777" w:rsidR="002B68F8" w:rsidRDefault="002B68F8" w:rsidP="002B68F8">
      <w:pPr>
        <w:spacing w:line="240" w:lineRule="auto"/>
        <w:rPr>
          <w:rFonts w:ascii="Noto Sans" w:hAnsi="Noto Sans" w:cs="Noto Sans"/>
          <w:sz w:val="22"/>
        </w:rPr>
      </w:pPr>
    </w:p>
    <w:p w14:paraId="646D5FA6" w14:textId="4E73848F"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Discussions highlighted the growing momentum behind the transition to 2D codes powered by GS1 at the point of sale and the EU Digital Product Passport, with panellists emphasising the value that more granular, standardised data can unlock for transparency and traceability across the whole supply chain.</w:t>
      </w:r>
    </w:p>
    <w:p w14:paraId="7BB29973" w14:textId="77777777" w:rsidR="002B68F8" w:rsidRDefault="002B68F8" w:rsidP="002B68F8">
      <w:pPr>
        <w:spacing w:line="240" w:lineRule="auto"/>
        <w:rPr>
          <w:rFonts w:ascii="Noto Sans" w:hAnsi="Noto Sans" w:cs="Noto Sans"/>
          <w:sz w:val="22"/>
        </w:rPr>
      </w:pPr>
    </w:p>
    <w:p w14:paraId="52FB60CF" w14:textId="6C43AF8D"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It doesn</w:t>
      </w:r>
      <w:r>
        <w:rPr>
          <w:rFonts w:ascii="Noto Sans" w:hAnsi="Noto Sans" w:cs="Noto Sans"/>
          <w:sz w:val="22"/>
        </w:rPr>
        <w:t>’</w:t>
      </w:r>
      <w:r w:rsidRPr="00EF7254">
        <w:rPr>
          <w:rFonts w:ascii="Noto Sans" w:hAnsi="Noto Sans" w:cs="Noto Sans"/>
          <w:sz w:val="22"/>
        </w:rPr>
        <w:t>t matter what you make or where you sell it – 2D is coming,</w:t>
      </w:r>
      <w:r>
        <w:rPr>
          <w:rFonts w:ascii="Noto Sans" w:hAnsi="Noto Sans" w:cs="Noto Sans"/>
          <w:sz w:val="22"/>
        </w:rPr>
        <w:t>”</w:t>
      </w:r>
      <w:r w:rsidRPr="00EF7254">
        <w:rPr>
          <w:rFonts w:ascii="Noto Sans" w:hAnsi="Noto Sans" w:cs="Noto Sans"/>
          <w:sz w:val="22"/>
        </w:rPr>
        <w:t xml:space="preserve"> says Stobie, </w:t>
      </w:r>
      <w:r>
        <w:rPr>
          <w:rFonts w:ascii="Noto Sans" w:hAnsi="Noto Sans" w:cs="Noto Sans"/>
          <w:sz w:val="22"/>
        </w:rPr>
        <w:t>“</w:t>
      </w:r>
      <w:r w:rsidRPr="00EF7254">
        <w:rPr>
          <w:rFonts w:ascii="Noto Sans" w:hAnsi="Noto Sans" w:cs="Noto Sans"/>
          <w:sz w:val="22"/>
        </w:rPr>
        <w:t>The real question isn</w:t>
      </w:r>
      <w:r>
        <w:rPr>
          <w:rFonts w:ascii="Noto Sans" w:hAnsi="Noto Sans" w:cs="Noto Sans"/>
          <w:sz w:val="22"/>
        </w:rPr>
        <w:t>’</w:t>
      </w:r>
      <w:r w:rsidRPr="00EF7254">
        <w:rPr>
          <w:rFonts w:ascii="Noto Sans" w:hAnsi="Noto Sans" w:cs="Noto Sans"/>
          <w:sz w:val="22"/>
        </w:rPr>
        <w:t>t if, it</w:t>
      </w:r>
      <w:r>
        <w:rPr>
          <w:rFonts w:ascii="Noto Sans" w:hAnsi="Noto Sans" w:cs="Noto Sans"/>
          <w:sz w:val="22"/>
        </w:rPr>
        <w:t>’</w:t>
      </w:r>
      <w:r w:rsidRPr="00EF7254">
        <w:rPr>
          <w:rFonts w:ascii="Noto Sans" w:hAnsi="Noto Sans" w:cs="Noto Sans"/>
          <w:sz w:val="22"/>
        </w:rPr>
        <w:t>s how you succeed. That starts with globally recognised, interoperable GS1 standards, coupled with true interconnectivity and collaboration across the supply chain.</w:t>
      </w:r>
      <w:r>
        <w:rPr>
          <w:rFonts w:ascii="Noto Sans" w:hAnsi="Noto Sans" w:cs="Noto Sans"/>
          <w:sz w:val="22"/>
        </w:rPr>
        <w:t>”</w:t>
      </w:r>
    </w:p>
    <w:p w14:paraId="0FA9A6C4" w14:textId="77777777" w:rsidR="002B68F8" w:rsidRDefault="002B68F8" w:rsidP="002B68F8">
      <w:pPr>
        <w:spacing w:line="240" w:lineRule="auto"/>
        <w:rPr>
          <w:rFonts w:ascii="Noto Sans" w:hAnsi="Noto Sans" w:cs="Noto Sans"/>
          <w:sz w:val="22"/>
        </w:rPr>
      </w:pPr>
    </w:p>
    <w:p w14:paraId="10BDC88F" w14:textId="0DB5B9E8" w:rsidR="002B68F8" w:rsidRPr="00EF7254" w:rsidRDefault="002B68F8" w:rsidP="002B68F8">
      <w:pPr>
        <w:spacing w:line="240" w:lineRule="auto"/>
        <w:rPr>
          <w:rFonts w:ascii="Noto Sans" w:hAnsi="Noto Sans" w:cs="Noto Sans"/>
          <w:sz w:val="22"/>
        </w:rPr>
      </w:pPr>
      <w:r w:rsidRPr="002976F4">
        <w:rPr>
          <w:rFonts w:ascii="Noto Sans" w:hAnsi="Noto Sans" w:cs="Noto Sans"/>
          <w:sz w:val="22"/>
        </w:rPr>
        <w:t xml:space="preserve">“2D </w:t>
      </w:r>
      <w:r>
        <w:rPr>
          <w:rFonts w:ascii="Noto Sans" w:hAnsi="Noto Sans" w:cs="Noto Sans"/>
          <w:sz w:val="22"/>
        </w:rPr>
        <w:t>m</w:t>
      </w:r>
      <w:r w:rsidRPr="002976F4">
        <w:rPr>
          <w:rFonts w:ascii="Noto Sans" w:hAnsi="Noto Sans" w:cs="Noto Sans"/>
          <w:sz w:val="22"/>
        </w:rPr>
        <w:t>igration is being driven by real, market-wide pain points seen across brands and retailers,” says Fell. “It’s an end-to-end enterprise transformation – not a simple packaging or barcode change – and it will only work at scale if interoperability and common standards like GS1 Digital Link are in place, enabling one code for everything.”</w:t>
      </w:r>
    </w:p>
    <w:p w14:paraId="1F5553F2" w14:textId="77777777" w:rsidR="002B68F8" w:rsidRDefault="002B68F8" w:rsidP="002B68F8">
      <w:pPr>
        <w:spacing w:line="240" w:lineRule="auto"/>
        <w:rPr>
          <w:rFonts w:ascii="Noto Sans" w:hAnsi="Noto Sans" w:cs="Noto Sans"/>
          <w:sz w:val="22"/>
        </w:rPr>
      </w:pPr>
    </w:p>
    <w:p w14:paraId="5BC3C3E1" w14:textId="7A6F6A7E"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t>At the factory level, the panellists emphasised the importance of integrating product coding and marking equipment, packaging machinery, and factory ERP systems to drive this shift to 2D codes and highlighted the wider benefits of system-wide integration.</w:t>
      </w:r>
    </w:p>
    <w:p w14:paraId="455BF96F" w14:textId="77777777" w:rsidR="002B68F8" w:rsidRDefault="002B68F8" w:rsidP="002B68F8">
      <w:pPr>
        <w:spacing w:line="240" w:lineRule="auto"/>
        <w:rPr>
          <w:rFonts w:ascii="Noto Sans" w:hAnsi="Noto Sans" w:cs="Noto Sans"/>
          <w:sz w:val="22"/>
        </w:rPr>
      </w:pPr>
    </w:p>
    <w:p w14:paraId="003E75D8" w14:textId="27821B3F"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The biggest gains will come from integrating coding machinery into connected production and IT systems, rather than adding technology in isolation,</w:t>
      </w:r>
      <w:r>
        <w:rPr>
          <w:rFonts w:ascii="Noto Sans" w:hAnsi="Noto Sans" w:cs="Noto Sans"/>
          <w:sz w:val="22"/>
        </w:rPr>
        <w:t>”</w:t>
      </w:r>
      <w:r w:rsidRPr="00EF7254">
        <w:rPr>
          <w:rFonts w:ascii="Noto Sans" w:hAnsi="Noto Sans" w:cs="Noto Sans"/>
          <w:sz w:val="22"/>
        </w:rPr>
        <w:t xml:space="preserve"> says Kulauzovic. </w:t>
      </w:r>
      <w:r>
        <w:rPr>
          <w:rFonts w:ascii="Noto Sans" w:hAnsi="Noto Sans" w:cs="Noto Sans"/>
          <w:sz w:val="22"/>
        </w:rPr>
        <w:t>“</w:t>
      </w:r>
      <w:r w:rsidRPr="00EF7254">
        <w:rPr>
          <w:rFonts w:ascii="Noto Sans" w:hAnsi="Noto Sans" w:cs="Noto Sans"/>
          <w:sz w:val="22"/>
        </w:rPr>
        <w:t>Open standards and real</w:t>
      </w:r>
      <w:r>
        <w:rPr>
          <w:rFonts w:ascii="Noto Sans" w:hAnsi="Noto Sans" w:cs="Noto Sans"/>
          <w:sz w:val="22"/>
        </w:rPr>
        <w:t>-</w:t>
      </w:r>
      <w:r w:rsidRPr="00EF7254">
        <w:rPr>
          <w:rFonts w:ascii="Noto Sans" w:hAnsi="Noto Sans" w:cs="Noto Sans"/>
          <w:sz w:val="22"/>
        </w:rPr>
        <w:t>time data synchronisation can help businesses to reduce the need for manual intervention and cut errors, and in turn drive productivity gains across manufacturing lines.</w:t>
      </w:r>
      <w:r>
        <w:rPr>
          <w:rFonts w:ascii="Noto Sans" w:hAnsi="Noto Sans" w:cs="Noto Sans"/>
          <w:sz w:val="22"/>
        </w:rPr>
        <w:t>”</w:t>
      </w:r>
    </w:p>
    <w:p w14:paraId="773B908B" w14:textId="77777777" w:rsidR="002B68F8" w:rsidRPr="00EF7254" w:rsidRDefault="002B68F8" w:rsidP="002B68F8">
      <w:pPr>
        <w:spacing w:line="240" w:lineRule="auto"/>
        <w:rPr>
          <w:rFonts w:ascii="Noto Sans" w:hAnsi="Noto Sans" w:cs="Noto Sans"/>
          <w:sz w:val="22"/>
        </w:rPr>
      </w:pPr>
      <w:r w:rsidRPr="00EF7254">
        <w:rPr>
          <w:rFonts w:ascii="Noto Sans" w:hAnsi="Noto Sans" w:cs="Noto Sans"/>
          <w:sz w:val="22"/>
        </w:rPr>
        <w:lastRenderedPageBreak/>
        <w:t xml:space="preserve">The briefing concluded with a look at how product marking systems are evolving to become more intelligent and data-driven, as well as the wider role of product identification. The panellists emphasised that businesses should look beyond the </w:t>
      </w:r>
      <w:r>
        <w:rPr>
          <w:rFonts w:ascii="Noto Sans" w:hAnsi="Noto Sans" w:cs="Noto Sans"/>
          <w:sz w:val="22"/>
        </w:rPr>
        <w:t xml:space="preserve">use of 2D codes as a </w:t>
      </w:r>
      <w:r w:rsidRPr="00EF7254">
        <w:rPr>
          <w:rFonts w:ascii="Noto Sans" w:hAnsi="Noto Sans" w:cs="Noto Sans"/>
          <w:sz w:val="22"/>
        </w:rPr>
        <w:t>compliance activity and focus instead on how to extract the most value from their 2D code applications.</w:t>
      </w:r>
    </w:p>
    <w:p w14:paraId="755CCB09" w14:textId="77777777" w:rsidR="002B68F8" w:rsidRDefault="002B68F8" w:rsidP="002B68F8">
      <w:pPr>
        <w:spacing w:line="240" w:lineRule="auto"/>
        <w:rPr>
          <w:rFonts w:ascii="Noto Sans" w:hAnsi="Noto Sans" w:cs="Noto Sans"/>
          <w:sz w:val="22"/>
        </w:rPr>
      </w:pPr>
    </w:p>
    <w:p w14:paraId="432523BA" w14:textId="747CDDFB" w:rsidR="002B68F8" w:rsidRPr="00EF7254" w:rsidRDefault="002B68F8" w:rsidP="002B68F8">
      <w:pPr>
        <w:spacing w:line="240" w:lineRule="auto"/>
        <w:rPr>
          <w:rFonts w:ascii="Noto Sans" w:hAnsi="Noto Sans" w:cs="Noto Sans"/>
          <w:sz w:val="22"/>
        </w:rPr>
      </w:pPr>
      <w:r>
        <w:rPr>
          <w:rFonts w:ascii="Noto Sans" w:hAnsi="Noto Sans" w:cs="Noto Sans"/>
          <w:sz w:val="22"/>
        </w:rPr>
        <w:t>“</w:t>
      </w:r>
      <w:r w:rsidRPr="00EF7254">
        <w:rPr>
          <w:rFonts w:ascii="Noto Sans" w:hAnsi="Noto Sans" w:cs="Noto Sans"/>
          <w:sz w:val="22"/>
        </w:rPr>
        <w:t>Most organisations start with compliance, and that</w:t>
      </w:r>
      <w:r>
        <w:rPr>
          <w:rFonts w:ascii="Noto Sans" w:hAnsi="Noto Sans" w:cs="Noto Sans"/>
          <w:sz w:val="22"/>
        </w:rPr>
        <w:t>’</w:t>
      </w:r>
      <w:r w:rsidRPr="00EF7254">
        <w:rPr>
          <w:rFonts w:ascii="Noto Sans" w:hAnsi="Noto Sans" w:cs="Noto Sans"/>
          <w:sz w:val="22"/>
        </w:rPr>
        <w:t>s fine, but the real opportunity comes next,</w:t>
      </w:r>
      <w:r>
        <w:rPr>
          <w:rFonts w:ascii="Noto Sans" w:hAnsi="Noto Sans" w:cs="Noto Sans"/>
          <w:sz w:val="22"/>
        </w:rPr>
        <w:t>”</w:t>
      </w:r>
      <w:r w:rsidRPr="00EF7254">
        <w:rPr>
          <w:rFonts w:ascii="Noto Sans" w:hAnsi="Noto Sans" w:cs="Noto Sans"/>
          <w:sz w:val="22"/>
        </w:rPr>
        <w:t xml:space="preserve"> says Ravi. </w:t>
      </w:r>
      <w:r>
        <w:rPr>
          <w:rFonts w:ascii="Noto Sans" w:hAnsi="Noto Sans" w:cs="Noto Sans"/>
          <w:sz w:val="22"/>
        </w:rPr>
        <w:t>“</w:t>
      </w:r>
      <w:r w:rsidRPr="00EF7254">
        <w:rPr>
          <w:rFonts w:ascii="Noto Sans" w:hAnsi="Noto Sans" w:cs="Noto Sans"/>
          <w:sz w:val="22"/>
        </w:rPr>
        <w:t xml:space="preserve">Richer, standardised product data enables better supply-chain intelligence and improved customer experiences. Compliance is just the first step </w:t>
      </w:r>
      <w:r>
        <w:rPr>
          <w:rFonts w:ascii="Noto Sans" w:hAnsi="Noto Sans" w:cs="Noto Sans"/>
          <w:sz w:val="22"/>
        </w:rPr>
        <w:t>–</w:t>
      </w:r>
      <w:r w:rsidRPr="00EF7254">
        <w:rPr>
          <w:rFonts w:ascii="Noto Sans" w:hAnsi="Noto Sans" w:cs="Noto Sans"/>
          <w:sz w:val="22"/>
        </w:rPr>
        <w:t xml:space="preserve"> there</w:t>
      </w:r>
      <w:r>
        <w:rPr>
          <w:rFonts w:ascii="Noto Sans" w:hAnsi="Noto Sans" w:cs="Noto Sans"/>
          <w:sz w:val="22"/>
        </w:rPr>
        <w:t>’</w:t>
      </w:r>
      <w:r w:rsidRPr="00EF7254">
        <w:rPr>
          <w:rFonts w:ascii="Noto Sans" w:hAnsi="Noto Sans" w:cs="Noto Sans"/>
          <w:sz w:val="22"/>
        </w:rPr>
        <w:t>s additional value to be found in the journey.</w:t>
      </w:r>
      <w:r>
        <w:rPr>
          <w:rFonts w:ascii="Noto Sans" w:hAnsi="Noto Sans" w:cs="Noto Sans"/>
          <w:sz w:val="22"/>
        </w:rPr>
        <w:t>”</w:t>
      </w:r>
    </w:p>
    <w:p w14:paraId="2A5A4D55" w14:textId="77777777" w:rsidR="002B68F8" w:rsidRDefault="002B68F8" w:rsidP="002B68F8">
      <w:pPr>
        <w:spacing w:line="240" w:lineRule="auto"/>
        <w:rPr>
          <w:rFonts w:ascii="Noto Sans" w:hAnsi="Noto Sans" w:cs="Noto Sans"/>
          <w:sz w:val="22"/>
        </w:rPr>
      </w:pPr>
    </w:p>
    <w:p w14:paraId="02D868C5" w14:textId="03E604FF" w:rsidR="002B68F8" w:rsidRDefault="002B68F8" w:rsidP="002B68F8">
      <w:pPr>
        <w:spacing w:line="240" w:lineRule="auto"/>
        <w:rPr>
          <w:rFonts w:ascii="Noto Sans" w:hAnsi="Noto Sans" w:cs="Noto Sans"/>
          <w:sz w:val="22"/>
        </w:rPr>
      </w:pPr>
      <w:r w:rsidRPr="00EF7254">
        <w:rPr>
          <w:rFonts w:ascii="Noto Sans" w:hAnsi="Noto Sans" w:cs="Noto Sans"/>
          <w:sz w:val="22"/>
        </w:rPr>
        <w:t xml:space="preserve">Attendees to </w:t>
      </w:r>
      <w:proofErr w:type="spellStart"/>
      <w:r w:rsidRPr="00EF7254">
        <w:rPr>
          <w:rFonts w:ascii="Noto Sans" w:hAnsi="Noto Sans" w:cs="Noto Sans"/>
          <w:b/>
          <w:bCs/>
          <w:sz w:val="22"/>
        </w:rPr>
        <w:t>interpack</w:t>
      </w:r>
      <w:proofErr w:type="spellEnd"/>
      <w:r w:rsidRPr="00EF7254">
        <w:rPr>
          <w:rFonts w:ascii="Noto Sans" w:hAnsi="Noto Sans" w:cs="Noto Sans"/>
          <w:b/>
          <w:bCs/>
          <w:sz w:val="22"/>
        </w:rPr>
        <w:t xml:space="preserve"> 2026</w:t>
      </w:r>
      <w:r w:rsidRPr="00EF7254">
        <w:rPr>
          <w:rFonts w:ascii="Noto Sans" w:hAnsi="Noto Sans" w:cs="Noto Sans"/>
          <w:sz w:val="22"/>
        </w:rPr>
        <w:t xml:space="preserve"> are invited to stop by the Domino booth (C-41, Hall 8B) to continue the conversation on how data, standards, and interoperability can support the successful adoption of 2D codes and connected packaging strategies.</w:t>
      </w:r>
    </w:p>
    <w:p w14:paraId="194A3323" w14:textId="77777777" w:rsidR="002B68F8" w:rsidRDefault="002B68F8" w:rsidP="002B68F8">
      <w:pPr>
        <w:spacing w:line="240" w:lineRule="auto"/>
        <w:rPr>
          <w:rFonts w:ascii="Noto Sans" w:hAnsi="Noto Sans" w:cs="Noto Sans"/>
          <w:sz w:val="22"/>
        </w:rPr>
      </w:pPr>
    </w:p>
    <w:p w14:paraId="4D5C5CB8" w14:textId="709074D7" w:rsidR="002B68F8" w:rsidRPr="00EF7254" w:rsidRDefault="002B68F8" w:rsidP="002B68F8">
      <w:pPr>
        <w:spacing w:line="240" w:lineRule="auto"/>
        <w:rPr>
          <w:rFonts w:ascii="Noto Sans" w:hAnsi="Noto Sans" w:cs="Noto Sans"/>
          <w:sz w:val="22"/>
        </w:rPr>
      </w:pPr>
      <w:r>
        <w:rPr>
          <w:rFonts w:ascii="Noto Sans" w:hAnsi="Noto Sans" w:cs="Noto Sans"/>
          <w:sz w:val="22"/>
        </w:rPr>
        <w:t>&lt;</w:t>
      </w:r>
      <w:r w:rsidRPr="002B68F8">
        <w:rPr>
          <w:rFonts w:ascii="Noto Sans" w:hAnsi="Noto Sans" w:cs="Noto Sans"/>
          <w:b/>
          <w:bCs/>
          <w:sz w:val="22"/>
        </w:rPr>
        <w:t>END</w:t>
      </w:r>
      <w:r>
        <w:rPr>
          <w:rFonts w:ascii="Noto Sans" w:hAnsi="Noto Sans" w:cs="Noto Sans"/>
          <w:sz w:val="22"/>
        </w:rPr>
        <w:t>&gt;</w:t>
      </w:r>
    </w:p>
    <w:p w14:paraId="53EB7C38" w14:textId="77777777" w:rsidR="005524DB" w:rsidRDefault="005524DB" w:rsidP="008E7573"/>
    <w:p w14:paraId="4F9472F9" w14:textId="77777777" w:rsidR="00776FB5" w:rsidRPr="00D949CC" w:rsidRDefault="00776FB5" w:rsidP="00776FB5">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 xml:space="preserve">This video is illustrative only and may include optional extras. Performance figures obtained </w:t>
      </w:r>
      <w:r w:rsidRPr="00D949CC">
        <w:rPr>
          <w:rFonts w:ascii="Noto Sans" w:hAnsi="Noto Sans" w:cs="Noto Sans"/>
          <w:sz w:val="20"/>
          <w:szCs w:val="20"/>
        </w:rPr>
        <w:lastRenderedPageBreak/>
        <w:t>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7">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F4774E">
        <w:rPr>
          <w:rFonts w:ascii="Noto Sans" w:hAnsi="Noto Sans" w:cs="Noto Sans"/>
          <w:sz w:val="20"/>
          <w:szCs w:val="20"/>
          <w:lang w:val="nl"/>
        </w:rPr>
        <w:t>Jade Taylor-Salazar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8" w:history="1">
        <w:r w:rsidRPr="002304A6">
          <w:rPr>
            <w:rStyle w:val="Hyperlink"/>
            <w:rFonts w:ascii="Noto Sans" w:hAnsi="Noto Sans" w:cs="Noto Sans"/>
            <w:sz w:val="20"/>
            <w:szCs w:val="20"/>
          </w:rPr>
          <w:t>Jade.Taylor-Salazar@domino-uk.com</w:t>
        </w:r>
      </w:hyperlink>
      <w:r>
        <w:rPr>
          <w:rFonts w:ascii="Noto Sans" w:hAnsi="Noto Sans" w:cs="Noto Sans"/>
          <w:sz w:val="20"/>
          <w:szCs w:val="20"/>
        </w:rPr>
        <w:t xml:space="preserve"> </w:t>
      </w:r>
      <w:r w:rsidRPr="00D949CC">
        <w:rPr>
          <w:rFonts w:ascii="Noto Sans" w:hAnsi="Noto Sans" w:cs="Noto Sans"/>
          <w:sz w:val="20"/>
          <w:szCs w:val="20"/>
        </w:rPr>
        <w:br/>
      </w:r>
      <w:bookmarkEnd w:id="0"/>
      <w:r w:rsidRPr="00D949CC">
        <w:rPr>
          <w:rFonts w:ascii="Noto Sans" w:hAnsi="Noto Sans" w:cs="Noto Sans"/>
          <w:sz w:val="20"/>
          <w:szCs w:val="20"/>
        </w:rPr>
        <w:br/>
      </w:r>
      <w:r w:rsidRPr="00E37E67">
        <w:rPr>
          <w:rFonts w:ascii="Noto Sans" w:hAnsi="Noto Sans" w:cs="Noto San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9"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42BD01B1" w14:textId="775D4106" w:rsidR="002B68F8" w:rsidRPr="008E7573" w:rsidRDefault="002B68F8" w:rsidP="00776FB5">
      <w:pPr>
        <w:spacing w:line="240" w:lineRule="auto"/>
      </w:pPr>
    </w:p>
    <w:sectPr w:rsidR="002B68F8" w:rsidRPr="008E7573"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B68F8"/>
    <w:rsid w:val="002C3337"/>
    <w:rsid w:val="00372E92"/>
    <w:rsid w:val="005272B1"/>
    <w:rsid w:val="005524DB"/>
    <w:rsid w:val="005741C7"/>
    <w:rsid w:val="0060122E"/>
    <w:rsid w:val="00647055"/>
    <w:rsid w:val="00660F46"/>
    <w:rsid w:val="00682566"/>
    <w:rsid w:val="00776FB5"/>
    <w:rsid w:val="00785717"/>
    <w:rsid w:val="008220B7"/>
    <w:rsid w:val="00823B77"/>
    <w:rsid w:val="008916A8"/>
    <w:rsid w:val="008B6461"/>
    <w:rsid w:val="008E7573"/>
    <w:rsid w:val="008F3E38"/>
    <w:rsid w:val="008F74D8"/>
    <w:rsid w:val="00914B3F"/>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77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e.Taylor-Salaza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ae/home.aspx?utm_medium=non-paid&amp;utm_source=onlinepublication&amp;utm_content=interpack-press-briefing-pr-uae&amp;utm_campaign=2026-int-en-global-pr-cm-fy26-q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les@domino-me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2026-05-07T08:44:00Z</dcterms:created>
  <dcterms:modified xsi:type="dcterms:W3CDTF">2026-05-07T08:44:00Z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