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2EEE" w14:textId="77777777" w:rsidR="004F2F58" w:rsidRPr="004F2F58" w:rsidRDefault="004F2F58" w:rsidP="004F2F58">
      <w:pPr>
        <w:spacing w:before="100" w:beforeAutospacing="1" w:after="100" w:afterAutospacing="1" w:line="300" w:lineRule="atLeast"/>
        <w:outlineLvl w:val="2"/>
        <w:rPr>
          <w:rFonts w:ascii="Noto Sans" w:hAnsi="Noto Sans" w:cs="Noto Sans"/>
          <w:b/>
          <w:bCs/>
          <w:sz w:val="28"/>
          <w:szCs w:val="28"/>
          <w:lang w:val="fr-FR" w:eastAsia="fr-FR"/>
        </w:rPr>
      </w:pPr>
      <w:r w:rsidRPr="004F2F58">
        <w:rPr>
          <w:rFonts w:ascii="Noto Sans" w:hAnsi="Noto Sans" w:cs="Noto Sans"/>
          <w:b/>
          <w:bCs/>
          <w:sz w:val="28"/>
          <w:szCs w:val="28"/>
          <w:lang w:val="fr-FR" w:eastAsia="fr-FR"/>
        </w:rPr>
        <w:t xml:space="preserve">Amazon, GS1 Allemagne et Domino partagent leur vision de l’avenir de l’identification des produits à </w:t>
      </w:r>
      <w:proofErr w:type="spellStart"/>
      <w:r w:rsidRPr="004F2F58">
        <w:rPr>
          <w:rFonts w:ascii="Noto Sans" w:hAnsi="Noto Sans" w:cs="Noto Sans"/>
          <w:b/>
          <w:bCs/>
          <w:sz w:val="28"/>
          <w:szCs w:val="28"/>
          <w:lang w:val="fr-FR" w:eastAsia="fr-FR"/>
        </w:rPr>
        <w:t>Interpack</w:t>
      </w:r>
      <w:proofErr w:type="spellEnd"/>
      <w:r w:rsidRPr="004F2F58">
        <w:rPr>
          <w:rFonts w:ascii="Noto Sans" w:hAnsi="Noto Sans" w:cs="Noto Sans"/>
          <w:b/>
          <w:bCs/>
          <w:sz w:val="28"/>
          <w:szCs w:val="28"/>
          <w:lang w:val="fr-FR" w:eastAsia="fr-FR"/>
        </w:rPr>
        <w:t xml:space="preserve"> 2026</w:t>
      </w:r>
    </w:p>
    <w:p w14:paraId="2EF8367B" w14:textId="7D714BC0" w:rsidR="004F2F58" w:rsidRPr="0057700B" w:rsidRDefault="004F2F58" w:rsidP="004F2F58">
      <w:pPr>
        <w:spacing w:before="100" w:beforeAutospacing="1" w:after="100" w:afterAutospacing="1" w:line="300" w:lineRule="atLeast"/>
        <w:rPr>
          <w:rFonts w:ascii="Noto Sans" w:hAnsi="Noto Sans" w:cs="Noto Sans"/>
          <w:sz w:val="22"/>
          <w:lang w:val="fr-FR" w:eastAsia="fr-FR"/>
        </w:rPr>
      </w:pPr>
      <w:r w:rsidRPr="0057700B">
        <w:rPr>
          <w:rFonts w:ascii="Noto Sans" w:hAnsi="Noto Sans" w:cs="Noto Sans"/>
          <w:sz w:val="22"/>
          <w:lang w:val="fr-FR" w:eastAsia="fr-FR"/>
        </w:rPr>
        <w:t>À l’occasion d’</w:t>
      </w:r>
      <w:proofErr w:type="spellStart"/>
      <w:r w:rsidRPr="0057700B">
        <w:rPr>
          <w:rFonts w:ascii="Noto Sans" w:hAnsi="Noto Sans" w:cs="Noto Sans"/>
          <w:b/>
          <w:bCs/>
          <w:sz w:val="22"/>
          <w:lang w:val="fr-FR" w:eastAsia="fr-FR"/>
        </w:rPr>
        <w:t>Interpack</w:t>
      </w:r>
      <w:proofErr w:type="spellEnd"/>
      <w:r w:rsidRPr="0057700B">
        <w:rPr>
          <w:rFonts w:ascii="Noto Sans" w:hAnsi="Noto Sans" w:cs="Noto Sans"/>
          <w:b/>
          <w:bCs/>
          <w:sz w:val="22"/>
          <w:lang w:val="fr-FR" w:eastAsia="fr-FR"/>
        </w:rPr>
        <w:t xml:space="preserve"> 2026</w:t>
      </w:r>
      <w:r w:rsidRPr="0057700B">
        <w:rPr>
          <w:rFonts w:ascii="Noto Sans" w:hAnsi="Noto Sans" w:cs="Noto Sans"/>
          <w:sz w:val="22"/>
          <w:lang w:val="fr-FR" w:eastAsia="fr-FR"/>
        </w:rPr>
        <w:t xml:space="preserve">, des </w:t>
      </w:r>
      <w:r w:rsidRPr="0057700B">
        <w:rPr>
          <w:rFonts w:ascii="Noto Sans" w:hAnsi="Noto Sans" w:cs="Noto Sans"/>
          <w:b/>
          <w:bCs/>
          <w:sz w:val="22"/>
          <w:lang w:val="fr-FR" w:eastAsia="fr-FR"/>
        </w:rPr>
        <w:t>experts de la distribution, des standards internationaux et du secteur industriel</w:t>
      </w:r>
      <w:r w:rsidRPr="0057700B">
        <w:rPr>
          <w:rFonts w:ascii="Noto Sans" w:hAnsi="Noto Sans" w:cs="Noto Sans"/>
          <w:sz w:val="22"/>
          <w:lang w:val="fr-FR" w:eastAsia="fr-FR"/>
        </w:rPr>
        <w:t xml:space="preserve"> se sont réunis lors d’une table ronde organisée par </w:t>
      </w:r>
      <w:hyperlink r:id="rId6" w:history="1">
        <w:r w:rsidRPr="004F2F58">
          <w:rPr>
            <w:rStyle w:val="Hyperlink"/>
            <w:rFonts w:ascii="Noto Sans" w:hAnsi="Noto Sans" w:cs="Noto Sans"/>
            <w:b/>
            <w:bCs/>
            <w:sz w:val="22"/>
            <w:lang w:val="fr-FR" w:eastAsia="fr-FR"/>
          </w:rPr>
          <w:t>Domino Printing Sciences</w:t>
        </w:r>
      </w:hyperlink>
      <w:r w:rsidRPr="0057700B">
        <w:rPr>
          <w:rFonts w:ascii="Noto Sans" w:hAnsi="Noto Sans" w:cs="Noto Sans"/>
          <w:sz w:val="22"/>
          <w:lang w:val="fr-FR" w:eastAsia="fr-FR"/>
        </w:rPr>
        <w:t>. Les échanges ont porté sur l’évolution de l’</w:t>
      </w:r>
      <w:r w:rsidRPr="0057700B">
        <w:rPr>
          <w:rFonts w:ascii="Noto Sans" w:hAnsi="Noto Sans" w:cs="Noto Sans"/>
          <w:b/>
          <w:bCs/>
          <w:sz w:val="22"/>
          <w:lang w:val="fr-FR" w:eastAsia="fr-FR"/>
        </w:rPr>
        <w:t>identification des produits</w:t>
      </w:r>
      <w:r w:rsidRPr="0057700B">
        <w:rPr>
          <w:rFonts w:ascii="Noto Sans" w:hAnsi="Noto Sans" w:cs="Noto Sans"/>
          <w:sz w:val="22"/>
          <w:lang w:val="fr-FR" w:eastAsia="fr-FR"/>
        </w:rPr>
        <w:t xml:space="preserve"> et de la </w:t>
      </w:r>
      <w:r w:rsidRPr="0057700B">
        <w:rPr>
          <w:rFonts w:ascii="Noto Sans" w:hAnsi="Noto Sans" w:cs="Noto Sans"/>
          <w:b/>
          <w:bCs/>
          <w:sz w:val="22"/>
          <w:lang w:val="fr-FR" w:eastAsia="fr-FR"/>
        </w:rPr>
        <w:t>traçabilité</w:t>
      </w:r>
      <w:r w:rsidRPr="0057700B">
        <w:rPr>
          <w:rFonts w:ascii="Noto Sans" w:hAnsi="Noto Sans" w:cs="Noto Sans"/>
          <w:sz w:val="22"/>
          <w:lang w:val="fr-FR" w:eastAsia="fr-FR"/>
        </w:rPr>
        <w:t xml:space="preserve">, portée par l’adoption des </w:t>
      </w:r>
      <w:r w:rsidRPr="0057700B">
        <w:rPr>
          <w:rFonts w:ascii="Noto Sans" w:hAnsi="Noto Sans" w:cs="Noto Sans"/>
          <w:b/>
          <w:bCs/>
          <w:sz w:val="22"/>
          <w:lang w:val="fr-FR" w:eastAsia="fr-FR"/>
        </w:rPr>
        <w:t>codes 2D</w:t>
      </w:r>
      <w:r w:rsidRPr="0057700B">
        <w:rPr>
          <w:rFonts w:ascii="Noto Sans" w:hAnsi="Noto Sans" w:cs="Noto Sans"/>
          <w:sz w:val="22"/>
          <w:lang w:val="fr-FR" w:eastAsia="fr-FR"/>
        </w:rPr>
        <w:t xml:space="preserve">, des </w:t>
      </w:r>
      <w:r w:rsidRPr="0057700B">
        <w:rPr>
          <w:rFonts w:ascii="Noto Sans" w:hAnsi="Noto Sans" w:cs="Noto Sans"/>
          <w:b/>
          <w:bCs/>
          <w:sz w:val="22"/>
          <w:lang w:val="fr-FR" w:eastAsia="fr-FR"/>
        </w:rPr>
        <w:t>standards GS1</w:t>
      </w:r>
      <w:r w:rsidRPr="0057700B">
        <w:rPr>
          <w:rFonts w:ascii="Noto Sans" w:hAnsi="Noto Sans" w:cs="Noto Sans"/>
          <w:sz w:val="22"/>
          <w:lang w:val="fr-FR" w:eastAsia="fr-FR"/>
        </w:rPr>
        <w:t xml:space="preserve">, ainsi que par des </w:t>
      </w:r>
      <w:r w:rsidRPr="0057700B">
        <w:rPr>
          <w:rFonts w:ascii="Noto Sans" w:hAnsi="Noto Sans" w:cs="Noto Sans"/>
          <w:b/>
          <w:bCs/>
          <w:sz w:val="22"/>
          <w:lang w:val="fr-FR" w:eastAsia="fr-FR"/>
        </w:rPr>
        <w:t>systèmes intelligents, automatisés et interconnectés</w:t>
      </w:r>
      <w:r w:rsidRPr="0057700B">
        <w:rPr>
          <w:rFonts w:ascii="Noto Sans" w:hAnsi="Noto Sans" w:cs="Noto Sans"/>
          <w:sz w:val="22"/>
          <w:lang w:val="fr-FR" w:eastAsia="fr-FR"/>
        </w:rPr>
        <w:t xml:space="preserve"> au sein des chaînes d’approvisionnement mondiales.</w:t>
      </w:r>
    </w:p>
    <w:p w14:paraId="034ED43F" w14:textId="77777777" w:rsidR="004F2F58" w:rsidRPr="0057700B" w:rsidRDefault="004F2F58" w:rsidP="004F2F58">
      <w:pPr>
        <w:spacing w:before="100" w:beforeAutospacing="1" w:after="100" w:afterAutospacing="1" w:line="300" w:lineRule="atLeast"/>
        <w:rPr>
          <w:rFonts w:ascii="Noto Sans" w:hAnsi="Noto Sans" w:cs="Noto Sans"/>
          <w:sz w:val="22"/>
          <w:lang w:val="fr-FR" w:eastAsia="fr-FR"/>
        </w:rPr>
      </w:pPr>
      <w:r w:rsidRPr="0057700B">
        <w:rPr>
          <w:rFonts w:ascii="Noto Sans" w:hAnsi="Noto Sans" w:cs="Noto Sans"/>
          <w:sz w:val="22"/>
          <w:lang w:val="fr-FR" w:eastAsia="fr-FR"/>
        </w:rPr>
        <w:t xml:space="preserve">Organisée sur le </w:t>
      </w:r>
      <w:r w:rsidRPr="0057700B">
        <w:rPr>
          <w:rFonts w:ascii="Noto Sans" w:hAnsi="Noto Sans" w:cs="Noto Sans"/>
          <w:b/>
          <w:bCs/>
          <w:sz w:val="22"/>
          <w:lang w:val="fr-FR" w:eastAsia="fr-FR"/>
        </w:rPr>
        <w:t>stand Domino (C-41, Hall 8B)</w:t>
      </w:r>
      <w:r w:rsidRPr="0057700B">
        <w:rPr>
          <w:rFonts w:ascii="Noto Sans" w:hAnsi="Noto Sans" w:cs="Noto Sans"/>
          <w:sz w:val="22"/>
          <w:lang w:val="fr-FR" w:eastAsia="fr-FR"/>
        </w:rPr>
        <w:t xml:space="preserve">, cette rencontre a réuni </w:t>
      </w:r>
      <w:r w:rsidRPr="0057700B">
        <w:rPr>
          <w:rFonts w:ascii="Noto Sans" w:hAnsi="Noto Sans" w:cs="Noto Sans"/>
          <w:b/>
          <w:bCs/>
          <w:sz w:val="22"/>
          <w:lang w:val="fr-FR" w:eastAsia="fr-FR"/>
        </w:rPr>
        <w:t xml:space="preserve">Monica Ravi (Amazon </w:t>
      </w:r>
      <w:proofErr w:type="spellStart"/>
      <w:r w:rsidRPr="0057700B">
        <w:rPr>
          <w:rFonts w:ascii="Noto Sans" w:hAnsi="Noto Sans" w:cs="Noto Sans"/>
          <w:b/>
          <w:bCs/>
          <w:sz w:val="22"/>
          <w:lang w:val="fr-FR" w:eastAsia="fr-FR"/>
        </w:rPr>
        <w:t>Transparency</w:t>
      </w:r>
      <w:proofErr w:type="spellEnd"/>
      <w:r w:rsidRPr="0057700B">
        <w:rPr>
          <w:rFonts w:ascii="Noto Sans" w:hAnsi="Noto Sans" w:cs="Noto Sans"/>
          <w:b/>
          <w:bCs/>
          <w:sz w:val="22"/>
          <w:lang w:val="fr-FR" w:eastAsia="fr-FR"/>
        </w:rPr>
        <w:t>)</w:t>
      </w:r>
      <w:r w:rsidRPr="0057700B">
        <w:rPr>
          <w:rFonts w:ascii="Noto Sans" w:hAnsi="Noto Sans" w:cs="Noto Sans"/>
          <w:sz w:val="22"/>
          <w:lang w:val="fr-FR" w:eastAsia="fr-FR"/>
        </w:rPr>
        <w:t xml:space="preserve">, </w:t>
      </w:r>
      <w:r w:rsidRPr="0057700B">
        <w:rPr>
          <w:rFonts w:ascii="Noto Sans" w:hAnsi="Noto Sans" w:cs="Noto Sans"/>
          <w:b/>
          <w:bCs/>
          <w:sz w:val="22"/>
          <w:lang w:val="fr-FR" w:eastAsia="fr-FR"/>
        </w:rPr>
        <w:t>Thomas Fell (CEO, GS1 Germany)</w:t>
      </w:r>
      <w:r w:rsidRPr="0057700B">
        <w:rPr>
          <w:rFonts w:ascii="Noto Sans" w:hAnsi="Noto Sans" w:cs="Noto Sans"/>
          <w:sz w:val="22"/>
          <w:lang w:val="fr-FR" w:eastAsia="fr-FR"/>
        </w:rPr>
        <w:t xml:space="preserve">, </w:t>
      </w:r>
      <w:r w:rsidRPr="0057700B">
        <w:rPr>
          <w:rFonts w:ascii="Noto Sans" w:hAnsi="Noto Sans" w:cs="Noto Sans"/>
          <w:b/>
          <w:bCs/>
          <w:sz w:val="22"/>
          <w:lang w:val="fr-FR" w:eastAsia="fr-FR"/>
        </w:rPr>
        <w:t>Craig Stobie (Domino Printing Sciences)</w:t>
      </w:r>
      <w:r w:rsidRPr="0057700B">
        <w:rPr>
          <w:rFonts w:ascii="Noto Sans" w:hAnsi="Noto Sans" w:cs="Noto Sans"/>
          <w:sz w:val="22"/>
          <w:lang w:val="fr-FR" w:eastAsia="fr-FR"/>
        </w:rPr>
        <w:t xml:space="preserve"> et </w:t>
      </w:r>
      <w:r w:rsidRPr="0057700B">
        <w:rPr>
          <w:rFonts w:ascii="Noto Sans" w:hAnsi="Noto Sans" w:cs="Noto Sans"/>
          <w:b/>
          <w:bCs/>
          <w:sz w:val="22"/>
          <w:lang w:val="fr-FR" w:eastAsia="fr-FR"/>
        </w:rPr>
        <w:t>Adem Kulauzovic</w:t>
      </w:r>
      <w:r w:rsidRPr="0057700B">
        <w:rPr>
          <w:rFonts w:ascii="Noto Sans" w:hAnsi="Noto Sans" w:cs="Noto Sans"/>
          <w:sz w:val="22"/>
          <w:lang w:val="fr-FR" w:eastAsia="fr-FR"/>
        </w:rPr>
        <w:t>, membre du conseil d’administration d’</w:t>
      </w:r>
      <w:r w:rsidRPr="0057700B">
        <w:rPr>
          <w:rFonts w:ascii="Noto Sans" w:hAnsi="Noto Sans" w:cs="Noto Sans"/>
          <w:b/>
          <w:bCs/>
          <w:sz w:val="22"/>
          <w:lang w:val="fr-FR" w:eastAsia="fr-FR"/>
        </w:rPr>
        <w:t>OMAC</w:t>
      </w:r>
      <w:r w:rsidRPr="0057700B">
        <w:rPr>
          <w:rFonts w:ascii="Noto Sans" w:hAnsi="Noto Sans" w:cs="Noto Sans"/>
          <w:sz w:val="22"/>
          <w:lang w:val="fr-FR" w:eastAsia="fr-FR"/>
        </w:rPr>
        <w:t xml:space="preserve"> et </w:t>
      </w:r>
      <w:r w:rsidRPr="0057700B">
        <w:rPr>
          <w:rFonts w:ascii="Noto Sans" w:hAnsi="Noto Sans" w:cs="Noto Sans"/>
          <w:b/>
          <w:bCs/>
          <w:sz w:val="22"/>
          <w:lang w:val="fr-FR" w:eastAsia="fr-FR"/>
        </w:rPr>
        <w:t>Directeur Automatisation &amp; Intégration chez Domino</w:t>
      </w:r>
      <w:r w:rsidRPr="0057700B">
        <w:rPr>
          <w:rFonts w:ascii="Noto Sans" w:hAnsi="Noto Sans" w:cs="Noto Sans"/>
          <w:sz w:val="22"/>
          <w:lang w:val="fr-FR" w:eastAsia="fr-FR"/>
        </w:rPr>
        <w:t>.</w:t>
      </w:r>
    </w:p>
    <w:p w14:paraId="023113E9" w14:textId="77777777" w:rsidR="004F2F58" w:rsidRPr="0057700B" w:rsidRDefault="004F2F58" w:rsidP="004F2F58">
      <w:pPr>
        <w:spacing w:before="100" w:beforeAutospacing="1" w:after="100" w:afterAutospacing="1" w:line="300" w:lineRule="atLeast"/>
        <w:rPr>
          <w:rFonts w:ascii="Noto Sans" w:hAnsi="Noto Sans" w:cs="Noto Sans"/>
          <w:sz w:val="22"/>
          <w:lang w:val="fr-FR" w:eastAsia="fr-FR"/>
        </w:rPr>
      </w:pPr>
      <w:r w:rsidRPr="0057700B">
        <w:rPr>
          <w:rFonts w:ascii="Noto Sans" w:hAnsi="Noto Sans" w:cs="Noto Sans"/>
          <w:sz w:val="22"/>
          <w:lang w:val="fr-FR" w:eastAsia="fr-FR"/>
        </w:rPr>
        <w:t xml:space="preserve">Les intervenants ont souligné la </w:t>
      </w:r>
      <w:r w:rsidRPr="0057700B">
        <w:rPr>
          <w:rFonts w:ascii="Noto Sans" w:hAnsi="Noto Sans" w:cs="Noto Sans"/>
          <w:b/>
          <w:bCs/>
          <w:sz w:val="22"/>
          <w:lang w:val="fr-FR" w:eastAsia="fr-FR"/>
        </w:rPr>
        <w:t xml:space="preserve">montée en puissance de la transition vers les codes 2D </w:t>
      </w:r>
      <w:r>
        <w:rPr>
          <w:rFonts w:ascii="Noto Sans" w:hAnsi="Noto Sans" w:cs="Noto Sans"/>
          <w:b/>
          <w:bCs/>
          <w:sz w:val="22"/>
          <w:lang w:val="fr-FR" w:eastAsia="fr-FR"/>
        </w:rPr>
        <w:t>augmentés</w:t>
      </w:r>
      <w:r w:rsidRPr="0057700B">
        <w:rPr>
          <w:rFonts w:ascii="Noto Sans" w:hAnsi="Noto Sans" w:cs="Noto Sans"/>
          <w:b/>
          <w:bCs/>
          <w:sz w:val="22"/>
          <w:lang w:val="fr-FR" w:eastAsia="fr-FR"/>
        </w:rPr>
        <w:t xml:space="preserve"> GS1</w:t>
      </w:r>
      <w:r w:rsidRPr="0057700B">
        <w:rPr>
          <w:rFonts w:ascii="Noto Sans" w:hAnsi="Noto Sans" w:cs="Noto Sans"/>
          <w:sz w:val="22"/>
          <w:lang w:val="fr-FR" w:eastAsia="fr-FR"/>
        </w:rPr>
        <w:t xml:space="preserve">, tant au </w:t>
      </w:r>
      <w:r w:rsidRPr="0057700B">
        <w:rPr>
          <w:rFonts w:ascii="Noto Sans" w:hAnsi="Noto Sans" w:cs="Noto Sans"/>
          <w:b/>
          <w:bCs/>
          <w:sz w:val="22"/>
          <w:lang w:val="fr-FR" w:eastAsia="fr-FR"/>
        </w:rPr>
        <w:t>point de vente</w:t>
      </w:r>
      <w:r w:rsidRPr="0057700B">
        <w:rPr>
          <w:rFonts w:ascii="Noto Sans" w:hAnsi="Noto Sans" w:cs="Noto Sans"/>
          <w:sz w:val="22"/>
          <w:lang w:val="fr-FR" w:eastAsia="fr-FR"/>
        </w:rPr>
        <w:t xml:space="preserve"> qu’à travers des initiatives réglementaires telles que le </w:t>
      </w:r>
      <w:r w:rsidRPr="0057700B">
        <w:rPr>
          <w:rFonts w:ascii="Noto Sans" w:hAnsi="Noto Sans" w:cs="Noto Sans"/>
          <w:b/>
          <w:bCs/>
          <w:sz w:val="22"/>
          <w:lang w:val="fr-FR" w:eastAsia="fr-FR"/>
        </w:rPr>
        <w:t>Passeport Numérique des Produits de l’Union européenne</w:t>
      </w:r>
      <w:r w:rsidRPr="0057700B">
        <w:rPr>
          <w:rFonts w:ascii="Noto Sans" w:hAnsi="Noto Sans" w:cs="Noto Sans"/>
          <w:sz w:val="22"/>
          <w:lang w:val="fr-FR" w:eastAsia="fr-FR"/>
        </w:rPr>
        <w:t xml:space="preserve">. Tous ont insisté sur la valeur stratégique de </w:t>
      </w:r>
      <w:r w:rsidRPr="0057700B">
        <w:rPr>
          <w:rFonts w:ascii="Noto Sans" w:hAnsi="Noto Sans" w:cs="Noto Sans"/>
          <w:b/>
          <w:bCs/>
          <w:sz w:val="22"/>
          <w:lang w:val="fr-FR" w:eastAsia="fr-FR"/>
        </w:rPr>
        <w:t>données standardisées et plus détaillées</w:t>
      </w:r>
      <w:r w:rsidRPr="0057700B">
        <w:rPr>
          <w:rFonts w:ascii="Noto Sans" w:hAnsi="Noto Sans" w:cs="Noto Sans"/>
          <w:sz w:val="22"/>
          <w:lang w:val="fr-FR" w:eastAsia="fr-FR"/>
        </w:rPr>
        <w:t xml:space="preserve"> pour améliorer la </w:t>
      </w:r>
      <w:r w:rsidRPr="0057700B">
        <w:rPr>
          <w:rFonts w:ascii="Noto Sans" w:hAnsi="Noto Sans" w:cs="Noto Sans"/>
          <w:b/>
          <w:bCs/>
          <w:sz w:val="22"/>
          <w:lang w:val="fr-FR" w:eastAsia="fr-FR"/>
        </w:rPr>
        <w:t>transparence</w:t>
      </w:r>
      <w:r w:rsidRPr="0057700B">
        <w:rPr>
          <w:rFonts w:ascii="Noto Sans" w:hAnsi="Noto Sans" w:cs="Noto Sans"/>
          <w:sz w:val="22"/>
          <w:lang w:val="fr-FR" w:eastAsia="fr-FR"/>
        </w:rPr>
        <w:t xml:space="preserve">, la </w:t>
      </w:r>
      <w:r w:rsidRPr="0057700B">
        <w:rPr>
          <w:rFonts w:ascii="Noto Sans" w:hAnsi="Noto Sans" w:cs="Noto Sans"/>
          <w:b/>
          <w:bCs/>
          <w:sz w:val="22"/>
          <w:lang w:val="fr-FR" w:eastAsia="fr-FR"/>
        </w:rPr>
        <w:t>traçabilité</w:t>
      </w:r>
      <w:r w:rsidRPr="0057700B">
        <w:rPr>
          <w:rFonts w:ascii="Noto Sans" w:hAnsi="Noto Sans" w:cs="Noto Sans"/>
          <w:sz w:val="22"/>
          <w:lang w:val="fr-FR" w:eastAsia="fr-FR"/>
        </w:rPr>
        <w:t xml:space="preserve"> et la </w:t>
      </w:r>
      <w:r w:rsidRPr="0057700B">
        <w:rPr>
          <w:rFonts w:ascii="Noto Sans" w:hAnsi="Noto Sans" w:cs="Noto Sans"/>
          <w:b/>
          <w:bCs/>
          <w:sz w:val="22"/>
          <w:lang w:val="fr-FR" w:eastAsia="fr-FR"/>
        </w:rPr>
        <w:t xml:space="preserve">performance globale de la </w:t>
      </w:r>
      <w:proofErr w:type="spellStart"/>
      <w:r w:rsidRPr="0057700B">
        <w:rPr>
          <w:rFonts w:ascii="Noto Sans" w:hAnsi="Noto Sans" w:cs="Noto Sans"/>
          <w:b/>
          <w:bCs/>
          <w:sz w:val="22"/>
          <w:lang w:val="fr-FR" w:eastAsia="fr-FR"/>
        </w:rPr>
        <w:t>supply</w:t>
      </w:r>
      <w:proofErr w:type="spellEnd"/>
      <w:r w:rsidRPr="0057700B">
        <w:rPr>
          <w:rFonts w:ascii="Noto Sans" w:hAnsi="Noto Sans" w:cs="Noto Sans"/>
          <w:b/>
          <w:bCs/>
          <w:sz w:val="22"/>
          <w:lang w:val="fr-FR" w:eastAsia="fr-FR"/>
        </w:rPr>
        <w:t xml:space="preserve"> </w:t>
      </w:r>
      <w:proofErr w:type="spellStart"/>
      <w:r w:rsidRPr="0057700B">
        <w:rPr>
          <w:rFonts w:ascii="Noto Sans" w:hAnsi="Noto Sans" w:cs="Noto Sans"/>
          <w:b/>
          <w:bCs/>
          <w:sz w:val="22"/>
          <w:lang w:val="fr-FR" w:eastAsia="fr-FR"/>
        </w:rPr>
        <w:t>chain</w:t>
      </w:r>
      <w:proofErr w:type="spellEnd"/>
      <w:r w:rsidRPr="0057700B">
        <w:rPr>
          <w:rFonts w:ascii="Noto Sans" w:hAnsi="Noto Sans" w:cs="Noto Sans"/>
          <w:sz w:val="22"/>
          <w:lang w:val="fr-FR" w:eastAsia="fr-FR"/>
        </w:rPr>
        <w:t>.</w:t>
      </w:r>
    </w:p>
    <w:p w14:paraId="2FD58CC4" w14:textId="77777777" w:rsidR="004F2F58" w:rsidRPr="0057700B" w:rsidRDefault="004F2F58" w:rsidP="004F2F58">
      <w:pPr>
        <w:spacing w:before="100" w:beforeAutospacing="1" w:after="100" w:afterAutospacing="1" w:line="300" w:lineRule="atLeast"/>
        <w:rPr>
          <w:rFonts w:ascii="Noto Sans" w:hAnsi="Noto Sans" w:cs="Noto Sans"/>
          <w:sz w:val="22"/>
          <w:lang w:val="fr-FR" w:eastAsia="fr-FR"/>
        </w:rPr>
      </w:pPr>
      <w:r w:rsidRPr="0057700B">
        <w:rPr>
          <w:rFonts w:ascii="Noto Sans" w:hAnsi="Noto Sans" w:cs="Noto Sans"/>
          <w:b/>
          <w:bCs/>
          <w:sz w:val="22"/>
          <w:lang w:val="fr-FR" w:eastAsia="fr-FR"/>
        </w:rPr>
        <w:t>« Le passage au 2D est inévitable »</w:t>
      </w:r>
      <w:r w:rsidRPr="0057700B">
        <w:rPr>
          <w:rFonts w:ascii="Noto Sans" w:hAnsi="Noto Sans" w:cs="Noto Sans"/>
          <w:sz w:val="22"/>
          <w:lang w:val="fr-FR" w:eastAsia="fr-FR"/>
        </w:rPr>
        <w:t xml:space="preserve">, explique </w:t>
      </w:r>
      <w:r w:rsidRPr="0057700B">
        <w:rPr>
          <w:rFonts w:ascii="Noto Sans" w:hAnsi="Noto Sans" w:cs="Noto Sans"/>
          <w:b/>
          <w:bCs/>
          <w:sz w:val="22"/>
          <w:lang w:val="fr-FR" w:eastAsia="fr-FR"/>
        </w:rPr>
        <w:t>Craig Stobie</w:t>
      </w:r>
      <w:r w:rsidRPr="0057700B">
        <w:rPr>
          <w:rFonts w:ascii="Noto Sans" w:hAnsi="Noto Sans" w:cs="Noto Sans"/>
          <w:sz w:val="22"/>
          <w:lang w:val="fr-FR" w:eastAsia="fr-FR"/>
        </w:rPr>
        <w:t xml:space="preserve">, soulignant que le succès repose sur des </w:t>
      </w:r>
      <w:r w:rsidRPr="0057700B">
        <w:rPr>
          <w:rFonts w:ascii="Noto Sans" w:hAnsi="Noto Sans" w:cs="Noto Sans"/>
          <w:b/>
          <w:bCs/>
          <w:sz w:val="22"/>
          <w:lang w:val="fr-FR" w:eastAsia="fr-FR"/>
        </w:rPr>
        <w:t>standards GS1 interopérables</w:t>
      </w:r>
      <w:r w:rsidRPr="0057700B">
        <w:rPr>
          <w:rFonts w:ascii="Noto Sans" w:hAnsi="Noto Sans" w:cs="Noto Sans"/>
          <w:sz w:val="22"/>
          <w:lang w:val="fr-FR" w:eastAsia="fr-FR"/>
        </w:rPr>
        <w:t xml:space="preserve">, une </w:t>
      </w:r>
      <w:r w:rsidRPr="0057700B">
        <w:rPr>
          <w:rFonts w:ascii="Noto Sans" w:hAnsi="Noto Sans" w:cs="Noto Sans"/>
          <w:b/>
          <w:bCs/>
          <w:sz w:val="22"/>
          <w:lang w:val="fr-FR" w:eastAsia="fr-FR"/>
        </w:rPr>
        <w:t>connectivité réelle</w:t>
      </w:r>
      <w:r w:rsidRPr="0057700B">
        <w:rPr>
          <w:rFonts w:ascii="Noto Sans" w:hAnsi="Noto Sans" w:cs="Noto Sans"/>
          <w:sz w:val="22"/>
          <w:lang w:val="fr-FR" w:eastAsia="fr-FR"/>
        </w:rPr>
        <w:t xml:space="preserve"> et une </w:t>
      </w:r>
      <w:r w:rsidRPr="0057700B">
        <w:rPr>
          <w:rFonts w:ascii="Noto Sans" w:hAnsi="Noto Sans" w:cs="Noto Sans"/>
          <w:b/>
          <w:bCs/>
          <w:sz w:val="22"/>
          <w:lang w:val="fr-FR" w:eastAsia="fr-FR"/>
        </w:rPr>
        <w:t>collaboration étroite entre les acteurs de la chaîne d’approvisionnement</w:t>
      </w:r>
      <w:r w:rsidRPr="0057700B">
        <w:rPr>
          <w:rFonts w:ascii="Noto Sans" w:hAnsi="Noto Sans" w:cs="Noto Sans"/>
          <w:sz w:val="22"/>
          <w:lang w:val="fr-FR" w:eastAsia="fr-FR"/>
        </w:rPr>
        <w:t>.</w:t>
      </w:r>
    </w:p>
    <w:p w14:paraId="2E8611BE" w14:textId="77777777" w:rsidR="004F2F58" w:rsidRPr="0057700B" w:rsidRDefault="004F2F58" w:rsidP="004F2F58">
      <w:pPr>
        <w:spacing w:before="100" w:beforeAutospacing="1" w:after="100" w:afterAutospacing="1" w:line="300" w:lineRule="atLeast"/>
        <w:rPr>
          <w:rFonts w:ascii="Noto Sans" w:hAnsi="Noto Sans" w:cs="Noto Sans"/>
          <w:sz w:val="22"/>
          <w:lang w:val="fr-FR" w:eastAsia="fr-FR"/>
        </w:rPr>
      </w:pPr>
      <w:r w:rsidRPr="0057700B">
        <w:rPr>
          <w:rFonts w:ascii="Noto Sans" w:hAnsi="Noto Sans" w:cs="Noto Sans"/>
          <w:sz w:val="22"/>
          <w:lang w:val="fr-FR" w:eastAsia="fr-FR"/>
        </w:rPr>
        <w:t xml:space="preserve">De son côté, </w:t>
      </w:r>
      <w:r w:rsidRPr="0057700B">
        <w:rPr>
          <w:rFonts w:ascii="Noto Sans" w:hAnsi="Noto Sans" w:cs="Noto Sans"/>
          <w:b/>
          <w:bCs/>
          <w:sz w:val="22"/>
          <w:lang w:val="fr-FR" w:eastAsia="fr-FR"/>
        </w:rPr>
        <w:t>Thomas Fell</w:t>
      </w:r>
      <w:r w:rsidRPr="0057700B">
        <w:rPr>
          <w:rFonts w:ascii="Noto Sans" w:hAnsi="Noto Sans" w:cs="Noto Sans"/>
          <w:sz w:val="22"/>
          <w:lang w:val="fr-FR" w:eastAsia="fr-FR"/>
        </w:rPr>
        <w:t xml:space="preserve"> rappelle que la migration vers le 2D répond à des </w:t>
      </w:r>
      <w:r w:rsidRPr="0057700B">
        <w:rPr>
          <w:rFonts w:ascii="Noto Sans" w:hAnsi="Noto Sans" w:cs="Noto Sans"/>
          <w:b/>
          <w:bCs/>
          <w:sz w:val="22"/>
          <w:lang w:val="fr-FR" w:eastAsia="fr-FR"/>
        </w:rPr>
        <w:t>enjeux concrets rencontrés par les marques et les distributeurs</w:t>
      </w:r>
      <w:r w:rsidRPr="0057700B">
        <w:rPr>
          <w:rFonts w:ascii="Noto Sans" w:hAnsi="Noto Sans" w:cs="Noto Sans"/>
          <w:sz w:val="22"/>
          <w:lang w:val="fr-FR" w:eastAsia="fr-FR"/>
        </w:rPr>
        <w:t xml:space="preserve">, et qu’il s’agit d’une </w:t>
      </w:r>
      <w:r w:rsidRPr="0057700B">
        <w:rPr>
          <w:rFonts w:ascii="Noto Sans" w:hAnsi="Noto Sans" w:cs="Noto Sans"/>
          <w:b/>
          <w:bCs/>
          <w:sz w:val="22"/>
          <w:lang w:val="fr-FR" w:eastAsia="fr-FR"/>
        </w:rPr>
        <w:t xml:space="preserve">transformation </w:t>
      </w:r>
      <w:r>
        <w:rPr>
          <w:rFonts w:ascii="Noto Sans" w:hAnsi="Noto Sans" w:cs="Noto Sans"/>
          <w:b/>
          <w:bCs/>
          <w:sz w:val="22"/>
          <w:lang w:val="fr-FR" w:eastAsia="fr-FR"/>
        </w:rPr>
        <w:t>globale</w:t>
      </w:r>
      <w:r w:rsidRPr="0057700B">
        <w:rPr>
          <w:rFonts w:ascii="Noto Sans" w:hAnsi="Noto Sans" w:cs="Noto Sans"/>
          <w:b/>
          <w:bCs/>
          <w:sz w:val="22"/>
          <w:lang w:val="fr-FR" w:eastAsia="fr-FR"/>
        </w:rPr>
        <w:t xml:space="preserve"> de l’entreprise</w:t>
      </w:r>
      <w:r w:rsidRPr="0057700B">
        <w:rPr>
          <w:rFonts w:ascii="Noto Sans" w:hAnsi="Noto Sans" w:cs="Noto Sans"/>
          <w:sz w:val="22"/>
          <w:lang w:val="fr-FR" w:eastAsia="fr-FR"/>
        </w:rPr>
        <w:t xml:space="preserve">, rendue possible uniquement grâce à des </w:t>
      </w:r>
      <w:r w:rsidRPr="0057700B">
        <w:rPr>
          <w:rFonts w:ascii="Noto Sans" w:hAnsi="Noto Sans" w:cs="Noto Sans"/>
          <w:b/>
          <w:bCs/>
          <w:sz w:val="22"/>
          <w:lang w:val="fr-FR" w:eastAsia="fr-FR"/>
        </w:rPr>
        <w:t xml:space="preserve">standards communs comme </w:t>
      </w:r>
      <w:r>
        <w:rPr>
          <w:rFonts w:ascii="Noto Sans" w:hAnsi="Noto Sans" w:cs="Noto Sans"/>
          <w:b/>
          <w:bCs/>
          <w:sz w:val="22"/>
          <w:lang w:val="fr-FR" w:eastAsia="fr-FR"/>
        </w:rPr>
        <w:t xml:space="preserve">le </w:t>
      </w:r>
      <w:r w:rsidRPr="0057700B">
        <w:rPr>
          <w:rFonts w:ascii="Noto Sans" w:hAnsi="Noto Sans" w:cs="Noto Sans"/>
          <w:b/>
          <w:bCs/>
          <w:sz w:val="22"/>
          <w:lang w:val="fr-FR" w:eastAsia="fr-FR"/>
        </w:rPr>
        <w:t>GS1 Digital Link</w:t>
      </w:r>
      <w:r w:rsidRPr="0057700B">
        <w:rPr>
          <w:rFonts w:ascii="Noto Sans" w:hAnsi="Noto Sans" w:cs="Noto Sans"/>
          <w:sz w:val="22"/>
          <w:lang w:val="fr-FR" w:eastAsia="fr-FR"/>
        </w:rPr>
        <w:t xml:space="preserve">, capables de supporter </w:t>
      </w:r>
      <w:r w:rsidRPr="0057700B">
        <w:rPr>
          <w:rFonts w:ascii="Noto Sans" w:hAnsi="Noto Sans" w:cs="Noto Sans"/>
          <w:b/>
          <w:bCs/>
          <w:sz w:val="22"/>
          <w:lang w:val="fr-FR" w:eastAsia="fr-FR"/>
        </w:rPr>
        <w:t>un code unique pour de multiples usages</w:t>
      </w:r>
      <w:r w:rsidRPr="0057700B">
        <w:rPr>
          <w:rFonts w:ascii="Noto Sans" w:hAnsi="Noto Sans" w:cs="Noto Sans"/>
          <w:sz w:val="22"/>
          <w:lang w:val="fr-FR" w:eastAsia="fr-FR"/>
        </w:rPr>
        <w:t>.</w:t>
      </w:r>
    </w:p>
    <w:p w14:paraId="6863705A" w14:textId="77777777" w:rsidR="004F2F58" w:rsidRPr="0057700B" w:rsidRDefault="004F2F58" w:rsidP="004F2F58">
      <w:pPr>
        <w:spacing w:before="100" w:beforeAutospacing="1" w:after="100" w:afterAutospacing="1" w:line="300" w:lineRule="atLeast"/>
        <w:rPr>
          <w:rFonts w:ascii="Noto Sans" w:hAnsi="Noto Sans" w:cs="Noto Sans"/>
          <w:sz w:val="22"/>
          <w:lang w:val="fr-FR" w:eastAsia="fr-FR"/>
        </w:rPr>
      </w:pPr>
      <w:r w:rsidRPr="0057700B">
        <w:rPr>
          <w:rFonts w:ascii="Noto Sans" w:hAnsi="Noto Sans" w:cs="Noto Sans"/>
          <w:sz w:val="22"/>
          <w:lang w:val="fr-FR" w:eastAsia="fr-FR"/>
        </w:rPr>
        <w:t xml:space="preserve">Au niveau industriel, l’accent a été mis sur la </w:t>
      </w:r>
      <w:r w:rsidRPr="0057700B">
        <w:rPr>
          <w:rFonts w:ascii="Noto Sans" w:hAnsi="Noto Sans" w:cs="Noto Sans"/>
          <w:b/>
          <w:bCs/>
          <w:sz w:val="22"/>
          <w:lang w:val="fr-FR" w:eastAsia="fr-FR"/>
        </w:rPr>
        <w:t>nécessité d’intégrer les équipements de codage et de marquage</w:t>
      </w:r>
      <w:r w:rsidRPr="0057700B">
        <w:rPr>
          <w:rFonts w:ascii="Noto Sans" w:hAnsi="Noto Sans" w:cs="Noto Sans"/>
          <w:sz w:val="22"/>
          <w:lang w:val="fr-FR" w:eastAsia="fr-FR"/>
        </w:rPr>
        <w:t xml:space="preserve">, les </w:t>
      </w:r>
      <w:r w:rsidRPr="0057700B">
        <w:rPr>
          <w:rFonts w:ascii="Noto Sans" w:hAnsi="Noto Sans" w:cs="Noto Sans"/>
          <w:b/>
          <w:bCs/>
          <w:sz w:val="22"/>
          <w:lang w:val="fr-FR" w:eastAsia="fr-FR"/>
        </w:rPr>
        <w:t>machines d’emballage</w:t>
      </w:r>
      <w:r w:rsidRPr="0057700B">
        <w:rPr>
          <w:rFonts w:ascii="Noto Sans" w:hAnsi="Noto Sans" w:cs="Noto Sans"/>
          <w:sz w:val="22"/>
          <w:lang w:val="fr-FR" w:eastAsia="fr-FR"/>
        </w:rPr>
        <w:t xml:space="preserve"> et les </w:t>
      </w:r>
      <w:r w:rsidRPr="0057700B">
        <w:rPr>
          <w:rFonts w:ascii="Noto Sans" w:hAnsi="Noto Sans" w:cs="Noto Sans"/>
          <w:b/>
          <w:bCs/>
          <w:sz w:val="22"/>
          <w:lang w:val="fr-FR" w:eastAsia="fr-FR"/>
        </w:rPr>
        <w:t>systèmes ERP</w:t>
      </w:r>
      <w:r w:rsidRPr="0057700B">
        <w:rPr>
          <w:rFonts w:ascii="Noto Sans" w:hAnsi="Noto Sans" w:cs="Noto Sans"/>
          <w:sz w:val="22"/>
          <w:lang w:val="fr-FR" w:eastAsia="fr-FR"/>
        </w:rPr>
        <w:t xml:space="preserve">. Cette </w:t>
      </w:r>
      <w:r w:rsidRPr="0057700B">
        <w:rPr>
          <w:rFonts w:ascii="Noto Sans" w:hAnsi="Noto Sans" w:cs="Noto Sans"/>
          <w:b/>
          <w:bCs/>
          <w:sz w:val="22"/>
          <w:lang w:val="fr-FR" w:eastAsia="fr-FR"/>
        </w:rPr>
        <w:t>intégration globale</w:t>
      </w:r>
      <w:r w:rsidRPr="0057700B">
        <w:rPr>
          <w:rFonts w:ascii="Noto Sans" w:hAnsi="Noto Sans" w:cs="Noto Sans"/>
          <w:sz w:val="22"/>
          <w:lang w:val="fr-FR" w:eastAsia="fr-FR"/>
        </w:rPr>
        <w:t xml:space="preserve"> permet de réduire les erreurs, de limiter les interventions manuelles et de </w:t>
      </w:r>
      <w:r w:rsidRPr="0057700B">
        <w:rPr>
          <w:rFonts w:ascii="Noto Sans" w:hAnsi="Noto Sans" w:cs="Noto Sans"/>
          <w:b/>
          <w:bCs/>
          <w:sz w:val="22"/>
          <w:lang w:val="fr-FR" w:eastAsia="fr-FR"/>
        </w:rPr>
        <w:t>générer des gains de productivité</w:t>
      </w:r>
      <w:r>
        <w:rPr>
          <w:rFonts w:ascii="Noto Sans" w:hAnsi="Noto Sans" w:cs="Noto Sans"/>
          <w:b/>
          <w:bCs/>
          <w:sz w:val="22"/>
          <w:lang w:val="fr-FR" w:eastAsia="fr-FR"/>
        </w:rPr>
        <w:t xml:space="preserve"> </w:t>
      </w:r>
      <w:r w:rsidRPr="0057700B">
        <w:rPr>
          <w:rFonts w:ascii="Noto Sans" w:hAnsi="Noto Sans" w:cs="Noto Sans"/>
          <w:b/>
          <w:bCs/>
          <w:sz w:val="22"/>
          <w:lang w:val="fr-FR" w:eastAsia="fr-FR"/>
        </w:rPr>
        <w:t>significatifs</w:t>
      </w:r>
      <w:r w:rsidRPr="0057700B">
        <w:rPr>
          <w:rFonts w:ascii="Noto Sans" w:hAnsi="Noto Sans" w:cs="Noto Sans"/>
          <w:sz w:val="22"/>
          <w:lang w:val="fr-FR" w:eastAsia="fr-FR"/>
        </w:rPr>
        <w:t>.</w:t>
      </w:r>
    </w:p>
    <w:p w14:paraId="49DA0DBA" w14:textId="77777777" w:rsidR="004F2F58" w:rsidRPr="0057700B" w:rsidRDefault="004F2F58" w:rsidP="004F2F58">
      <w:pPr>
        <w:spacing w:before="100" w:beforeAutospacing="1" w:after="100" w:afterAutospacing="1" w:line="300" w:lineRule="atLeast"/>
        <w:rPr>
          <w:rFonts w:ascii="Noto Sans" w:hAnsi="Noto Sans" w:cs="Noto Sans"/>
          <w:sz w:val="22"/>
          <w:lang w:val="fr-FR" w:eastAsia="fr-FR"/>
        </w:rPr>
      </w:pPr>
      <w:r w:rsidRPr="0057700B">
        <w:rPr>
          <w:rFonts w:ascii="Noto Sans" w:hAnsi="Noto Sans" w:cs="Noto Sans"/>
          <w:b/>
          <w:bCs/>
          <w:sz w:val="22"/>
          <w:lang w:val="fr-FR" w:eastAsia="fr-FR"/>
        </w:rPr>
        <w:t>« La valeur maximum vient de l’intégration des technologies dans des systèmes connectés »</w:t>
      </w:r>
      <w:r w:rsidRPr="0057700B">
        <w:rPr>
          <w:rFonts w:ascii="Noto Sans" w:hAnsi="Noto Sans" w:cs="Noto Sans"/>
          <w:sz w:val="22"/>
          <w:lang w:val="fr-FR" w:eastAsia="fr-FR"/>
        </w:rPr>
        <w:t xml:space="preserve">, souligne </w:t>
      </w:r>
      <w:r w:rsidRPr="0057700B">
        <w:rPr>
          <w:rFonts w:ascii="Noto Sans" w:hAnsi="Noto Sans" w:cs="Noto Sans"/>
          <w:b/>
          <w:bCs/>
          <w:sz w:val="22"/>
          <w:lang w:val="fr-FR" w:eastAsia="fr-FR"/>
        </w:rPr>
        <w:t>Adem Kulauzovic</w:t>
      </w:r>
      <w:r w:rsidRPr="0057700B">
        <w:rPr>
          <w:rFonts w:ascii="Noto Sans" w:hAnsi="Noto Sans" w:cs="Noto Sans"/>
          <w:sz w:val="22"/>
          <w:lang w:val="fr-FR" w:eastAsia="fr-FR"/>
        </w:rPr>
        <w:t xml:space="preserve">, mettant en avant l’importance de </w:t>
      </w:r>
      <w:r w:rsidRPr="0057700B">
        <w:rPr>
          <w:rFonts w:ascii="Noto Sans" w:hAnsi="Noto Sans" w:cs="Noto Sans"/>
          <w:b/>
          <w:bCs/>
          <w:sz w:val="22"/>
          <w:lang w:val="fr-FR" w:eastAsia="fr-FR"/>
        </w:rPr>
        <w:t>standards ouverts</w:t>
      </w:r>
      <w:r w:rsidRPr="0057700B">
        <w:rPr>
          <w:rFonts w:ascii="Noto Sans" w:hAnsi="Noto Sans" w:cs="Noto Sans"/>
          <w:sz w:val="22"/>
          <w:lang w:val="fr-FR" w:eastAsia="fr-FR"/>
        </w:rPr>
        <w:t xml:space="preserve"> et de la </w:t>
      </w:r>
      <w:r w:rsidRPr="0057700B">
        <w:rPr>
          <w:rFonts w:ascii="Noto Sans" w:hAnsi="Noto Sans" w:cs="Noto Sans"/>
          <w:b/>
          <w:bCs/>
          <w:sz w:val="22"/>
          <w:lang w:val="fr-FR" w:eastAsia="fr-FR"/>
        </w:rPr>
        <w:t>synchronisation des données en temps réel</w:t>
      </w:r>
      <w:r w:rsidRPr="0057700B">
        <w:rPr>
          <w:rFonts w:ascii="Noto Sans" w:hAnsi="Noto Sans" w:cs="Noto Sans"/>
          <w:sz w:val="22"/>
          <w:lang w:val="fr-FR" w:eastAsia="fr-FR"/>
        </w:rPr>
        <w:t>.</w:t>
      </w:r>
    </w:p>
    <w:p w14:paraId="4D4D7B07" w14:textId="77777777" w:rsidR="004F2F58" w:rsidRPr="0057700B" w:rsidRDefault="004F2F58" w:rsidP="004F2F58">
      <w:pPr>
        <w:spacing w:before="100" w:beforeAutospacing="1" w:after="100" w:afterAutospacing="1" w:line="300" w:lineRule="atLeast"/>
        <w:rPr>
          <w:rFonts w:ascii="Noto Sans" w:hAnsi="Noto Sans" w:cs="Noto Sans"/>
          <w:sz w:val="22"/>
          <w:lang w:val="fr-FR" w:eastAsia="fr-FR"/>
        </w:rPr>
      </w:pPr>
      <w:r w:rsidRPr="0057700B">
        <w:rPr>
          <w:rFonts w:ascii="Noto Sans" w:hAnsi="Noto Sans" w:cs="Noto Sans"/>
          <w:sz w:val="22"/>
          <w:lang w:val="fr-FR" w:eastAsia="fr-FR"/>
        </w:rPr>
        <w:lastRenderedPageBreak/>
        <w:t xml:space="preserve">La discussion s’est conclue sur l’évolution des </w:t>
      </w:r>
      <w:r w:rsidRPr="0057700B">
        <w:rPr>
          <w:rFonts w:ascii="Noto Sans" w:hAnsi="Noto Sans" w:cs="Noto Sans"/>
          <w:b/>
          <w:bCs/>
          <w:sz w:val="22"/>
          <w:lang w:val="fr-FR" w:eastAsia="fr-FR"/>
        </w:rPr>
        <w:t xml:space="preserve">systèmes de marquage </w:t>
      </w:r>
      <w:r>
        <w:rPr>
          <w:rFonts w:ascii="Noto Sans" w:hAnsi="Noto Sans" w:cs="Noto Sans"/>
          <w:b/>
          <w:bCs/>
          <w:sz w:val="22"/>
          <w:lang w:val="fr-FR" w:eastAsia="fr-FR"/>
        </w:rPr>
        <w:t xml:space="preserve">des </w:t>
      </w:r>
      <w:r w:rsidRPr="0057700B">
        <w:rPr>
          <w:rFonts w:ascii="Noto Sans" w:hAnsi="Noto Sans" w:cs="Noto Sans"/>
          <w:b/>
          <w:bCs/>
          <w:sz w:val="22"/>
          <w:lang w:val="fr-FR" w:eastAsia="fr-FR"/>
        </w:rPr>
        <w:t>produit</w:t>
      </w:r>
      <w:r>
        <w:rPr>
          <w:rFonts w:ascii="Noto Sans" w:hAnsi="Noto Sans" w:cs="Noto Sans"/>
          <w:b/>
          <w:bCs/>
          <w:sz w:val="22"/>
          <w:lang w:val="fr-FR" w:eastAsia="fr-FR"/>
        </w:rPr>
        <w:t>s</w:t>
      </w:r>
      <w:r w:rsidRPr="0057700B">
        <w:rPr>
          <w:rFonts w:ascii="Noto Sans" w:hAnsi="Noto Sans" w:cs="Noto Sans"/>
          <w:sz w:val="22"/>
          <w:lang w:val="fr-FR" w:eastAsia="fr-FR"/>
        </w:rPr>
        <w:t xml:space="preserve">, désormais plus </w:t>
      </w:r>
      <w:r w:rsidRPr="0057700B">
        <w:rPr>
          <w:rFonts w:ascii="Noto Sans" w:hAnsi="Noto Sans" w:cs="Noto Sans"/>
          <w:b/>
          <w:bCs/>
          <w:sz w:val="22"/>
          <w:lang w:val="fr-FR" w:eastAsia="fr-FR"/>
        </w:rPr>
        <w:t>intelligents et orientés données</w:t>
      </w:r>
      <w:r w:rsidRPr="0057700B">
        <w:rPr>
          <w:rFonts w:ascii="Noto Sans" w:hAnsi="Noto Sans" w:cs="Noto Sans"/>
          <w:sz w:val="22"/>
          <w:lang w:val="fr-FR" w:eastAsia="fr-FR"/>
        </w:rPr>
        <w:t>, et sur le rôle stratégique de l’</w:t>
      </w:r>
      <w:r w:rsidRPr="0057700B">
        <w:rPr>
          <w:rFonts w:ascii="Noto Sans" w:hAnsi="Noto Sans" w:cs="Noto Sans"/>
          <w:b/>
          <w:bCs/>
          <w:sz w:val="22"/>
          <w:lang w:val="fr-FR" w:eastAsia="fr-FR"/>
        </w:rPr>
        <w:t>identification produit</w:t>
      </w:r>
      <w:r w:rsidRPr="0057700B">
        <w:rPr>
          <w:rFonts w:ascii="Noto Sans" w:hAnsi="Noto Sans" w:cs="Noto Sans"/>
          <w:sz w:val="22"/>
          <w:lang w:val="fr-FR" w:eastAsia="fr-FR"/>
        </w:rPr>
        <w:t xml:space="preserve"> au-delà de la simple conformité réglementaire.</w:t>
      </w:r>
    </w:p>
    <w:p w14:paraId="307588F2" w14:textId="77777777" w:rsidR="004F2F58" w:rsidRPr="0057700B" w:rsidRDefault="004F2F58" w:rsidP="004F2F58">
      <w:pPr>
        <w:spacing w:before="100" w:beforeAutospacing="1" w:after="100" w:afterAutospacing="1" w:line="300" w:lineRule="atLeast"/>
        <w:rPr>
          <w:rFonts w:ascii="Noto Sans" w:hAnsi="Noto Sans" w:cs="Noto Sans"/>
          <w:sz w:val="22"/>
          <w:lang w:val="fr-FR" w:eastAsia="fr-FR"/>
        </w:rPr>
      </w:pPr>
      <w:r w:rsidRPr="0057700B">
        <w:rPr>
          <w:rFonts w:ascii="Noto Sans" w:hAnsi="Noto Sans" w:cs="Noto Sans"/>
          <w:b/>
          <w:bCs/>
          <w:sz w:val="22"/>
          <w:lang w:val="fr-FR" w:eastAsia="fr-FR"/>
        </w:rPr>
        <w:t>« La conformité est un point de départ, pas une finalité »</w:t>
      </w:r>
      <w:r w:rsidRPr="0057700B">
        <w:rPr>
          <w:rFonts w:ascii="Noto Sans" w:hAnsi="Noto Sans" w:cs="Noto Sans"/>
          <w:sz w:val="22"/>
          <w:lang w:val="fr-FR" w:eastAsia="fr-FR"/>
        </w:rPr>
        <w:t xml:space="preserve">, rappelle </w:t>
      </w:r>
      <w:r w:rsidRPr="0057700B">
        <w:rPr>
          <w:rFonts w:ascii="Noto Sans" w:hAnsi="Noto Sans" w:cs="Noto Sans"/>
          <w:b/>
          <w:bCs/>
          <w:sz w:val="22"/>
          <w:lang w:val="fr-FR" w:eastAsia="fr-FR"/>
        </w:rPr>
        <w:t>Monica Ravi</w:t>
      </w:r>
      <w:r w:rsidRPr="0057700B">
        <w:rPr>
          <w:rFonts w:ascii="Noto Sans" w:hAnsi="Noto Sans" w:cs="Noto Sans"/>
          <w:sz w:val="22"/>
          <w:lang w:val="fr-FR" w:eastAsia="fr-FR"/>
        </w:rPr>
        <w:t xml:space="preserve">, soulignant que des </w:t>
      </w:r>
      <w:r w:rsidRPr="0057700B">
        <w:rPr>
          <w:rFonts w:ascii="Noto Sans" w:hAnsi="Noto Sans" w:cs="Noto Sans"/>
          <w:b/>
          <w:bCs/>
          <w:sz w:val="22"/>
          <w:lang w:val="fr-FR" w:eastAsia="fr-FR"/>
        </w:rPr>
        <w:t>données produit enrichies et standardisées</w:t>
      </w:r>
      <w:r w:rsidRPr="0057700B">
        <w:rPr>
          <w:rFonts w:ascii="Noto Sans" w:hAnsi="Noto Sans" w:cs="Noto Sans"/>
          <w:sz w:val="22"/>
          <w:lang w:val="fr-FR" w:eastAsia="fr-FR"/>
        </w:rPr>
        <w:t xml:space="preserve"> ouvrent la voie à une </w:t>
      </w:r>
      <w:r w:rsidRPr="0057700B">
        <w:rPr>
          <w:rFonts w:ascii="Noto Sans" w:hAnsi="Noto Sans" w:cs="Noto Sans"/>
          <w:b/>
          <w:bCs/>
          <w:sz w:val="22"/>
          <w:lang w:val="fr-FR" w:eastAsia="fr-FR"/>
        </w:rPr>
        <w:t xml:space="preserve">meilleure intelligence de la </w:t>
      </w:r>
      <w:proofErr w:type="spellStart"/>
      <w:r w:rsidRPr="0057700B">
        <w:rPr>
          <w:rFonts w:ascii="Noto Sans" w:hAnsi="Noto Sans" w:cs="Noto Sans"/>
          <w:b/>
          <w:bCs/>
          <w:sz w:val="22"/>
          <w:lang w:val="fr-FR" w:eastAsia="fr-FR"/>
        </w:rPr>
        <w:t>supply</w:t>
      </w:r>
      <w:proofErr w:type="spellEnd"/>
      <w:r w:rsidRPr="0057700B">
        <w:rPr>
          <w:rFonts w:ascii="Noto Sans" w:hAnsi="Noto Sans" w:cs="Noto Sans"/>
          <w:b/>
          <w:bCs/>
          <w:sz w:val="22"/>
          <w:lang w:val="fr-FR" w:eastAsia="fr-FR"/>
        </w:rPr>
        <w:t xml:space="preserve"> </w:t>
      </w:r>
      <w:proofErr w:type="spellStart"/>
      <w:r w:rsidRPr="0057700B">
        <w:rPr>
          <w:rFonts w:ascii="Noto Sans" w:hAnsi="Noto Sans" w:cs="Noto Sans"/>
          <w:b/>
          <w:bCs/>
          <w:sz w:val="22"/>
          <w:lang w:val="fr-FR" w:eastAsia="fr-FR"/>
        </w:rPr>
        <w:t>chain</w:t>
      </w:r>
      <w:proofErr w:type="spellEnd"/>
      <w:r w:rsidRPr="0057700B">
        <w:rPr>
          <w:rFonts w:ascii="Noto Sans" w:hAnsi="Noto Sans" w:cs="Noto Sans"/>
          <w:sz w:val="22"/>
          <w:lang w:val="fr-FR" w:eastAsia="fr-FR"/>
        </w:rPr>
        <w:t xml:space="preserve"> et à une </w:t>
      </w:r>
      <w:r w:rsidRPr="0057700B">
        <w:rPr>
          <w:rFonts w:ascii="Noto Sans" w:hAnsi="Noto Sans" w:cs="Noto Sans"/>
          <w:b/>
          <w:bCs/>
          <w:sz w:val="22"/>
          <w:lang w:val="fr-FR" w:eastAsia="fr-FR"/>
        </w:rPr>
        <w:t>expérience client améliorée</w:t>
      </w:r>
      <w:r w:rsidRPr="0057700B">
        <w:rPr>
          <w:rFonts w:ascii="Noto Sans" w:hAnsi="Noto Sans" w:cs="Noto Sans"/>
          <w:sz w:val="22"/>
          <w:lang w:val="fr-FR" w:eastAsia="fr-FR"/>
        </w:rPr>
        <w:t>.</w:t>
      </w:r>
    </w:p>
    <w:p w14:paraId="281377BE" w14:textId="77777777" w:rsidR="004F2F58" w:rsidRDefault="004F2F58" w:rsidP="004F2F58">
      <w:pPr>
        <w:spacing w:before="100" w:beforeAutospacing="1" w:after="100" w:afterAutospacing="1" w:line="300" w:lineRule="atLeast"/>
        <w:rPr>
          <w:rFonts w:ascii="Noto Sans" w:hAnsi="Noto Sans" w:cs="Noto Sans"/>
          <w:sz w:val="22"/>
          <w:lang w:val="fr-FR" w:eastAsia="fr-FR"/>
        </w:rPr>
      </w:pPr>
      <w:r w:rsidRPr="0057700B">
        <w:rPr>
          <w:rFonts w:ascii="Noto Sans" w:hAnsi="Noto Sans" w:cs="Noto Sans"/>
          <w:sz w:val="22"/>
          <w:lang w:val="fr-FR" w:eastAsia="fr-FR"/>
        </w:rPr>
        <w:t>Les visiteurs d’</w:t>
      </w:r>
      <w:proofErr w:type="spellStart"/>
      <w:r w:rsidRPr="0057700B">
        <w:rPr>
          <w:rFonts w:ascii="Noto Sans" w:hAnsi="Noto Sans" w:cs="Noto Sans"/>
          <w:b/>
          <w:bCs/>
          <w:sz w:val="22"/>
          <w:lang w:val="fr-FR" w:eastAsia="fr-FR"/>
        </w:rPr>
        <w:t>Interpack</w:t>
      </w:r>
      <w:proofErr w:type="spellEnd"/>
      <w:r w:rsidRPr="0057700B">
        <w:rPr>
          <w:rFonts w:ascii="Noto Sans" w:hAnsi="Noto Sans" w:cs="Noto Sans"/>
          <w:b/>
          <w:bCs/>
          <w:sz w:val="22"/>
          <w:lang w:val="fr-FR" w:eastAsia="fr-FR"/>
        </w:rPr>
        <w:t xml:space="preserve"> 2026</w:t>
      </w:r>
      <w:r w:rsidRPr="0057700B">
        <w:rPr>
          <w:rFonts w:ascii="Noto Sans" w:hAnsi="Noto Sans" w:cs="Noto Sans"/>
          <w:sz w:val="22"/>
          <w:lang w:val="fr-FR" w:eastAsia="fr-FR"/>
        </w:rPr>
        <w:t xml:space="preserve"> sont invités à poursuivre les échanges sur le </w:t>
      </w:r>
      <w:r w:rsidRPr="0057700B">
        <w:rPr>
          <w:rFonts w:ascii="Noto Sans" w:hAnsi="Noto Sans" w:cs="Noto Sans"/>
          <w:b/>
          <w:bCs/>
          <w:sz w:val="22"/>
          <w:lang w:val="fr-FR" w:eastAsia="fr-FR"/>
        </w:rPr>
        <w:t>stand Domino (C-41, Hall 8B)</w:t>
      </w:r>
      <w:r w:rsidRPr="0057700B">
        <w:rPr>
          <w:rFonts w:ascii="Noto Sans" w:hAnsi="Noto Sans" w:cs="Noto Sans"/>
          <w:sz w:val="22"/>
          <w:lang w:val="fr-FR" w:eastAsia="fr-FR"/>
        </w:rPr>
        <w:t xml:space="preserve"> afin d’explorer comment </w:t>
      </w:r>
      <w:r w:rsidRPr="0057700B">
        <w:rPr>
          <w:rFonts w:ascii="Noto Sans" w:hAnsi="Noto Sans" w:cs="Noto Sans"/>
          <w:b/>
          <w:bCs/>
          <w:sz w:val="22"/>
          <w:lang w:val="fr-FR" w:eastAsia="fr-FR"/>
        </w:rPr>
        <w:t>les données, les standards GS1 et l’interopérabilité</w:t>
      </w:r>
      <w:r w:rsidRPr="0057700B">
        <w:rPr>
          <w:rFonts w:ascii="Noto Sans" w:hAnsi="Noto Sans" w:cs="Noto Sans"/>
          <w:sz w:val="22"/>
          <w:lang w:val="fr-FR" w:eastAsia="fr-FR"/>
        </w:rPr>
        <w:t xml:space="preserve"> peuvent accélérer l’adoption des </w:t>
      </w:r>
      <w:r w:rsidRPr="0057700B">
        <w:rPr>
          <w:rFonts w:ascii="Noto Sans" w:hAnsi="Noto Sans" w:cs="Noto Sans"/>
          <w:b/>
          <w:bCs/>
          <w:sz w:val="22"/>
          <w:lang w:val="fr-FR" w:eastAsia="fr-FR"/>
        </w:rPr>
        <w:t>codes 2D</w:t>
      </w:r>
      <w:r w:rsidRPr="0057700B">
        <w:rPr>
          <w:rFonts w:ascii="Noto Sans" w:hAnsi="Noto Sans" w:cs="Noto Sans"/>
          <w:sz w:val="22"/>
          <w:lang w:val="fr-FR" w:eastAsia="fr-FR"/>
        </w:rPr>
        <w:t xml:space="preserve"> et des </w:t>
      </w:r>
      <w:r w:rsidRPr="0057700B">
        <w:rPr>
          <w:rFonts w:ascii="Noto Sans" w:hAnsi="Noto Sans" w:cs="Noto Sans"/>
          <w:b/>
          <w:bCs/>
          <w:sz w:val="22"/>
          <w:lang w:val="fr-FR" w:eastAsia="fr-FR"/>
        </w:rPr>
        <w:t>stratégies d’emballage connecté</w:t>
      </w:r>
      <w:r w:rsidRPr="0057700B">
        <w:rPr>
          <w:rFonts w:ascii="Noto Sans" w:hAnsi="Noto Sans" w:cs="Noto Sans"/>
          <w:sz w:val="22"/>
          <w:lang w:val="fr-FR" w:eastAsia="fr-FR"/>
        </w:rPr>
        <w:t>.</w:t>
      </w:r>
    </w:p>
    <w:p w14:paraId="53848B35" w14:textId="4CCC7B44" w:rsidR="004F2F58" w:rsidRDefault="004F2F58" w:rsidP="004F2F58">
      <w:pPr>
        <w:spacing w:before="100" w:beforeAutospacing="1" w:after="100" w:afterAutospacing="1" w:line="300" w:lineRule="atLeast"/>
        <w:rPr>
          <w:rFonts w:ascii="Noto Sans" w:hAnsi="Noto Sans" w:cs="Noto Sans"/>
          <w:sz w:val="22"/>
          <w:lang w:val="fr-FR" w:eastAsia="fr-FR"/>
        </w:rPr>
      </w:pPr>
      <w:r>
        <w:rPr>
          <w:rFonts w:ascii="Noto Sans" w:hAnsi="Noto Sans" w:cs="Noto Sans"/>
          <w:sz w:val="22"/>
          <w:lang w:val="fr-FR" w:eastAsia="fr-FR"/>
        </w:rPr>
        <w:t>&lt;</w:t>
      </w:r>
      <w:r w:rsidRPr="004F2F58">
        <w:rPr>
          <w:rFonts w:ascii="Noto Sans" w:hAnsi="Noto Sans" w:cs="Noto Sans"/>
          <w:b/>
          <w:bCs/>
          <w:sz w:val="22"/>
          <w:lang w:val="fr-FR" w:eastAsia="fr-FR"/>
        </w:rPr>
        <w:t>FIN</w:t>
      </w:r>
      <w:r>
        <w:rPr>
          <w:rFonts w:ascii="Noto Sans" w:hAnsi="Noto Sans" w:cs="Noto Sans"/>
          <w:sz w:val="22"/>
          <w:lang w:val="fr-FR" w:eastAsia="fr-FR"/>
        </w:rPr>
        <w:t>&gt;</w:t>
      </w:r>
    </w:p>
    <w:p w14:paraId="50B29B32" w14:textId="77777777" w:rsidR="004F2F58" w:rsidRPr="00E06028" w:rsidRDefault="004F2F58" w:rsidP="004F2F58">
      <w:pPr>
        <w:spacing w:line="240" w:lineRule="auto"/>
        <w:rPr>
          <w:rFonts w:ascii="Noto Sans" w:hAnsi="Noto Sans" w:cs="Noto Sans"/>
          <w:sz w:val="20"/>
          <w:szCs w:val="20"/>
          <w:lang w:val="fr-FR"/>
        </w:rPr>
      </w:pPr>
      <w:bookmarkStart w:id="0" w:name="_Hlk46133219"/>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lastRenderedPageBreak/>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1"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7"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sidRPr="00F4774E">
        <w:rPr>
          <w:rFonts w:ascii="Noto Sans" w:hAnsi="Noto Sans" w:cs="Noto Sans"/>
          <w:sz w:val="20"/>
          <w:szCs w:val="20"/>
          <w:lang w:val="nl"/>
        </w:rPr>
        <w:t>Jade Taylor-Salazar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8" w:history="1">
        <w:r w:rsidRPr="00F623A5">
          <w:rPr>
            <w:rStyle w:val="Hyperlink"/>
            <w:rFonts w:ascii="Noto Sans" w:hAnsi="Noto Sans" w:cs="Noto Sans"/>
            <w:sz w:val="20"/>
            <w:szCs w:val="20"/>
            <w:lang w:val="fr-FR"/>
          </w:rPr>
          <w:t>Jade.Taylor-Salazar@domino-uk.com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bookmarkEnd w:id="1"/>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9" w:history="1">
        <w:r w:rsidRPr="00E06028">
          <w:rPr>
            <w:rStyle w:val="Hyperlink"/>
            <w:rFonts w:ascii="Noto Sans" w:hAnsi="Noto Sans" w:cs="Noto Sans"/>
            <w:sz w:val="20"/>
            <w:szCs w:val="20"/>
            <w:lang w:val="fr-FR"/>
          </w:rPr>
          <w:t>delphine.baudesson@domino-marquage.com</w:t>
        </w:r>
      </w:hyperlink>
      <w:r w:rsidRPr="00E06028">
        <w:rPr>
          <w:rStyle w:val="Hyperlink"/>
          <w:rFonts w:ascii="Noto Sans" w:hAnsi="Noto Sans" w:cs="Noto Sans"/>
          <w:sz w:val="20"/>
          <w:szCs w:val="20"/>
          <w:lang w:val="fr-FR"/>
        </w:rPr>
        <w:br/>
      </w:r>
      <w:r w:rsidRPr="00E06028">
        <w:rPr>
          <w:rFonts w:ascii="Noto Sans" w:hAnsi="Noto Sans" w:cs="Noto Sans"/>
          <w:sz w:val="20"/>
          <w:szCs w:val="20"/>
          <w:lang w:val="fr-FR"/>
        </w:rPr>
        <w:lastRenderedPageBreak/>
        <w:br/>
      </w:r>
    </w:p>
    <w:p w14:paraId="688861F2" w14:textId="77777777" w:rsidR="004F2F58" w:rsidRPr="0057700B" w:rsidRDefault="004F2F58" w:rsidP="004F2F58">
      <w:pPr>
        <w:spacing w:before="100" w:beforeAutospacing="1" w:after="100" w:afterAutospacing="1" w:line="300" w:lineRule="atLeast"/>
        <w:rPr>
          <w:rFonts w:ascii="Noto Sans" w:hAnsi="Noto Sans" w:cs="Noto Sans"/>
          <w:sz w:val="22"/>
          <w:lang w:val="fr-FR" w:eastAsia="fr-FR"/>
        </w:rPr>
      </w:pPr>
    </w:p>
    <w:p w14:paraId="53EB7C38" w14:textId="77777777" w:rsidR="005524DB" w:rsidRPr="004F2F58" w:rsidRDefault="005524DB" w:rsidP="008E7573">
      <w:pPr>
        <w:rPr>
          <w:lang w:val="fr-FR"/>
        </w:rPr>
      </w:pPr>
    </w:p>
    <w:sectPr w:rsidR="005524DB" w:rsidRPr="004F2F58"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C3337"/>
    <w:rsid w:val="00372E92"/>
    <w:rsid w:val="004F2F58"/>
    <w:rsid w:val="005272B1"/>
    <w:rsid w:val="005524DB"/>
    <w:rsid w:val="005741C7"/>
    <w:rsid w:val="0060122E"/>
    <w:rsid w:val="00647055"/>
    <w:rsid w:val="00660F46"/>
    <w:rsid w:val="00682566"/>
    <w:rsid w:val="00785717"/>
    <w:rsid w:val="008220B7"/>
    <w:rsid w:val="00823B77"/>
    <w:rsid w:val="0087635C"/>
    <w:rsid w:val="008916A8"/>
    <w:rsid w:val="008B6461"/>
    <w:rsid w:val="008E7573"/>
    <w:rsid w:val="008F3E38"/>
    <w:rsid w:val="008F74D8"/>
    <w:rsid w:val="00931996"/>
    <w:rsid w:val="00943A95"/>
    <w:rsid w:val="009A1716"/>
    <w:rsid w:val="009A1DEC"/>
    <w:rsid w:val="009D6280"/>
    <w:rsid w:val="009E564D"/>
    <w:rsid w:val="00A34918"/>
    <w:rsid w:val="00AB11DA"/>
    <w:rsid w:val="00B23C3C"/>
    <w:rsid w:val="00B546C5"/>
    <w:rsid w:val="00BC7C15"/>
    <w:rsid w:val="00C063FE"/>
    <w:rsid w:val="00C44603"/>
    <w:rsid w:val="00C541FE"/>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de.Taylor-Salazar@domino-uk.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fr-fr/home.aspx?utm_medium=non-paid&amp;utm_source=onlinepublication&amp;utm_content=interpack-press-briefing-pr-fr&amp;utm_campaign=2026-int-fr-global-pr-cm-fy26-q1"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elphine.baudesson@domino-marquage.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6</TotalTime>
  <Pages>4</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2</cp:revision>
  <dcterms:created xsi:type="dcterms:W3CDTF">2026-05-07T10:35:00Z</dcterms:created>
  <dcterms:modified xsi:type="dcterms:W3CDTF">2026-05-07T10:35:00Z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