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E2AE" w14:textId="77777777" w:rsidR="005567F3" w:rsidRPr="00C13A5E" w:rsidRDefault="005567F3" w:rsidP="00F622EC">
      <w:pPr>
        <w:jc w:val="center"/>
        <w:rPr>
          <w:rFonts w:ascii="Aptos" w:hAnsi="Aptos"/>
          <w:b/>
          <w:bCs/>
          <w:sz w:val="28"/>
          <w:szCs w:val="28"/>
        </w:rPr>
      </w:pPr>
    </w:p>
    <w:p w14:paraId="08F406EB" w14:textId="04100B5F" w:rsidR="005567F3" w:rsidRPr="00F01A15" w:rsidRDefault="00F01A15" w:rsidP="005567F3">
      <w:pPr>
        <w:rPr>
          <w:rFonts w:ascii="Aptos" w:hAnsi="Aptos" w:cstheme="minorHAnsi"/>
          <w:lang w:val="en-GB"/>
        </w:rPr>
      </w:pPr>
      <w:r w:rsidRPr="00F01A15">
        <w:rPr>
          <w:rFonts w:ascii="Aptos" w:hAnsi="Aptos" w:cstheme="minorHAnsi"/>
          <w:lang w:val="en-GB"/>
        </w:rPr>
        <w:t>PRESS RELEASE</w:t>
      </w:r>
    </w:p>
    <w:p w14:paraId="44719652" w14:textId="41D3C5FB" w:rsidR="005567F3" w:rsidRPr="00F01A15" w:rsidRDefault="005567F3" w:rsidP="005567F3">
      <w:pPr>
        <w:jc w:val="right"/>
        <w:rPr>
          <w:rFonts w:ascii="Aptos" w:hAnsi="Aptos" w:cstheme="minorHAnsi"/>
          <w:lang w:val="en-GB"/>
        </w:rPr>
      </w:pPr>
      <w:r w:rsidRPr="00F01A15">
        <w:rPr>
          <w:rFonts w:ascii="Aptos" w:hAnsi="Aptos" w:cstheme="minorHAnsi"/>
          <w:lang w:val="en-GB"/>
        </w:rPr>
        <w:t>Wars</w:t>
      </w:r>
      <w:r w:rsidR="00F01A15" w:rsidRPr="00F01A15">
        <w:rPr>
          <w:rFonts w:ascii="Aptos" w:hAnsi="Aptos" w:cstheme="minorHAnsi"/>
          <w:lang w:val="en-GB"/>
        </w:rPr>
        <w:t>aw</w:t>
      </w:r>
      <w:r w:rsidRPr="00F01A15">
        <w:rPr>
          <w:rFonts w:ascii="Aptos" w:hAnsi="Aptos" w:cstheme="minorHAnsi"/>
          <w:lang w:val="en-GB"/>
        </w:rPr>
        <w:t xml:space="preserve">, </w:t>
      </w:r>
      <w:r w:rsidR="00B61718">
        <w:rPr>
          <w:rFonts w:ascii="Aptos" w:hAnsi="Aptos" w:cstheme="minorHAnsi"/>
          <w:lang w:val="en-GB"/>
        </w:rPr>
        <w:t>7</w:t>
      </w:r>
      <w:r w:rsidR="00F01A15" w:rsidRPr="00F01A15">
        <w:rPr>
          <w:rFonts w:ascii="Aptos" w:hAnsi="Aptos" w:cstheme="minorHAnsi"/>
          <w:vertAlign w:val="superscript"/>
          <w:lang w:val="en-GB"/>
        </w:rPr>
        <w:t>th</w:t>
      </w:r>
      <w:r w:rsidR="00F01A15">
        <w:rPr>
          <w:rFonts w:ascii="Aptos" w:hAnsi="Aptos" w:cstheme="minorHAnsi"/>
          <w:lang w:val="en-GB"/>
        </w:rPr>
        <w:t xml:space="preserve"> </w:t>
      </w:r>
      <w:r w:rsidR="008D3254">
        <w:rPr>
          <w:rFonts w:ascii="Aptos" w:hAnsi="Aptos" w:cstheme="minorHAnsi"/>
          <w:lang w:val="en-GB"/>
        </w:rPr>
        <w:t xml:space="preserve">of </w:t>
      </w:r>
      <w:r w:rsidR="00F01A15">
        <w:rPr>
          <w:rFonts w:ascii="Aptos" w:hAnsi="Aptos" w:cstheme="minorHAnsi"/>
          <w:lang w:val="en-GB"/>
        </w:rPr>
        <w:t>May</w:t>
      </w:r>
      <w:r w:rsidR="000567CD" w:rsidRPr="00F01A15">
        <w:rPr>
          <w:rFonts w:ascii="Aptos" w:hAnsi="Aptos" w:cstheme="minorHAnsi"/>
          <w:lang w:val="en-GB"/>
        </w:rPr>
        <w:t xml:space="preserve"> </w:t>
      </w:r>
      <w:r w:rsidR="002938C5" w:rsidRPr="00F01A15">
        <w:rPr>
          <w:rFonts w:ascii="Aptos" w:hAnsi="Aptos" w:cstheme="minorHAnsi"/>
          <w:lang w:val="en-GB"/>
        </w:rPr>
        <w:t>202</w:t>
      </w:r>
      <w:r w:rsidR="00392F6A" w:rsidRPr="00F01A15">
        <w:rPr>
          <w:rFonts w:ascii="Aptos" w:hAnsi="Aptos" w:cstheme="minorHAnsi"/>
          <w:lang w:val="en-GB"/>
        </w:rPr>
        <w:t>6</w:t>
      </w:r>
    </w:p>
    <w:p w14:paraId="12502F44" w14:textId="77777777" w:rsidR="00F01A15" w:rsidRPr="00F01A15" w:rsidRDefault="00F01A15" w:rsidP="00F01A15">
      <w:pPr>
        <w:jc w:val="center"/>
        <w:rPr>
          <w:rFonts w:ascii="Aptos" w:hAnsi="Aptos" w:cstheme="minorHAnsi"/>
          <w:b/>
          <w:sz w:val="28"/>
          <w:szCs w:val="28"/>
          <w:lang w:val="en-GB"/>
        </w:rPr>
      </w:pPr>
      <w:r w:rsidRPr="00F01A15">
        <w:rPr>
          <w:rFonts w:ascii="Aptos" w:hAnsi="Aptos" w:cstheme="minorHAnsi"/>
          <w:b/>
          <w:bCs/>
          <w:sz w:val="28"/>
          <w:szCs w:val="28"/>
          <w:lang w:val="en-GB"/>
        </w:rPr>
        <w:t>Over 750 million transactions and nearly PLN 120 billion in turnover – BLIK maintains double-digit growth in Q1 2026</w:t>
      </w:r>
    </w:p>
    <w:p w14:paraId="23447934" w14:textId="77777777" w:rsidR="00F01A15" w:rsidRPr="00F01A15" w:rsidRDefault="00F01A15" w:rsidP="00F01A15">
      <w:pPr>
        <w:jc w:val="both"/>
        <w:rPr>
          <w:rFonts w:ascii="Aptos" w:hAnsi="Aptos" w:cstheme="minorHAnsi"/>
          <w:b/>
          <w:lang w:val="en-GB"/>
        </w:rPr>
      </w:pPr>
      <w:r w:rsidRPr="00F01A15">
        <w:rPr>
          <w:rFonts w:ascii="Aptos" w:hAnsi="Aptos" w:cstheme="minorHAnsi"/>
          <w:b/>
          <w:lang w:val="en-GB"/>
        </w:rPr>
        <w:t>In the first quarter of 2026, BLIK users completed a total of 756 million transactions, representing a 14% increase compared to the same period last year. From January to March this year, the highest growth was recorded in the e-commerce channel, where nearly 380 million payments were made. The results achieved in online commerce are increasingly driven by new BLIK services such as recurring payments and deferred payments. As of the end of March, the solution was used by 21.1 million active users.</w:t>
      </w:r>
    </w:p>
    <w:p w14:paraId="6C72A92C" w14:textId="77777777" w:rsidR="00F01A15" w:rsidRPr="008D3254" w:rsidRDefault="00F01A15" w:rsidP="00F01A15">
      <w:pPr>
        <w:jc w:val="both"/>
        <w:rPr>
          <w:rFonts w:ascii="Aptos" w:hAnsi="Aptos" w:cstheme="minorHAnsi"/>
          <w:b/>
          <w:lang w:val="en-GB"/>
        </w:rPr>
      </w:pPr>
      <w:r w:rsidRPr="008D3254">
        <w:rPr>
          <w:rFonts w:ascii="Aptos" w:hAnsi="Aptos" w:cstheme="minorHAnsi"/>
          <w:b/>
          <w:bCs/>
          <w:lang w:val="en-GB"/>
        </w:rPr>
        <w:t>Nearly 350 thousand transactions per hour</w:t>
      </w:r>
    </w:p>
    <w:p w14:paraId="6A2B8DEB" w14:textId="6A3752AE" w:rsidR="00F01A15" w:rsidRPr="00F01A15" w:rsidRDefault="00F01A15" w:rsidP="00F01A15">
      <w:pPr>
        <w:jc w:val="both"/>
        <w:rPr>
          <w:rFonts w:ascii="Aptos" w:hAnsi="Aptos" w:cstheme="minorHAnsi"/>
          <w:bCs/>
          <w:lang w:val="en-GB"/>
        </w:rPr>
      </w:pPr>
      <w:r w:rsidRPr="00F01A15">
        <w:rPr>
          <w:rFonts w:ascii="Aptos" w:hAnsi="Aptos" w:cstheme="minorHAnsi"/>
          <w:bCs/>
          <w:lang w:val="en-GB"/>
        </w:rPr>
        <w:t>The strong momentum from last year is also reflected in the results for the first quarter of 2026, during which users carried out a total of 756 million operations worth PLN 117.3 billion</w:t>
      </w:r>
      <w:r w:rsidR="00AF6455">
        <w:rPr>
          <w:rFonts w:ascii="Aptos" w:hAnsi="Aptos" w:cstheme="minorHAnsi"/>
          <w:bCs/>
          <w:lang w:val="en-GB"/>
        </w:rPr>
        <w:t xml:space="preserve"> </w:t>
      </w:r>
      <w:r w:rsidR="00AF6455" w:rsidRPr="00AF6455">
        <w:rPr>
          <w:rFonts w:ascii="Aptos" w:hAnsi="Aptos" w:cstheme="minorHAnsi"/>
          <w:bCs/>
          <w:lang w:val="en-GB"/>
        </w:rPr>
        <w:t>[€27.6 billion]</w:t>
      </w:r>
      <w:r w:rsidRPr="00F01A15">
        <w:rPr>
          <w:rFonts w:ascii="Aptos" w:hAnsi="Aptos" w:cstheme="minorHAnsi"/>
          <w:bCs/>
          <w:lang w:val="en-GB"/>
        </w:rPr>
        <w:t>. Compared to the same period in 2025, this represents an increase of 14% in terms of transaction volume and 19% in value. During this time, Poles used BLIK an average of 8.4 million times per day, meaning that the system processed approximately 5.8 thousand payments every minute. On the most intensive day of the reporting period, the result reached 12.3 million transactions. The average transaction value was PLN 155</w:t>
      </w:r>
      <w:r w:rsidR="00AF6455">
        <w:rPr>
          <w:rFonts w:ascii="Aptos" w:hAnsi="Aptos" w:cstheme="minorHAnsi"/>
          <w:bCs/>
          <w:lang w:val="en-GB"/>
        </w:rPr>
        <w:t xml:space="preserve"> </w:t>
      </w:r>
      <w:r w:rsidR="00AF6455" w:rsidRPr="00AF6455">
        <w:rPr>
          <w:rFonts w:ascii="Aptos" w:hAnsi="Aptos" w:cstheme="minorHAnsi"/>
          <w:bCs/>
          <w:lang w:val="en-GB"/>
        </w:rPr>
        <w:t>[€36.5]</w:t>
      </w:r>
      <w:r w:rsidRPr="00F01A15">
        <w:rPr>
          <w:rFonts w:ascii="Aptos" w:hAnsi="Aptos" w:cstheme="minorHAnsi"/>
          <w:bCs/>
          <w:lang w:val="en-GB"/>
        </w:rPr>
        <w:t>.</w:t>
      </w:r>
    </w:p>
    <w:p w14:paraId="16BEFFFD" w14:textId="77777777" w:rsidR="00F01A15" w:rsidRPr="00F01A15" w:rsidRDefault="00F01A15" w:rsidP="00F01A15">
      <w:pPr>
        <w:jc w:val="both"/>
        <w:rPr>
          <w:rFonts w:ascii="Aptos" w:hAnsi="Aptos" w:cstheme="minorHAnsi"/>
          <w:b/>
          <w:lang w:val="en-GB"/>
        </w:rPr>
      </w:pPr>
      <w:r w:rsidRPr="00F01A15">
        <w:rPr>
          <w:rFonts w:ascii="Aptos" w:hAnsi="Aptos" w:cstheme="minorHAnsi"/>
          <w:b/>
          <w:bCs/>
          <w:lang w:val="en-GB"/>
        </w:rPr>
        <w:t>E-commerce generates half of the traffic</w:t>
      </w:r>
    </w:p>
    <w:p w14:paraId="5F923D3B" w14:textId="59A8D4DB" w:rsidR="00F01A15" w:rsidRPr="00F01A15" w:rsidRDefault="00F01A15" w:rsidP="00F01A15">
      <w:pPr>
        <w:jc w:val="both"/>
        <w:rPr>
          <w:rFonts w:ascii="Aptos" w:hAnsi="Aptos" w:cstheme="minorHAnsi"/>
          <w:bCs/>
          <w:lang w:val="en-GB"/>
        </w:rPr>
      </w:pPr>
      <w:r w:rsidRPr="00F01A15">
        <w:rPr>
          <w:rFonts w:ascii="Aptos" w:hAnsi="Aptos" w:cstheme="minorHAnsi"/>
          <w:bCs/>
          <w:lang w:val="en-GB"/>
        </w:rPr>
        <w:t>The online channel consistently defines the scale of BLIK’s operations – in the past quarter, it accounted for 50.1% of all transactions. From January to March this year, users completed 378.8 million online purchases with a total value of PLN 60.7 billion</w:t>
      </w:r>
      <w:r w:rsidR="00AF6455">
        <w:rPr>
          <w:rFonts w:ascii="Aptos" w:hAnsi="Aptos" w:cstheme="minorHAnsi"/>
          <w:bCs/>
          <w:lang w:val="en-GB"/>
        </w:rPr>
        <w:t xml:space="preserve"> </w:t>
      </w:r>
      <w:r w:rsidR="00AF6455" w:rsidRPr="00AF6455">
        <w:rPr>
          <w:rFonts w:ascii="Aptos" w:hAnsi="Aptos" w:cstheme="minorHAnsi"/>
          <w:bCs/>
          <w:lang w:val="en-GB"/>
        </w:rPr>
        <w:t>[€14.3 billion]</w:t>
      </w:r>
      <w:r w:rsidRPr="00F01A15">
        <w:rPr>
          <w:rFonts w:ascii="Aptos" w:hAnsi="Aptos" w:cstheme="minorHAnsi"/>
          <w:bCs/>
          <w:lang w:val="en-GB"/>
        </w:rPr>
        <w:t xml:space="preserve"> – an increase of 16% and 23% respectively compared to 2025. The average online spend amounted to PLN 160</w:t>
      </w:r>
      <w:r w:rsidR="00AF6455">
        <w:rPr>
          <w:rFonts w:ascii="Aptos" w:hAnsi="Aptos" w:cstheme="minorHAnsi"/>
          <w:bCs/>
          <w:lang w:val="en-GB"/>
        </w:rPr>
        <w:t xml:space="preserve"> </w:t>
      </w:r>
      <w:r w:rsidR="00AF6455" w:rsidRPr="00AF6455">
        <w:rPr>
          <w:rFonts w:ascii="Aptos" w:hAnsi="Aptos" w:cstheme="minorHAnsi"/>
          <w:bCs/>
          <w:lang w:val="en-GB"/>
        </w:rPr>
        <w:t>[€37.6]</w:t>
      </w:r>
      <w:r w:rsidRPr="00F01A15">
        <w:rPr>
          <w:rFonts w:ascii="Aptos" w:hAnsi="Aptos" w:cstheme="minorHAnsi"/>
          <w:bCs/>
          <w:lang w:val="en-GB"/>
        </w:rPr>
        <w:t>, while in the case of the BLIK Pay Later service it was PLN 250</w:t>
      </w:r>
      <w:r w:rsidR="00AF6455" w:rsidRPr="00AF6455">
        <w:rPr>
          <w:lang w:val="en-GB"/>
        </w:rPr>
        <w:t xml:space="preserve"> </w:t>
      </w:r>
      <w:r w:rsidR="00AF6455" w:rsidRPr="00AF6455">
        <w:rPr>
          <w:rFonts w:ascii="Aptos" w:hAnsi="Aptos" w:cstheme="minorHAnsi"/>
          <w:bCs/>
          <w:lang w:val="en-GB"/>
        </w:rPr>
        <w:t>[€58.8]</w:t>
      </w:r>
      <w:r w:rsidRPr="00F01A15">
        <w:rPr>
          <w:rFonts w:ascii="Aptos" w:hAnsi="Aptos" w:cstheme="minorHAnsi"/>
          <w:bCs/>
          <w:lang w:val="en-GB"/>
        </w:rPr>
        <w:t>.</w:t>
      </w:r>
    </w:p>
    <w:p w14:paraId="0764BD95" w14:textId="3DD059EF" w:rsidR="00F01A15" w:rsidRDefault="00F01A15" w:rsidP="005615AA">
      <w:pPr>
        <w:jc w:val="both"/>
        <w:rPr>
          <w:rFonts w:ascii="Aptos" w:hAnsi="Aptos" w:cstheme="minorHAnsi"/>
          <w:bCs/>
          <w:i/>
          <w:iCs/>
          <w:lang w:val="en-GB"/>
        </w:rPr>
      </w:pPr>
      <w:r w:rsidRPr="00F01A15">
        <w:rPr>
          <w:rFonts w:ascii="Aptos" w:hAnsi="Aptos" w:cstheme="minorHAnsi"/>
          <w:bCs/>
          <w:i/>
          <w:iCs/>
          <w:lang w:val="en-GB"/>
        </w:rPr>
        <w:t>–</w:t>
      </w:r>
      <w:r w:rsidR="00042578">
        <w:rPr>
          <w:rFonts w:ascii="Aptos" w:hAnsi="Aptos" w:cstheme="minorHAnsi"/>
          <w:bCs/>
          <w:i/>
          <w:iCs/>
          <w:lang w:val="en-GB"/>
        </w:rPr>
        <w:t xml:space="preserve">  </w:t>
      </w:r>
      <w:r w:rsidR="00A97CAD" w:rsidRPr="00B91F01">
        <w:rPr>
          <w:rFonts w:ascii="Aptos" w:hAnsi="Aptos" w:cstheme="minorHAnsi"/>
          <w:bCs/>
          <w:i/>
          <w:iCs/>
          <w:lang w:val="en-GB"/>
        </w:rPr>
        <w:t xml:space="preserve">After 11 years on the market and at BLIK’s current scale of operations, our results are increasingly influenced by the overall economic climate. This makes the fact that BLIK continues to record significant growth in 2026 all the more encouraging, accompanying Poles in the evolution of their payment habits, including the growing popularity of recurring and deferred payments. In the first quarter alone, consumers completed 1.5 million recurring payments worth nearly PLN 70 million </w:t>
      </w:r>
      <w:r w:rsidR="00A97CAD" w:rsidRPr="00AF6455">
        <w:rPr>
          <w:rFonts w:ascii="Aptos" w:hAnsi="Aptos" w:cstheme="minorHAnsi"/>
          <w:bCs/>
          <w:i/>
          <w:iCs/>
          <w:lang w:val="en-GB"/>
        </w:rPr>
        <w:t>[€</w:t>
      </w:r>
      <w:r w:rsidR="00A97CAD">
        <w:rPr>
          <w:rFonts w:ascii="Aptos" w:hAnsi="Aptos" w:cstheme="minorHAnsi"/>
          <w:bCs/>
          <w:i/>
          <w:iCs/>
          <w:lang w:val="en-GB"/>
        </w:rPr>
        <w:t>16</w:t>
      </w:r>
      <w:r w:rsidR="00A97CAD" w:rsidRPr="00AF6455">
        <w:rPr>
          <w:rFonts w:ascii="Aptos" w:hAnsi="Aptos" w:cstheme="minorHAnsi"/>
          <w:bCs/>
          <w:i/>
          <w:iCs/>
          <w:lang w:val="en-GB"/>
        </w:rPr>
        <w:t>.5 million]</w:t>
      </w:r>
      <w:r w:rsidR="00A97CAD" w:rsidRPr="00F01A15">
        <w:rPr>
          <w:rFonts w:ascii="Aptos" w:hAnsi="Aptos" w:cstheme="minorHAnsi"/>
          <w:bCs/>
          <w:i/>
          <w:iCs/>
          <w:lang w:val="en-GB"/>
        </w:rPr>
        <w:t xml:space="preserve"> – </w:t>
      </w:r>
      <w:r w:rsidR="00A97CAD" w:rsidRPr="003F57E3">
        <w:rPr>
          <w:rFonts w:ascii="Aptos" w:hAnsi="Aptos" w:cstheme="minorHAnsi"/>
          <w:bCs/>
          <w:lang w:val="en-GB"/>
        </w:rPr>
        <w:t xml:space="preserve">says </w:t>
      </w:r>
      <w:r w:rsidR="00A97CAD" w:rsidRPr="003F57E3">
        <w:rPr>
          <w:rFonts w:ascii="Aptos" w:hAnsi="Aptos" w:cstheme="minorHAnsi"/>
          <w:b/>
          <w:lang w:val="en-GB"/>
        </w:rPr>
        <w:t>Dariusz Mazurkiewicz</w:t>
      </w:r>
      <w:r w:rsidR="00A97CAD" w:rsidRPr="003F57E3">
        <w:rPr>
          <w:rFonts w:ascii="Aptos" w:hAnsi="Aptos" w:cstheme="minorHAnsi"/>
          <w:bCs/>
          <w:lang w:val="en-GB"/>
        </w:rPr>
        <w:t>, CEO of Polish Payment Standard, the operator of BLIK</w:t>
      </w:r>
      <w:r w:rsidR="00A97CAD" w:rsidRPr="00F01A15">
        <w:rPr>
          <w:rFonts w:ascii="Aptos" w:hAnsi="Aptos" w:cstheme="minorHAnsi"/>
          <w:bCs/>
          <w:i/>
          <w:iCs/>
          <w:lang w:val="en-GB"/>
        </w:rPr>
        <w:t xml:space="preserve">. – </w:t>
      </w:r>
      <w:r w:rsidR="00A97CAD" w:rsidRPr="005F6182">
        <w:rPr>
          <w:rFonts w:ascii="Aptos" w:hAnsi="Aptos" w:cstheme="minorHAnsi"/>
          <w:bCs/>
          <w:i/>
          <w:iCs/>
          <w:lang w:val="en-GB"/>
        </w:rPr>
        <w:t>At the same time, while continuing to develop BLIK, we are consistently expanding the system’s availability beyond Poland’s borders. The first successful transactions in Slovak e-commerce strengthen our strategy of building an interoperable solution across Europe. I am convinced that this is a breakthrough moment and a genuine opening towards convenient payments on international platforms throughout the eurozone</w:t>
      </w:r>
      <w:r w:rsidR="00A97CAD">
        <w:rPr>
          <w:rFonts w:ascii="Aptos" w:hAnsi="Aptos" w:cstheme="minorHAnsi"/>
          <w:bCs/>
          <w:i/>
          <w:iCs/>
          <w:lang w:val="en-GB"/>
        </w:rPr>
        <w:t xml:space="preserve"> </w:t>
      </w:r>
      <w:r w:rsidR="00A97CAD" w:rsidRPr="00F01A15">
        <w:rPr>
          <w:rFonts w:ascii="Aptos" w:hAnsi="Aptos" w:cstheme="minorHAnsi"/>
          <w:bCs/>
          <w:i/>
          <w:iCs/>
          <w:lang w:val="en-GB"/>
        </w:rPr>
        <w:t>– he adds.</w:t>
      </w:r>
    </w:p>
    <w:p w14:paraId="790C923B" w14:textId="77777777" w:rsidR="00F01A15" w:rsidRPr="00F01A15" w:rsidRDefault="00F01A15" w:rsidP="00F01A15">
      <w:pPr>
        <w:jc w:val="both"/>
        <w:rPr>
          <w:rFonts w:ascii="Aptos" w:hAnsi="Aptos" w:cstheme="minorHAnsi"/>
          <w:b/>
          <w:lang w:val="en-GB"/>
        </w:rPr>
      </w:pPr>
      <w:r w:rsidRPr="00F01A15">
        <w:rPr>
          <w:rFonts w:ascii="Aptos" w:hAnsi="Aptos" w:cstheme="minorHAnsi"/>
          <w:b/>
          <w:bCs/>
          <w:lang w:val="en-GB"/>
        </w:rPr>
        <w:t>Contactless payments drive growth in terminals</w:t>
      </w:r>
    </w:p>
    <w:p w14:paraId="518DACEB" w14:textId="4A7D995E" w:rsidR="00F01A15" w:rsidRPr="008D3254" w:rsidRDefault="00F01A15" w:rsidP="00F01A15">
      <w:pPr>
        <w:jc w:val="both"/>
        <w:rPr>
          <w:rFonts w:ascii="Aptos" w:hAnsi="Aptos" w:cstheme="minorHAnsi"/>
          <w:lang w:val="en-GB"/>
        </w:rPr>
      </w:pPr>
      <w:r w:rsidRPr="00F01A15">
        <w:rPr>
          <w:rFonts w:ascii="Aptos" w:hAnsi="Aptos" w:cstheme="minorHAnsi"/>
          <w:lang w:val="en-GB"/>
        </w:rPr>
        <w:t xml:space="preserve">BLIK continues to demonstrate strong growth dynamics in </w:t>
      </w:r>
      <w:r w:rsidR="00F02DCA">
        <w:rPr>
          <w:rFonts w:ascii="Aptos" w:hAnsi="Aptos" w:cstheme="minorHAnsi"/>
          <w:lang w:val="en-GB"/>
        </w:rPr>
        <w:t>stationary</w:t>
      </w:r>
      <w:r w:rsidRPr="00F01A15">
        <w:rPr>
          <w:rFonts w:ascii="Aptos" w:hAnsi="Aptos" w:cstheme="minorHAnsi"/>
          <w:lang w:val="en-GB"/>
        </w:rPr>
        <w:t xml:space="preserve"> stores. In the first quarter of 2026, users completed a total of 172.1 million transactions at payment terminals (an 11% year-</w:t>
      </w:r>
      <w:r w:rsidRPr="00F01A15">
        <w:rPr>
          <w:rFonts w:ascii="Aptos" w:hAnsi="Aptos" w:cstheme="minorHAnsi"/>
          <w:lang w:val="en-GB"/>
        </w:rPr>
        <w:lastRenderedPageBreak/>
        <w:t>on-year increase) worth PLN 10.8 billion</w:t>
      </w:r>
      <w:r w:rsidR="00AF6455">
        <w:rPr>
          <w:rFonts w:ascii="Aptos" w:hAnsi="Aptos" w:cstheme="minorHAnsi"/>
          <w:lang w:val="en-GB"/>
        </w:rPr>
        <w:t xml:space="preserve"> </w:t>
      </w:r>
      <w:r w:rsidR="00AF6455" w:rsidRPr="00AF6455">
        <w:rPr>
          <w:rFonts w:ascii="Aptos" w:hAnsi="Aptos" w:cstheme="minorHAnsi"/>
          <w:lang w:val="en-GB"/>
        </w:rPr>
        <w:t>[€2.54 billion]</w:t>
      </w:r>
      <w:r w:rsidRPr="00F01A15">
        <w:rPr>
          <w:rFonts w:ascii="Aptos" w:hAnsi="Aptos" w:cstheme="minorHAnsi"/>
          <w:lang w:val="en-GB"/>
        </w:rPr>
        <w:t xml:space="preserve">. </w:t>
      </w:r>
      <w:r w:rsidRPr="008D3254">
        <w:rPr>
          <w:rFonts w:ascii="Aptos" w:hAnsi="Aptos" w:cstheme="minorHAnsi"/>
          <w:lang w:val="en-GB"/>
        </w:rPr>
        <w:t>The average receipt value in this channel was PLN 63</w:t>
      </w:r>
      <w:r w:rsidR="00AF6455" w:rsidRPr="008D3254">
        <w:rPr>
          <w:rFonts w:ascii="Aptos" w:hAnsi="Aptos" w:cstheme="minorHAnsi"/>
          <w:lang w:val="en-GB"/>
        </w:rPr>
        <w:t xml:space="preserve"> [€14.8]</w:t>
      </w:r>
      <w:r w:rsidRPr="008D3254">
        <w:rPr>
          <w:rFonts w:ascii="Aptos" w:hAnsi="Aptos" w:cstheme="minorHAnsi"/>
          <w:lang w:val="en-GB"/>
        </w:rPr>
        <w:t>.</w:t>
      </w:r>
    </w:p>
    <w:p w14:paraId="43313479" w14:textId="77777777" w:rsidR="00F01A15" w:rsidRPr="00F01A15" w:rsidRDefault="00F01A15" w:rsidP="00F01A15">
      <w:pPr>
        <w:jc w:val="both"/>
        <w:rPr>
          <w:rFonts w:ascii="Aptos" w:hAnsi="Aptos" w:cstheme="minorHAnsi"/>
          <w:lang w:val="en-GB"/>
        </w:rPr>
      </w:pPr>
      <w:r w:rsidRPr="00F01A15">
        <w:rPr>
          <w:rFonts w:ascii="Aptos" w:hAnsi="Aptos" w:cstheme="minorHAnsi"/>
          <w:lang w:val="en-GB"/>
        </w:rPr>
        <w:t>A significant share of this result comes from contactless payments, which account for 47% of all POS operations – 80.5 million in the reported period. Since the launch of the service, it has already been activated by 4 million users. While the majority of such transactions take place in Poland, the technology also accompanies users during international travel – so far, they have used BLIK contactless payments in 176 countries. In the past quarter alone, Gambia, Vanuatu, Suriname, and Turkmenistan were added to the list of locations where such transactions were recorded.</w:t>
      </w:r>
    </w:p>
    <w:p w14:paraId="12D912BE" w14:textId="77777777" w:rsidR="00F01A15" w:rsidRPr="00F01A15" w:rsidRDefault="00F01A15" w:rsidP="00F01A15">
      <w:pPr>
        <w:jc w:val="both"/>
        <w:rPr>
          <w:rFonts w:ascii="Aptos" w:hAnsi="Aptos" w:cstheme="minorHAnsi"/>
          <w:b/>
          <w:lang w:val="en-GB"/>
        </w:rPr>
      </w:pPr>
      <w:r w:rsidRPr="00F01A15">
        <w:rPr>
          <w:rFonts w:ascii="Aptos" w:hAnsi="Aptos" w:cstheme="minorHAnsi"/>
          <w:b/>
          <w:bCs/>
          <w:lang w:val="en-GB"/>
        </w:rPr>
        <w:t>High activity in the P2P channel</w:t>
      </w:r>
    </w:p>
    <w:p w14:paraId="290EDA87" w14:textId="5D26B54A" w:rsidR="00F01A15" w:rsidRPr="00F01A15" w:rsidRDefault="00F01A15" w:rsidP="00F01A15">
      <w:pPr>
        <w:spacing w:line="276" w:lineRule="auto"/>
        <w:jc w:val="both"/>
        <w:rPr>
          <w:rFonts w:ascii="Aptos" w:hAnsi="Aptos" w:cstheme="minorHAnsi"/>
          <w:lang w:val="en-GB"/>
        </w:rPr>
      </w:pPr>
      <w:r w:rsidRPr="00F01A15">
        <w:rPr>
          <w:rFonts w:ascii="Aptos" w:hAnsi="Aptos" w:cstheme="minorHAnsi"/>
          <w:lang w:val="en-GB"/>
        </w:rPr>
        <w:t>Transfers to a phone number via BLIK also maintain a high growth rate, with the number of users registered in the P2P database exceeding 20.3 million. In the first quarter of 2026, a total of 185.9 million such transactions were completed, representing an 11% year-on-year increase. The value of transferred funds rose by 15% to PLN 31.8 billion</w:t>
      </w:r>
      <w:r w:rsidR="00AF6455">
        <w:rPr>
          <w:rFonts w:ascii="Aptos" w:hAnsi="Aptos" w:cstheme="minorHAnsi"/>
          <w:lang w:val="en-GB"/>
        </w:rPr>
        <w:t xml:space="preserve"> </w:t>
      </w:r>
      <w:r w:rsidR="00AF6455" w:rsidRPr="00AF6455">
        <w:rPr>
          <w:rFonts w:ascii="Aptos" w:hAnsi="Aptos" w:cstheme="minorHAnsi"/>
          <w:lang w:val="en-GB"/>
        </w:rPr>
        <w:t>[€7.48 billion]</w:t>
      </w:r>
      <w:r w:rsidRPr="00F01A15">
        <w:rPr>
          <w:rFonts w:ascii="Aptos" w:hAnsi="Aptos" w:cstheme="minorHAnsi"/>
          <w:lang w:val="en-GB"/>
        </w:rPr>
        <w:t>. The sustained popularity of settlements between customers of Polish banks is also reflected in the average transfer amount, which reached PLN 171</w:t>
      </w:r>
      <w:r w:rsidR="00AF6455">
        <w:rPr>
          <w:rFonts w:ascii="Aptos" w:hAnsi="Aptos" w:cstheme="minorHAnsi"/>
          <w:lang w:val="en-GB"/>
        </w:rPr>
        <w:t xml:space="preserve"> </w:t>
      </w:r>
      <w:r w:rsidR="00AF6455" w:rsidRPr="00AF6455">
        <w:rPr>
          <w:rFonts w:ascii="Aptos" w:hAnsi="Aptos" w:cstheme="minorHAnsi"/>
          <w:lang w:val="en-GB"/>
        </w:rPr>
        <w:t>[€40.2]</w:t>
      </w:r>
      <w:r w:rsidRPr="00F01A15">
        <w:rPr>
          <w:rFonts w:ascii="Aptos" w:hAnsi="Aptos" w:cstheme="minorHAnsi"/>
          <w:lang w:val="en-GB"/>
        </w:rPr>
        <w:t>.</w:t>
      </w:r>
    </w:p>
    <w:p w14:paraId="5F803AC4" w14:textId="77777777" w:rsidR="00F01A15" w:rsidRPr="008D3254" w:rsidRDefault="00F01A15" w:rsidP="00F01A15">
      <w:pPr>
        <w:spacing w:line="276" w:lineRule="auto"/>
        <w:jc w:val="both"/>
        <w:rPr>
          <w:rFonts w:ascii="Aptos" w:hAnsi="Aptos" w:cstheme="minorHAnsi"/>
          <w:b/>
          <w:bCs/>
          <w:lang w:val="en-GB"/>
        </w:rPr>
      </w:pPr>
      <w:r w:rsidRPr="008D3254">
        <w:rPr>
          <w:rFonts w:ascii="Aptos" w:hAnsi="Aptos" w:cstheme="minorHAnsi"/>
          <w:b/>
          <w:bCs/>
          <w:lang w:val="en-GB"/>
        </w:rPr>
        <w:t>Cash deposits on the rise</w:t>
      </w:r>
    </w:p>
    <w:p w14:paraId="65E93DC9" w14:textId="444EEE15" w:rsidR="00F01A15" w:rsidRPr="00F01A15" w:rsidRDefault="00F01A15" w:rsidP="00F01A15">
      <w:pPr>
        <w:spacing w:line="276" w:lineRule="auto"/>
        <w:jc w:val="both"/>
        <w:rPr>
          <w:rFonts w:ascii="Aptos" w:hAnsi="Aptos" w:cstheme="minorHAnsi"/>
          <w:lang w:val="en-GB"/>
        </w:rPr>
      </w:pPr>
      <w:r w:rsidRPr="00F01A15">
        <w:rPr>
          <w:rFonts w:ascii="Aptos" w:hAnsi="Aptos" w:cstheme="minorHAnsi"/>
          <w:lang w:val="en-GB"/>
        </w:rPr>
        <w:t xml:space="preserve">Alongside the development of instant payments, smartphones are increasingly replacing cards in cash handling. Users regularly use ATMs not only to withdraw but also to deposit money – between January and March this year, the growth rate of cash deposits reached 13.9%, nearly 4 percentage points higher than withdrawals (10.0% year-on-year). In total, 19.4 million operations were carried out in this channel – 16.7 million deposits and 2.7 million withdrawals. During this time, PLN 10.2 billion </w:t>
      </w:r>
      <w:r w:rsidR="00AF6455" w:rsidRPr="00AF6455">
        <w:rPr>
          <w:rFonts w:ascii="Aptos" w:hAnsi="Aptos" w:cstheme="minorHAnsi"/>
          <w:lang w:val="en-GB"/>
        </w:rPr>
        <w:t>[€2.40 billion]</w:t>
      </w:r>
      <w:r w:rsidR="00AF6455">
        <w:rPr>
          <w:rFonts w:ascii="Aptos" w:hAnsi="Aptos" w:cstheme="minorHAnsi"/>
          <w:lang w:val="en-GB"/>
        </w:rPr>
        <w:t xml:space="preserve"> </w:t>
      </w:r>
      <w:r w:rsidRPr="00F01A15">
        <w:rPr>
          <w:rFonts w:ascii="Aptos" w:hAnsi="Aptos" w:cstheme="minorHAnsi"/>
          <w:lang w:val="en-GB"/>
        </w:rPr>
        <w:t>was withdrawn from ATMs (an average of PLN 720</w:t>
      </w:r>
      <w:r w:rsidR="00AF6455">
        <w:rPr>
          <w:rFonts w:ascii="Aptos" w:hAnsi="Aptos" w:cstheme="minorHAnsi"/>
          <w:lang w:val="en-GB"/>
        </w:rPr>
        <w:t xml:space="preserve"> </w:t>
      </w:r>
      <w:r w:rsidR="00AF6455" w:rsidRPr="00AF6455">
        <w:rPr>
          <w:rFonts w:ascii="Aptos" w:hAnsi="Aptos" w:cstheme="minorHAnsi"/>
          <w:lang w:val="en-GB"/>
        </w:rPr>
        <w:t>[€169.4]</w:t>
      </w:r>
      <w:r w:rsidRPr="00F01A15">
        <w:rPr>
          <w:rFonts w:ascii="Aptos" w:hAnsi="Aptos" w:cstheme="minorHAnsi"/>
          <w:lang w:val="en-GB"/>
        </w:rPr>
        <w:t xml:space="preserve"> per transaction), while deposits amounted to PLN 3.8 billion</w:t>
      </w:r>
      <w:r w:rsidR="00AF6455">
        <w:rPr>
          <w:rFonts w:ascii="Aptos" w:hAnsi="Aptos" w:cstheme="minorHAnsi"/>
          <w:lang w:val="en-GB"/>
        </w:rPr>
        <w:t xml:space="preserve"> </w:t>
      </w:r>
      <w:r w:rsidR="00AF6455" w:rsidRPr="00AF6455">
        <w:rPr>
          <w:rFonts w:ascii="Aptos" w:hAnsi="Aptos" w:cstheme="minorHAnsi"/>
          <w:lang w:val="en-GB"/>
        </w:rPr>
        <w:t>[€0.89 billion]</w:t>
      </w:r>
      <w:r w:rsidRPr="00F01A15">
        <w:rPr>
          <w:rFonts w:ascii="Aptos" w:hAnsi="Aptos" w:cstheme="minorHAnsi"/>
          <w:lang w:val="en-GB"/>
        </w:rPr>
        <w:t>.</w:t>
      </w:r>
    </w:p>
    <w:p w14:paraId="7025A138" w14:textId="77777777" w:rsidR="00F01A15" w:rsidRPr="00F01A15" w:rsidRDefault="00F01A15" w:rsidP="00F01A15">
      <w:pPr>
        <w:spacing w:line="276" w:lineRule="auto"/>
        <w:jc w:val="both"/>
        <w:rPr>
          <w:rFonts w:ascii="Aptos" w:hAnsi="Aptos" w:cstheme="minorHAnsi"/>
          <w:b/>
          <w:lang w:val="en-GB"/>
        </w:rPr>
      </w:pPr>
      <w:r w:rsidRPr="00F01A15">
        <w:rPr>
          <w:rFonts w:ascii="Aptos" w:hAnsi="Aptos" w:cstheme="minorHAnsi"/>
          <w:b/>
          <w:bCs/>
          <w:lang w:val="en-GB"/>
        </w:rPr>
        <w:t>Scale of reach and user activity</w:t>
      </w:r>
    </w:p>
    <w:p w14:paraId="09D6B6BE" w14:textId="77777777" w:rsidR="00F01A15" w:rsidRPr="008D3254" w:rsidRDefault="00F01A15" w:rsidP="00F01A15">
      <w:pPr>
        <w:spacing w:line="276" w:lineRule="auto"/>
        <w:jc w:val="both"/>
        <w:rPr>
          <w:rFonts w:ascii="Aptos" w:hAnsi="Aptos" w:cstheme="minorHAnsi"/>
          <w:bCs/>
          <w:lang w:val="en-GB"/>
        </w:rPr>
      </w:pPr>
      <w:r w:rsidRPr="00F01A15">
        <w:rPr>
          <w:rFonts w:ascii="Aptos" w:hAnsi="Aptos" w:cstheme="minorHAnsi"/>
          <w:bCs/>
          <w:lang w:val="en-GB"/>
        </w:rPr>
        <w:t xml:space="preserve">At the same time, the beginning of the year brought further growth of the user base – currently, 35.5 million mobile applications are registered in the system, of which over 21 million are users who regularly use BLIK. </w:t>
      </w:r>
      <w:r w:rsidRPr="008D3254">
        <w:rPr>
          <w:rFonts w:ascii="Aptos" w:hAnsi="Aptos" w:cstheme="minorHAnsi"/>
          <w:bCs/>
          <w:lang w:val="en-GB"/>
        </w:rPr>
        <w:t>Their number increased by 12% year-on-year.</w:t>
      </w:r>
    </w:p>
    <w:p w14:paraId="7241E13B" w14:textId="5EA23E7A" w:rsidR="00F01A15" w:rsidRPr="00F01A15" w:rsidRDefault="00F01A15" w:rsidP="00F01A15">
      <w:pPr>
        <w:spacing w:line="276" w:lineRule="auto"/>
        <w:jc w:val="both"/>
        <w:rPr>
          <w:rFonts w:ascii="Aptos" w:hAnsi="Aptos" w:cstheme="minorHAnsi"/>
          <w:bCs/>
          <w:lang w:val="en-GB"/>
        </w:rPr>
      </w:pPr>
      <w:r w:rsidRPr="00F01A15">
        <w:rPr>
          <w:rFonts w:ascii="Aptos" w:hAnsi="Aptos" w:cstheme="minorHAnsi"/>
          <w:bCs/>
          <w:lang w:val="en-GB"/>
        </w:rPr>
        <w:t xml:space="preserve">– </w:t>
      </w:r>
      <w:r w:rsidRPr="006615C3">
        <w:rPr>
          <w:rFonts w:ascii="Aptos" w:hAnsi="Aptos" w:cstheme="minorHAnsi"/>
          <w:bCs/>
          <w:i/>
          <w:iCs/>
          <w:lang w:val="en-GB"/>
        </w:rPr>
        <w:t xml:space="preserve">Such widespread adoption of BLIK directly translates into results across all payment channels. Between January and March, we once again observed that the value of transactions is growing faster than their number. This continuing trend suggests that Poles are increasingly willing to use their phones for higher-value purchases, and that our solution is effectively replacing the traditional wallet even for more significant expenses </w:t>
      </w:r>
      <w:r w:rsidRPr="00F01A15">
        <w:rPr>
          <w:rFonts w:ascii="Aptos" w:hAnsi="Aptos" w:cstheme="minorHAnsi"/>
          <w:bCs/>
          <w:lang w:val="en-GB"/>
        </w:rPr>
        <w:t xml:space="preserve">– </w:t>
      </w:r>
      <w:r w:rsidR="00B61718" w:rsidRPr="00EC7DE4">
        <w:rPr>
          <w:rFonts w:ascii="Aptos" w:hAnsi="Aptos" w:cstheme="minorHAnsi"/>
          <w:lang w:val="en-GB"/>
        </w:rPr>
        <w:t xml:space="preserve">says </w:t>
      </w:r>
      <w:r w:rsidR="00B61718" w:rsidRPr="00EC7DE4">
        <w:rPr>
          <w:rFonts w:ascii="Aptos" w:hAnsi="Aptos" w:cstheme="minorHAnsi"/>
          <w:b/>
          <w:bCs/>
          <w:lang w:val="en-GB"/>
        </w:rPr>
        <w:t>Katarzyna Matuszczyk</w:t>
      </w:r>
      <w:r w:rsidR="00B61718" w:rsidRPr="00EC7DE4">
        <w:rPr>
          <w:rFonts w:ascii="Aptos" w:hAnsi="Aptos" w:cstheme="minorHAnsi"/>
          <w:lang w:val="en-GB"/>
        </w:rPr>
        <w:t>, Management Board Member and CFO at Polski Standard Płatności, the operator of BLIK</w:t>
      </w:r>
      <w:r w:rsidRPr="00F01A15">
        <w:rPr>
          <w:rFonts w:ascii="Aptos" w:hAnsi="Aptos" w:cstheme="minorHAnsi"/>
          <w:bCs/>
          <w:lang w:val="en-GB"/>
        </w:rPr>
        <w:t>.</w:t>
      </w:r>
    </w:p>
    <w:p w14:paraId="1AA28815" w14:textId="7C9BFA58" w:rsidR="00B54CA2" w:rsidRPr="008D3254" w:rsidRDefault="00680568" w:rsidP="00B54CA2">
      <w:pPr>
        <w:spacing w:line="276" w:lineRule="auto"/>
        <w:jc w:val="center"/>
        <w:rPr>
          <w:rFonts w:ascii="Aptos" w:hAnsi="Aptos" w:cstheme="minorHAnsi"/>
          <w:lang w:val="en-GB"/>
        </w:rPr>
      </w:pPr>
      <w:r w:rsidRPr="00F01A15">
        <w:rPr>
          <w:rFonts w:ascii="Aptos" w:hAnsi="Aptos" w:cstheme="minorHAnsi"/>
          <w:lang w:val="en-GB"/>
        </w:rPr>
        <w:br/>
      </w:r>
      <w:r w:rsidR="00B54CA2" w:rsidRPr="008D3254">
        <w:rPr>
          <w:rFonts w:ascii="Aptos" w:hAnsi="Aptos" w:cstheme="minorHAnsi"/>
          <w:lang w:val="en-GB"/>
        </w:rPr>
        <w:t>***</w:t>
      </w:r>
    </w:p>
    <w:p w14:paraId="6F30E737" w14:textId="6787E149" w:rsidR="009A4C4F" w:rsidRPr="006615C3" w:rsidRDefault="00567D4D" w:rsidP="006615C3">
      <w:pPr>
        <w:jc w:val="both"/>
        <w:rPr>
          <w:rFonts w:ascii="Aptos" w:hAnsi="Aptos" w:cstheme="minorHAnsi"/>
          <w:b/>
          <w:sz w:val="20"/>
          <w:szCs w:val="20"/>
          <w:lang w:val="en-GB"/>
        </w:rPr>
      </w:pPr>
      <w:r w:rsidRPr="006615C3">
        <w:rPr>
          <w:rFonts w:ascii="Aptos" w:hAnsi="Aptos" w:cstheme="minorHAnsi"/>
          <w:b/>
          <w:sz w:val="20"/>
          <w:szCs w:val="20"/>
          <w:lang w:val="en-GB"/>
        </w:rPr>
        <w:t>BLIK</w:t>
      </w:r>
      <w:r w:rsidRPr="006615C3">
        <w:rPr>
          <w:rFonts w:ascii="Aptos" w:hAnsi="Aptos" w:cstheme="minorHAnsi"/>
          <w:sz w:val="20"/>
          <w:szCs w:val="20"/>
          <w:lang w:val="en-GB"/>
        </w:rPr>
        <w:t xml:space="preserve"> </w:t>
      </w:r>
      <w:r w:rsidR="006615C3" w:rsidRPr="004819BE">
        <w:rPr>
          <w:rFonts w:ascii="Aptos" w:eastAsia="Segoe UI" w:hAnsi="Aptos" w:cs="Segoe UI"/>
          <w:color w:val="242424"/>
          <w:sz w:val="20"/>
          <w:szCs w:val="20"/>
          <w:lang w:val="en-US"/>
        </w:rPr>
        <w:t xml:space="preserve">is a common standard for mobile payments. The option to use BLIK in mobile banking applications is now available to virtually every customer of domestic payment institutions offering a mobile app. The company Polski Standard Płatności (PSP) is responsible for developing the system. PSP continuously enhances BLIK’s functionality to make the system as user-friendly and versatile as possible. The </w:t>
      </w:r>
      <w:r w:rsidR="006615C3" w:rsidRPr="004819BE">
        <w:rPr>
          <w:rFonts w:ascii="Aptos" w:eastAsia="Segoe UI" w:hAnsi="Aptos" w:cs="Segoe UI"/>
          <w:color w:val="242424"/>
          <w:sz w:val="20"/>
          <w:szCs w:val="20"/>
          <w:lang w:val="en-US"/>
        </w:rPr>
        <w:lastRenderedPageBreak/>
        <w:t xml:space="preserve">shareholders of PSP are Alior Bank, Millennium Bank, </w:t>
      </w:r>
      <w:r w:rsidR="004E0759">
        <w:rPr>
          <w:rFonts w:ascii="Aptos" w:eastAsia="Segoe UI" w:hAnsi="Aptos" w:cs="Segoe UI"/>
          <w:color w:val="242424"/>
          <w:sz w:val="20"/>
          <w:szCs w:val="20"/>
          <w:lang w:val="en-US"/>
        </w:rPr>
        <w:t>Erste</w:t>
      </w:r>
      <w:r w:rsidR="006615C3" w:rsidRPr="004819BE">
        <w:rPr>
          <w:rFonts w:ascii="Aptos" w:eastAsia="Segoe UI" w:hAnsi="Aptos" w:cs="Segoe UI"/>
          <w:color w:val="242424"/>
          <w:sz w:val="20"/>
          <w:szCs w:val="20"/>
          <w:lang w:val="en-US"/>
        </w:rPr>
        <w:t xml:space="preserve"> Bank Polska, ING Bank Śląski, mBank, PKO Bank Polski, and Mastercard.</w:t>
      </w:r>
    </w:p>
    <w:p w14:paraId="684B5FF9" w14:textId="4A909DCD" w:rsidR="00B54CA2" w:rsidRPr="008D3254" w:rsidRDefault="006615C3" w:rsidP="00B54CA2">
      <w:pPr>
        <w:spacing w:line="276" w:lineRule="auto"/>
        <w:jc w:val="both"/>
        <w:rPr>
          <w:rFonts w:ascii="Aptos" w:hAnsi="Aptos" w:cstheme="minorHAnsi"/>
          <w:b/>
          <w:sz w:val="20"/>
          <w:szCs w:val="20"/>
          <w:lang w:val="en-GB"/>
        </w:rPr>
      </w:pPr>
      <w:r w:rsidRPr="008D3254">
        <w:rPr>
          <w:rFonts w:ascii="Aptos" w:hAnsi="Aptos" w:cstheme="minorHAnsi"/>
          <w:b/>
          <w:sz w:val="20"/>
          <w:szCs w:val="20"/>
          <w:lang w:val="en-GB"/>
        </w:rPr>
        <w:t>Contact for media</w:t>
      </w:r>
      <w:r w:rsidR="00B54CA2" w:rsidRPr="008D3254">
        <w:rPr>
          <w:rFonts w:ascii="Aptos" w:hAnsi="Aptos" w:cstheme="minorHAnsi"/>
          <w:b/>
          <w:sz w:val="20"/>
          <w:szCs w:val="20"/>
          <w:lang w:val="en-GB"/>
        </w:rPr>
        <w:t>:</w:t>
      </w:r>
    </w:p>
    <w:p w14:paraId="2EADC533" w14:textId="77777777" w:rsidR="00B54CA2" w:rsidRPr="008D3254" w:rsidRDefault="00B54CA2" w:rsidP="00B54CA2">
      <w:pPr>
        <w:spacing w:after="0" w:line="276" w:lineRule="auto"/>
        <w:jc w:val="both"/>
        <w:rPr>
          <w:rFonts w:ascii="Aptos" w:hAnsi="Aptos" w:cstheme="minorHAnsi"/>
          <w:sz w:val="20"/>
          <w:szCs w:val="20"/>
          <w:lang w:val="en-GB"/>
        </w:rPr>
      </w:pPr>
      <w:r w:rsidRPr="008D3254">
        <w:rPr>
          <w:rFonts w:ascii="Aptos" w:hAnsi="Aptos" w:cstheme="minorHAnsi"/>
          <w:sz w:val="20"/>
          <w:szCs w:val="20"/>
          <w:lang w:val="en-GB"/>
        </w:rPr>
        <w:t>Klaudia Rombalska</w:t>
      </w:r>
    </w:p>
    <w:p w14:paraId="5B730506" w14:textId="41E503D4" w:rsidR="00B54CA2" w:rsidRPr="008D3254" w:rsidRDefault="00B54CA2" w:rsidP="00B54CA2">
      <w:pPr>
        <w:spacing w:after="0" w:line="276" w:lineRule="auto"/>
        <w:jc w:val="both"/>
        <w:rPr>
          <w:rFonts w:ascii="Aptos" w:hAnsi="Aptos" w:cstheme="minorHAnsi"/>
          <w:sz w:val="20"/>
          <w:szCs w:val="20"/>
          <w:lang w:val="en-GB"/>
        </w:rPr>
      </w:pPr>
      <w:r w:rsidRPr="008D3254">
        <w:rPr>
          <w:rFonts w:ascii="Aptos" w:hAnsi="Aptos" w:cstheme="minorHAnsi"/>
          <w:sz w:val="20"/>
          <w:szCs w:val="20"/>
          <w:lang w:val="en-GB"/>
        </w:rPr>
        <w:t>BLIK</w:t>
      </w:r>
      <w:r w:rsidR="006615C3" w:rsidRPr="008D3254">
        <w:rPr>
          <w:rFonts w:ascii="Aptos" w:hAnsi="Aptos" w:cstheme="minorHAnsi"/>
          <w:sz w:val="20"/>
          <w:szCs w:val="20"/>
          <w:lang w:val="en-GB"/>
        </w:rPr>
        <w:t>’s press office</w:t>
      </w:r>
    </w:p>
    <w:p w14:paraId="6694ACAA" w14:textId="614DF13C" w:rsidR="00B54CA2" w:rsidRPr="00680568" w:rsidRDefault="008A1A3E" w:rsidP="00B54CA2">
      <w:pPr>
        <w:spacing w:after="0" w:line="276" w:lineRule="auto"/>
        <w:rPr>
          <w:rFonts w:ascii="Aptos" w:hAnsi="Aptos" w:cstheme="minorHAnsi"/>
          <w:sz w:val="20"/>
          <w:szCs w:val="20"/>
        </w:rPr>
      </w:pPr>
      <w:hyperlink w:history="1">
        <w:r w:rsidRPr="00680568">
          <w:rPr>
            <w:rStyle w:val="Hipercze"/>
            <w:rFonts w:ascii="Aptos" w:hAnsi="Aptos" w:cstheme="minorHAnsi"/>
            <w:sz w:val="20"/>
            <w:szCs w:val="20"/>
          </w:rPr>
          <w:t>klaudia.rombalska@clearcom.pl</w:t>
        </w:r>
      </w:hyperlink>
      <w:r w:rsidRPr="00680568">
        <w:rPr>
          <w:rFonts w:ascii="Aptos" w:hAnsi="Aptos" w:cstheme="minorHAnsi"/>
          <w:sz w:val="20"/>
          <w:szCs w:val="20"/>
        </w:rPr>
        <w:t xml:space="preserve"> </w:t>
      </w:r>
    </w:p>
    <w:p w14:paraId="1245FE1C" w14:textId="77777777" w:rsidR="00B022A7" w:rsidRPr="00E71F48" w:rsidRDefault="00B022A7">
      <w:pPr>
        <w:rPr>
          <w:rFonts w:ascii="Aptos" w:hAnsi="Aptos" w:cstheme="minorHAnsi"/>
        </w:rPr>
      </w:pPr>
    </w:p>
    <w:sectPr w:rsidR="00B022A7" w:rsidRPr="00E71F4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7493" w14:textId="77777777" w:rsidR="000A3BBC" w:rsidRDefault="000A3BBC" w:rsidP="009A0537">
      <w:pPr>
        <w:spacing w:after="0" w:line="240" w:lineRule="auto"/>
      </w:pPr>
      <w:r>
        <w:separator/>
      </w:r>
    </w:p>
  </w:endnote>
  <w:endnote w:type="continuationSeparator" w:id="0">
    <w:p w14:paraId="5A3FF8BF" w14:textId="77777777" w:rsidR="000A3BBC" w:rsidRDefault="000A3BBC" w:rsidP="009A0537">
      <w:pPr>
        <w:spacing w:after="0" w:line="240" w:lineRule="auto"/>
      </w:pPr>
      <w:r>
        <w:continuationSeparator/>
      </w:r>
    </w:p>
  </w:endnote>
  <w:endnote w:type="continuationNotice" w:id="1">
    <w:p w14:paraId="3E855A38" w14:textId="77777777" w:rsidR="000A3BBC" w:rsidRDefault="000A3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EB53" w14:textId="77777777" w:rsidR="000A3BBC" w:rsidRDefault="000A3BBC" w:rsidP="009A0537">
      <w:pPr>
        <w:spacing w:after="0" w:line="240" w:lineRule="auto"/>
      </w:pPr>
      <w:r>
        <w:separator/>
      </w:r>
    </w:p>
  </w:footnote>
  <w:footnote w:type="continuationSeparator" w:id="0">
    <w:p w14:paraId="3E73EB09" w14:textId="77777777" w:rsidR="000A3BBC" w:rsidRDefault="000A3BBC" w:rsidP="009A0537">
      <w:pPr>
        <w:spacing w:after="0" w:line="240" w:lineRule="auto"/>
      </w:pPr>
      <w:r>
        <w:continuationSeparator/>
      </w:r>
    </w:p>
  </w:footnote>
  <w:footnote w:type="continuationNotice" w:id="1">
    <w:p w14:paraId="7F1CD905" w14:textId="77777777" w:rsidR="000A3BBC" w:rsidRDefault="000A3B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4530" w14:textId="7FAA5796" w:rsidR="00BC133C" w:rsidRDefault="00BC133C">
    <w:pPr>
      <w:pStyle w:val="Nagwek"/>
    </w:pPr>
    <w:r>
      <w:rPr>
        <w:noProof/>
        <w:lang w:eastAsia="pl-PL"/>
      </w:rPr>
      <w:drawing>
        <wp:anchor distT="0" distB="0" distL="114300" distR="114300" simplePos="0" relativeHeight="251658241" behindDoc="0" locked="0" layoutInCell="1" allowOverlap="1" wp14:anchorId="424BCDD2" wp14:editId="44EF1818">
          <wp:simplePos x="0" y="0"/>
          <wp:positionH relativeFrom="margin">
            <wp:align>right</wp:align>
          </wp:positionH>
          <wp:positionV relativeFrom="topMargin">
            <wp:posOffset>461010</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r>
      <w:rPr>
        <w:noProof/>
        <w:lang w:eastAsia="pl-PL"/>
      </w:rPr>
      <w:drawing>
        <wp:anchor distT="0" distB="0" distL="114300" distR="114300" simplePos="0" relativeHeight="251658240" behindDoc="1" locked="0" layoutInCell="1" allowOverlap="1" wp14:anchorId="65ECC895" wp14:editId="69A94345">
          <wp:simplePos x="0" y="0"/>
          <wp:positionH relativeFrom="margin">
            <wp:align>left</wp:align>
          </wp:positionH>
          <wp:positionV relativeFrom="paragraph">
            <wp:posOffset>-271145</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2"/>
                  <a:srcRect/>
                  <a:stretch>
                    <a:fillRect/>
                  </a:stretch>
                </pic:blipFill>
                <pic:spPr bwMode="auto">
                  <a:xfrm>
                    <a:off x="0" y="0"/>
                    <a:ext cx="1811655" cy="1095375"/>
                  </a:xfrm>
                  <a:prstGeom prst="rect">
                    <a:avLst/>
                  </a:prstGeom>
                  <a:noFill/>
                </pic:spPr>
              </pic:pic>
            </a:graphicData>
          </a:graphic>
        </wp:anchor>
      </w:drawing>
    </w:r>
  </w:p>
  <w:p w14:paraId="38ED7FB2" w14:textId="6A914A2B" w:rsidR="00BC133C" w:rsidRDefault="00BC133C">
    <w:pPr>
      <w:pStyle w:val="Nagwek"/>
    </w:pPr>
  </w:p>
  <w:p w14:paraId="5D6B57E1" w14:textId="77777777" w:rsidR="00BC133C" w:rsidRDefault="00BC133C">
    <w:pPr>
      <w:pStyle w:val="Nagwek"/>
    </w:pPr>
  </w:p>
  <w:p w14:paraId="3B2B025F" w14:textId="77777777" w:rsidR="00BC133C" w:rsidRDefault="00BC133C">
    <w:pPr>
      <w:pStyle w:val="Nagwek"/>
    </w:pPr>
  </w:p>
  <w:p w14:paraId="206C1C77" w14:textId="6421CC5F" w:rsidR="009A0537" w:rsidRDefault="009A05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A4D93"/>
    <w:multiLevelType w:val="hybridMultilevel"/>
    <w:tmpl w:val="82380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2048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0Mzc0tzQwNTMztDRW0lEKTi0uzszPAykwrgUA2Tw+0ywAAAA="/>
  </w:docVars>
  <w:rsids>
    <w:rsidRoot w:val="009A1E8C"/>
    <w:rsid w:val="0000147B"/>
    <w:rsid w:val="00003C82"/>
    <w:rsid w:val="0000680B"/>
    <w:rsid w:val="000115FD"/>
    <w:rsid w:val="00024080"/>
    <w:rsid w:val="00027191"/>
    <w:rsid w:val="00031A1B"/>
    <w:rsid w:val="00032BB3"/>
    <w:rsid w:val="00032D14"/>
    <w:rsid w:val="00034137"/>
    <w:rsid w:val="00035030"/>
    <w:rsid w:val="0003599D"/>
    <w:rsid w:val="00042578"/>
    <w:rsid w:val="00044A73"/>
    <w:rsid w:val="0004720B"/>
    <w:rsid w:val="00047C00"/>
    <w:rsid w:val="00055FA9"/>
    <w:rsid w:val="000567CD"/>
    <w:rsid w:val="000660BF"/>
    <w:rsid w:val="000718CC"/>
    <w:rsid w:val="00072725"/>
    <w:rsid w:val="00081278"/>
    <w:rsid w:val="00085342"/>
    <w:rsid w:val="00085992"/>
    <w:rsid w:val="00091B75"/>
    <w:rsid w:val="00092209"/>
    <w:rsid w:val="000923AC"/>
    <w:rsid w:val="000A372D"/>
    <w:rsid w:val="000A3BBC"/>
    <w:rsid w:val="000A51FF"/>
    <w:rsid w:val="000B07ED"/>
    <w:rsid w:val="000B1453"/>
    <w:rsid w:val="000B33F2"/>
    <w:rsid w:val="000B5EEF"/>
    <w:rsid w:val="000B62F3"/>
    <w:rsid w:val="000C19B8"/>
    <w:rsid w:val="000C6044"/>
    <w:rsid w:val="000D2A8C"/>
    <w:rsid w:val="000D3180"/>
    <w:rsid w:val="000D7918"/>
    <w:rsid w:val="000D7CA0"/>
    <w:rsid w:val="000E17A1"/>
    <w:rsid w:val="000E4564"/>
    <w:rsid w:val="000E4E2F"/>
    <w:rsid w:val="000E4E8A"/>
    <w:rsid w:val="000F5607"/>
    <w:rsid w:val="00101ABA"/>
    <w:rsid w:val="00102333"/>
    <w:rsid w:val="00112633"/>
    <w:rsid w:val="00115830"/>
    <w:rsid w:val="00116486"/>
    <w:rsid w:val="001165F4"/>
    <w:rsid w:val="00116EDD"/>
    <w:rsid w:val="00121251"/>
    <w:rsid w:val="00123E8B"/>
    <w:rsid w:val="001251F5"/>
    <w:rsid w:val="0012645B"/>
    <w:rsid w:val="001326B4"/>
    <w:rsid w:val="00132E43"/>
    <w:rsid w:val="001338B2"/>
    <w:rsid w:val="001342E0"/>
    <w:rsid w:val="00134DD8"/>
    <w:rsid w:val="001358E4"/>
    <w:rsid w:val="00136BFF"/>
    <w:rsid w:val="0014379C"/>
    <w:rsid w:val="001467EB"/>
    <w:rsid w:val="001469C0"/>
    <w:rsid w:val="00146C2D"/>
    <w:rsid w:val="00147BEE"/>
    <w:rsid w:val="001500D6"/>
    <w:rsid w:val="00150FF3"/>
    <w:rsid w:val="00151143"/>
    <w:rsid w:val="00154D3E"/>
    <w:rsid w:val="00154FC7"/>
    <w:rsid w:val="001567CF"/>
    <w:rsid w:val="001610D3"/>
    <w:rsid w:val="00166EE7"/>
    <w:rsid w:val="001675D4"/>
    <w:rsid w:val="001756E8"/>
    <w:rsid w:val="00182BE1"/>
    <w:rsid w:val="001845F5"/>
    <w:rsid w:val="00184B56"/>
    <w:rsid w:val="00185041"/>
    <w:rsid w:val="00185391"/>
    <w:rsid w:val="001876EF"/>
    <w:rsid w:val="001908CF"/>
    <w:rsid w:val="00190C93"/>
    <w:rsid w:val="00191BA5"/>
    <w:rsid w:val="0019219C"/>
    <w:rsid w:val="001923E8"/>
    <w:rsid w:val="00193865"/>
    <w:rsid w:val="001A4A55"/>
    <w:rsid w:val="001A562C"/>
    <w:rsid w:val="001A6161"/>
    <w:rsid w:val="001B49D0"/>
    <w:rsid w:val="001C2225"/>
    <w:rsid w:val="001D3E76"/>
    <w:rsid w:val="001D5BC3"/>
    <w:rsid w:val="001E18B2"/>
    <w:rsid w:val="001E4F66"/>
    <w:rsid w:val="001E7C93"/>
    <w:rsid w:val="001F44A3"/>
    <w:rsid w:val="001F66D9"/>
    <w:rsid w:val="0020021E"/>
    <w:rsid w:val="00200ADA"/>
    <w:rsid w:val="00200EB7"/>
    <w:rsid w:val="002039CB"/>
    <w:rsid w:val="00204D40"/>
    <w:rsid w:val="00210101"/>
    <w:rsid w:val="00212E6F"/>
    <w:rsid w:val="002137EC"/>
    <w:rsid w:val="00231E65"/>
    <w:rsid w:val="00233AF0"/>
    <w:rsid w:val="00233C34"/>
    <w:rsid w:val="00237E74"/>
    <w:rsid w:val="00242B3C"/>
    <w:rsid w:val="0024309B"/>
    <w:rsid w:val="00247A16"/>
    <w:rsid w:val="002514D5"/>
    <w:rsid w:val="00251B0A"/>
    <w:rsid w:val="002561BF"/>
    <w:rsid w:val="00256CF5"/>
    <w:rsid w:val="00257B6F"/>
    <w:rsid w:val="00261A85"/>
    <w:rsid w:val="00262419"/>
    <w:rsid w:val="00267673"/>
    <w:rsid w:val="00267780"/>
    <w:rsid w:val="002723F4"/>
    <w:rsid w:val="002735F4"/>
    <w:rsid w:val="0027568C"/>
    <w:rsid w:val="002836DD"/>
    <w:rsid w:val="002845D1"/>
    <w:rsid w:val="002867F4"/>
    <w:rsid w:val="00291202"/>
    <w:rsid w:val="00292A12"/>
    <w:rsid w:val="00293607"/>
    <w:rsid w:val="0029388B"/>
    <w:rsid w:val="002938C5"/>
    <w:rsid w:val="002943FA"/>
    <w:rsid w:val="002A1BE4"/>
    <w:rsid w:val="002A3642"/>
    <w:rsid w:val="002A5619"/>
    <w:rsid w:val="002A5A1F"/>
    <w:rsid w:val="002A6FD8"/>
    <w:rsid w:val="002B2C85"/>
    <w:rsid w:val="002B7E3E"/>
    <w:rsid w:val="002C39DB"/>
    <w:rsid w:val="002C5268"/>
    <w:rsid w:val="002D65DD"/>
    <w:rsid w:val="002D7849"/>
    <w:rsid w:val="002E2F5A"/>
    <w:rsid w:val="002E630D"/>
    <w:rsid w:val="002E6DBE"/>
    <w:rsid w:val="002E73C7"/>
    <w:rsid w:val="002E7FB0"/>
    <w:rsid w:val="002F1515"/>
    <w:rsid w:val="002F4A50"/>
    <w:rsid w:val="002F5C90"/>
    <w:rsid w:val="00303A3F"/>
    <w:rsid w:val="00304BEB"/>
    <w:rsid w:val="00305874"/>
    <w:rsid w:val="00314A69"/>
    <w:rsid w:val="003176F1"/>
    <w:rsid w:val="00320D57"/>
    <w:rsid w:val="0032102A"/>
    <w:rsid w:val="00321E8A"/>
    <w:rsid w:val="00332173"/>
    <w:rsid w:val="003347C8"/>
    <w:rsid w:val="00334852"/>
    <w:rsid w:val="00340EDC"/>
    <w:rsid w:val="003511A2"/>
    <w:rsid w:val="00352161"/>
    <w:rsid w:val="00352444"/>
    <w:rsid w:val="00352BA9"/>
    <w:rsid w:val="00352E4E"/>
    <w:rsid w:val="00360DC7"/>
    <w:rsid w:val="0036795F"/>
    <w:rsid w:val="00370588"/>
    <w:rsid w:val="003707CA"/>
    <w:rsid w:val="003751BE"/>
    <w:rsid w:val="003812F9"/>
    <w:rsid w:val="00392F6A"/>
    <w:rsid w:val="00393A23"/>
    <w:rsid w:val="00394AF5"/>
    <w:rsid w:val="00394F8A"/>
    <w:rsid w:val="003957CE"/>
    <w:rsid w:val="003A27F3"/>
    <w:rsid w:val="003A48F9"/>
    <w:rsid w:val="003B24BD"/>
    <w:rsid w:val="003B3FCA"/>
    <w:rsid w:val="003B75B7"/>
    <w:rsid w:val="003C0167"/>
    <w:rsid w:val="003C344C"/>
    <w:rsid w:val="003C3EC5"/>
    <w:rsid w:val="003C7162"/>
    <w:rsid w:val="003D0C1B"/>
    <w:rsid w:val="003D101C"/>
    <w:rsid w:val="003D10E4"/>
    <w:rsid w:val="003D3841"/>
    <w:rsid w:val="003D3B70"/>
    <w:rsid w:val="003D56BE"/>
    <w:rsid w:val="003D7B11"/>
    <w:rsid w:val="003E08A8"/>
    <w:rsid w:val="003E1FCB"/>
    <w:rsid w:val="003E5930"/>
    <w:rsid w:val="003E6171"/>
    <w:rsid w:val="003F57E3"/>
    <w:rsid w:val="00407FF6"/>
    <w:rsid w:val="00410CFA"/>
    <w:rsid w:val="004124A5"/>
    <w:rsid w:val="0041301A"/>
    <w:rsid w:val="00413857"/>
    <w:rsid w:val="0042294F"/>
    <w:rsid w:val="00422BC1"/>
    <w:rsid w:val="00424439"/>
    <w:rsid w:val="00425A76"/>
    <w:rsid w:val="00426289"/>
    <w:rsid w:val="004336A1"/>
    <w:rsid w:val="00437B61"/>
    <w:rsid w:val="0044384B"/>
    <w:rsid w:val="00444FB4"/>
    <w:rsid w:val="004452EF"/>
    <w:rsid w:val="0044591E"/>
    <w:rsid w:val="00446162"/>
    <w:rsid w:val="00454594"/>
    <w:rsid w:val="00455CE8"/>
    <w:rsid w:val="00456ACD"/>
    <w:rsid w:val="004634CF"/>
    <w:rsid w:val="004669C2"/>
    <w:rsid w:val="00472A88"/>
    <w:rsid w:val="0047394A"/>
    <w:rsid w:val="00477A8C"/>
    <w:rsid w:val="00482198"/>
    <w:rsid w:val="00484EF8"/>
    <w:rsid w:val="00485334"/>
    <w:rsid w:val="00487F48"/>
    <w:rsid w:val="00492E98"/>
    <w:rsid w:val="004940D5"/>
    <w:rsid w:val="0049552D"/>
    <w:rsid w:val="00495F3E"/>
    <w:rsid w:val="004A2196"/>
    <w:rsid w:val="004A2D3E"/>
    <w:rsid w:val="004B5373"/>
    <w:rsid w:val="004B5872"/>
    <w:rsid w:val="004B658E"/>
    <w:rsid w:val="004C0924"/>
    <w:rsid w:val="004C4748"/>
    <w:rsid w:val="004C523B"/>
    <w:rsid w:val="004C5558"/>
    <w:rsid w:val="004D7409"/>
    <w:rsid w:val="004E0759"/>
    <w:rsid w:val="004E089D"/>
    <w:rsid w:val="004E72E2"/>
    <w:rsid w:val="004F00FC"/>
    <w:rsid w:val="004F1990"/>
    <w:rsid w:val="00501EC8"/>
    <w:rsid w:val="00502555"/>
    <w:rsid w:val="00506541"/>
    <w:rsid w:val="00522922"/>
    <w:rsid w:val="00527E5F"/>
    <w:rsid w:val="00530B41"/>
    <w:rsid w:val="0053331B"/>
    <w:rsid w:val="005375FC"/>
    <w:rsid w:val="00537DF4"/>
    <w:rsid w:val="00540DA2"/>
    <w:rsid w:val="0054194E"/>
    <w:rsid w:val="00545478"/>
    <w:rsid w:val="00545919"/>
    <w:rsid w:val="005461F1"/>
    <w:rsid w:val="00546370"/>
    <w:rsid w:val="005520FB"/>
    <w:rsid w:val="005533CE"/>
    <w:rsid w:val="005567F3"/>
    <w:rsid w:val="00560848"/>
    <w:rsid w:val="005615AA"/>
    <w:rsid w:val="005633A9"/>
    <w:rsid w:val="00565635"/>
    <w:rsid w:val="0056786F"/>
    <w:rsid w:val="00567D4D"/>
    <w:rsid w:val="00576130"/>
    <w:rsid w:val="00576861"/>
    <w:rsid w:val="00576D6A"/>
    <w:rsid w:val="005847B2"/>
    <w:rsid w:val="00585B5E"/>
    <w:rsid w:val="00587DCC"/>
    <w:rsid w:val="00590838"/>
    <w:rsid w:val="005A7019"/>
    <w:rsid w:val="005A7759"/>
    <w:rsid w:val="005C2FAE"/>
    <w:rsid w:val="005D1E99"/>
    <w:rsid w:val="005D6D1B"/>
    <w:rsid w:val="005E0686"/>
    <w:rsid w:val="005E09B7"/>
    <w:rsid w:val="005E139B"/>
    <w:rsid w:val="005E6492"/>
    <w:rsid w:val="005E7770"/>
    <w:rsid w:val="005E79DF"/>
    <w:rsid w:val="005F3A2D"/>
    <w:rsid w:val="005F419E"/>
    <w:rsid w:val="005F4633"/>
    <w:rsid w:val="005F5358"/>
    <w:rsid w:val="005F5BAF"/>
    <w:rsid w:val="005F6090"/>
    <w:rsid w:val="005F7232"/>
    <w:rsid w:val="00600B5A"/>
    <w:rsid w:val="0060544B"/>
    <w:rsid w:val="00607DB7"/>
    <w:rsid w:val="0061694B"/>
    <w:rsid w:val="00622873"/>
    <w:rsid w:val="00625D0E"/>
    <w:rsid w:val="00630BF5"/>
    <w:rsid w:val="00631552"/>
    <w:rsid w:val="00633595"/>
    <w:rsid w:val="0063426B"/>
    <w:rsid w:val="00634849"/>
    <w:rsid w:val="00634A03"/>
    <w:rsid w:val="00636683"/>
    <w:rsid w:val="006400B6"/>
    <w:rsid w:val="006417C3"/>
    <w:rsid w:val="006421FE"/>
    <w:rsid w:val="00642737"/>
    <w:rsid w:val="006447DD"/>
    <w:rsid w:val="00644871"/>
    <w:rsid w:val="00645A3E"/>
    <w:rsid w:val="00655E5D"/>
    <w:rsid w:val="0065643A"/>
    <w:rsid w:val="006615C3"/>
    <w:rsid w:val="00662C0C"/>
    <w:rsid w:val="00663580"/>
    <w:rsid w:val="006637FD"/>
    <w:rsid w:val="006655F3"/>
    <w:rsid w:val="00667A3B"/>
    <w:rsid w:val="00671398"/>
    <w:rsid w:val="006723F9"/>
    <w:rsid w:val="00672C50"/>
    <w:rsid w:val="00675319"/>
    <w:rsid w:val="00675D0B"/>
    <w:rsid w:val="00680568"/>
    <w:rsid w:val="00682069"/>
    <w:rsid w:val="00683A36"/>
    <w:rsid w:val="00684281"/>
    <w:rsid w:val="006860A7"/>
    <w:rsid w:val="00692EC5"/>
    <w:rsid w:val="00693229"/>
    <w:rsid w:val="0069352E"/>
    <w:rsid w:val="00695476"/>
    <w:rsid w:val="006A3BE3"/>
    <w:rsid w:val="006A438F"/>
    <w:rsid w:val="006B0686"/>
    <w:rsid w:val="006B2F27"/>
    <w:rsid w:val="006B3779"/>
    <w:rsid w:val="006B4587"/>
    <w:rsid w:val="006B5E77"/>
    <w:rsid w:val="006B6EB6"/>
    <w:rsid w:val="006C2DD1"/>
    <w:rsid w:val="006C31A9"/>
    <w:rsid w:val="006C3968"/>
    <w:rsid w:val="006C46E5"/>
    <w:rsid w:val="006C7D2D"/>
    <w:rsid w:val="006D09CF"/>
    <w:rsid w:val="006D3746"/>
    <w:rsid w:val="006D3925"/>
    <w:rsid w:val="006D3F7D"/>
    <w:rsid w:val="006D6208"/>
    <w:rsid w:val="006E040E"/>
    <w:rsid w:val="006E0B32"/>
    <w:rsid w:val="006F1C6D"/>
    <w:rsid w:val="006F255D"/>
    <w:rsid w:val="006F3ED0"/>
    <w:rsid w:val="006F5F53"/>
    <w:rsid w:val="006F7929"/>
    <w:rsid w:val="00702ED8"/>
    <w:rsid w:val="00705A07"/>
    <w:rsid w:val="00712DC1"/>
    <w:rsid w:val="00714DBB"/>
    <w:rsid w:val="00715E21"/>
    <w:rsid w:val="00717D18"/>
    <w:rsid w:val="00721D46"/>
    <w:rsid w:val="00725F00"/>
    <w:rsid w:val="00726185"/>
    <w:rsid w:val="00726392"/>
    <w:rsid w:val="00734CAD"/>
    <w:rsid w:val="00737958"/>
    <w:rsid w:val="007411C6"/>
    <w:rsid w:val="00747433"/>
    <w:rsid w:val="007535C3"/>
    <w:rsid w:val="00754C18"/>
    <w:rsid w:val="00754C9B"/>
    <w:rsid w:val="0076103A"/>
    <w:rsid w:val="00762852"/>
    <w:rsid w:val="007669CF"/>
    <w:rsid w:val="007670BD"/>
    <w:rsid w:val="00774E67"/>
    <w:rsid w:val="0077645F"/>
    <w:rsid w:val="007776D3"/>
    <w:rsid w:val="00781150"/>
    <w:rsid w:val="00781C09"/>
    <w:rsid w:val="0078359A"/>
    <w:rsid w:val="007850DF"/>
    <w:rsid w:val="00787ECC"/>
    <w:rsid w:val="00792F89"/>
    <w:rsid w:val="00793F54"/>
    <w:rsid w:val="00796255"/>
    <w:rsid w:val="007A226C"/>
    <w:rsid w:val="007A2AE5"/>
    <w:rsid w:val="007A375C"/>
    <w:rsid w:val="007B0921"/>
    <w:rsid w:val="007B1F4E"/>
    <w:rsid w:val="007B6DC0"/>
    <w:rsid w:val="007B73C1"/>
    <w:rsid w:val="007C0C76"/>
    <w:rsid w:val="007C0C77"/>
    <w:rsid w:val="007D1B8B"/>
    <w:rsid w:val="007D2DEC"/>
    <w:rsid w:val="007D6E98"/>
    <w:rsid w:val="007E1153"/>
    <w:rsid w:val="007E1B7B"/>
    <w:rsid w:val="007E51CE"/>
    <w:rsid w:val="007E7461"/>
    <w:rsid w:val="007F1CBB"/>
    <w:rsid w:val="007F2361"/>
    <w:rsid w:val="007F27AF"/>
    <w:rsid w:val="007F3A1D"/>
    <w:rsid w:val="008070E8"/>
    <w:rsid w:val="008078BB"/>
    <w:rsid w:val="00814EAD"/>
    <w:rsid w:val="00816653"/>
    <w:rsid w:val="00821E34"/>
    <w:rsid w:val="008271E0"/>
    <w:rsid w:val="00832B7C"/>
    <w:rsid w:val="008356A7"/>
    <w:rsid w:val="00837489"/>
    <w:rsid w:val="0084044A"/>
    <w:rsid w:val="0084178B"/>
    <w:rsid w:val="0084420A"/>
    <w:rsid w:val="0085433F"/>
    <w:rsid w:val="008623FF"/>
    <w:rsid w:val="00872710"/>
    <w:rsid w:val="00873AC6"/>
    <w:rsid w:val="0087639E"/>
    <w:rsid w:val="00882CC5"/>
    <w:rsid w:val="00883411"/>
    <w:rsid w:val="008835AC"/>
    <w:rsid w:val="00885C57"/>
    <w:rsid w:val="00886CB2"/>
    <w:rsid w:val="00890B2F"/>
    <w:rsid w:val="00892701"/>
    <w:rsid w:val="008927A8"/>
    <w:rsid w:val="00892C15"/>
    <w:rsid w:val="008959FC"/>
    <w:rsid w:val="00895D18"/>
    <w:rsid w:val="008A1A3E"/>
    <w:rsid w:val="008A451F"/>
    <w:rsid w:val="008A45F7"/>
    <w:rsid w:val="008A50EA"/>
    <w:rsid w:val="008A6A36"/>
    <w:rsid w:val="008B1015"/>
    <w:rsid w:val="008B266C"/>
    <w:rsid w:val="008B3DD7"/>
    <w:rsid w:val="008B7FB3"/>
    <w:rsid w:val="008C0894"/>
    <w:rsid w:val="008D3254"/>
    <w:rsid w:val="008D33E7"/>
    <w:rsid w:val="008D3960"/>
    <w:rsid w:val="008D4878"/>
    <w:rsid w:val="008D7DE3"/>
    <w:rsid w:val="008D7ECC"/>
    <w:rsid w:val="008E435C"/>
    <w:rsid w:val="008E50A3"/>
    <w:rsid w:val="008E5195"/>
    <w:rsid w:val="008F28BE"/>
    <w:rsid w:val="008F3C4E"/>
    <w:rsid w:val="00901314"/>
    <w:rsid w:val="00904849"/>
    <w:rsid w:val="009100CE"/>
    <w:rsid w:val="0091359B"/>
    <w:rsid w:val="00913F4E"/>
    <w:rsid w:val="00914371"/>
    <w:rsid w:val="00914A16"/>
    <w:rsid w:val="00927322"/>
    <w:rsid w:val="00930A51"/>
    <w:rsid w:val="00932B98"/>
    <w:rsid w:val="00952997"/>
    <w:rsid w:val="00952D7F"/>
    <w:rsid w:val="00954716"/>
    <w:rsid w:val="00957FAD"/>
    <w:rsid w:val="009609FD"/>
    <w:rsid w:val="00961F38"/>
    <w:rsid w:val="009643F3"/>
    <w:rsid w:val="00964E47"/>
    <w:rsid w:val="00980200"/>
    <w:rsid w:val="00980503"/>
    <w:rsid w:val="009837AC"/>
    <w:rsid w:val="009847C6"/>
    <w:rsid w:val="009902F6"/>
    <w:rsid w:val="0099151A"/>
    <w:rsid w:val="009960AC"/>
    <w:rsid w:val="009A0537"/>
    <w:rsid w:val="009A09FF"/>
    <w:rsid w:val="009A1E8C"/>
    <w:rsid w:val="009A1FAF"/>
    <w:rsid w:val="009A2F44"/>
    <w:rsid w:val="009A4C4F"/>
    <w:rsid w:val="009A59AD"/>
    <w:rsid w:val="009B6D55"/>
    <w:rsid w:val="009B72E0"/>
    <w:rsid w:val="009C2857"/>
    <w:rsid w:val="009C3D2F"/>
    <w:rsid w:val="009C7BCA"/>
    <w:rsid w:val="009D1835"/>
    <w:rsid w:val="009D2B83"/>
    <w:rsid w:val="009D43A0"/>
    <w:rsid w:val="009D5504"/>
    <w:rsid w:val="009D65DD"/>
    <w:rsid w:val="009E29F6"/>
    <w:rsid w:val="009E427A"/>
    <w:rsid w:val="009F061A"/>
    <w:rsid w:val="009F09F1"/>
    <w:rsid w:val="009F18AB"/>
    <w:rsid w:val="009F2C3C"/>
    <w:rsid w:val="009F4BC4"/>
    <w:rsid w:val="00A00CE9"/>
    <w:rsid w:val="00A012DE"/>
    <w:rsid w:val="00A0160D"/>
    <w:rsid w:val="00A03638"/>
    <w:rsid w:val="00A036A3"/>
    <w:rsid w:val="00A0476B"/>
    <w:rsid w:val="00A069D0"/>
    <w:rsid w:val="00A118F9"/>
    <w:rsid w:val="00A121FF"/>
    <w:rsid w:val="00A12E8B"/>
    <w:rsid w:val="00A1752D"/>
    <w:rsid w:val="00A20483"/>
    <w:rsid w:val="00A21246"/>
    <w:rsid w:val="00A217C4"/>
    <w:rsid w:val="00A2230B"/>
    <w:rsid w:val="00A26229"/>
    <w:rsid w:val="00A26C76"/>
    <w:rsid w:val="00A27943"/>
    <w:rsid w:val="00A344D5"/>
    <w:rsid w:val="00A40317"/>
    <w:rsid w:val="00A40C65"/>
    <w:rsid w:val="00A41547"/>
    <w:rsid w:val="00A4307C"/>
    <w:rsid w:val="00A4620F"/>
    <w:rsid w:val="00A55E9E"/>
    <w:rsid w:val="00A60201"/>
    <w:rsid w:val="00A61550"/>
    <w:rsid w:val="00A62030"/>
    <w:rsid w:val="00A63E81"/>
    <w:rsid w:val="00A66834"/>
    <w:rsid w:val="00A702F8"/>
    <w:rsid w:val="00A74D16"/>
    <w:rsid w:val="00A75D8A"/>
    <w:rsid w:val="00A77F11"/>
    <w:rsid w:val="00A80F08"/>
    <w:rsid w:val="00A813D5"/>
    <w:rsid w:val="00A90B30"/>
    <w:rsid w:val="00A92293"/>
    <w:rsid w:val="00A9306E"/>
    <w:rsid w:val="00A97CAD"/>
    <w:rsid w:val="00AA0CAF"/>
    <w:rsid w:val="00AA3737"/>
    <w:rsid w:val="00AA5866"/>
    <w:rsid w:val="00AA6A62"/>
    <w:rsid w:val="00AA7EAB"/>
    <w:rsid w:val="00AB398E"/>
    <w:rsid w:val="00AB4381"/>
    <w:rsid w:val="00AB5E15"/>
    <w:rsid w:val="00AB7849"/>
    <w:rsid w:val="00AC0260"/>
    <w:rsid w:val="00AC2245"/>
    <w:rsid w:val="00AC2C71"/>
    <w:rsid w:val="00AC39AA"/>
    <w:rsid w:val="00AC3A75"/>
    <w:rsid w:val="00AC3EC9"/>
    <w:rsid w:val="00AD1012"/>
    <w:rsid w:val="00AD1B46"/>
    <w:rsid w:val="00AD49BC"/>
    <w:rsid w:val="00AE0E6D"/>
    <w:rsid w:val="00AF0933"/>
    <w:rsid w:val="00AF53EB"/>
    <w:rsid w:val="00AF6455"/>
    <w:rsid w:val="00B00EAC"/>
    <w:rsid w:val="00B022A7"/>
    <w:rsid w:val="00B06C0E"/>
    <w:rsid w:val="00B07D70"/>
    <w:rsid w:val="00B10E93"/>
    <w:rsid w:val="00B17D43"/>
    <w:rsid w:val="00B21974"/>
    <w:rsid w:val="00B22712"/>
    <w:rsid w:val="00B24E61"/>
    <w:rsid w:val="00B24E89"/>
    <w:rsid w:val="00B24EE3"/>
    <w:rsid w:val="00B33E4B"/>
    <w:rsid w:val="00B3728C"/>
    <w:rsid w:val="00B40B24"/>
    <w:rsid w:val="00B4248E"/>
    <w:rsid w:val="00B47364"/>
    <w:rsid w:val="00B53340"/>
    <w:rsid w:val="00B54185"/>
    <w:rsid w:val="00B54CA2"/>
    <w:rsid w:val="00B61718"/>
    <w:rsid w:val="00B63DE1"/>
    <w:rsid w:val="00B7685C"/>
    <w:rsid w:val="00B870F0"/>
    <w:rsid w:val="00B87197"/>
    <w:rsid w:val="00B90345"/>
    <w:rsid w:val="00B90B36"/>
    <w:rsid w:val="00B90F30"/>
    <w:rsid w:val="00B94DEC"/>
    <w:rsid w:val="00B971BC"/>
    <w:rsid w:val="00BA237C"/>
    <w:rsid w:val="00BA2707"/>
    <w:rsid w:val="00BA3279"/>
    <w:rsid w:val="00BA38ED"/>
    <w:rsid w:val="00BA6A7E"/>
    <w:rsid w:val="00BB14CC"/>
    <w:rsid w:val="00BB2F30"/>
    <w:rsid w:val="00BB46FB"/>
    <w:rsid w:val="00BB56F3"/>
    <w:rsid w:val="00BC133C"/>
    <w:rsid w:val="00BC393C"/>
    <w:rsid w:val="00BC7789"/>
    <w:rsid w:val="00BD114C"/>
    <w:rsid w:val="00BD1569"/>
    <w:rsid w:val="00BD2722"/>
    <w:rsid w:val="00BD3F01"/>
    <w:rsid w:val="00BD515E"/>
    <w:rsid w:val="00BD527B"/>
    <w:rsid w:val="00BD7A2B"/>
    <w:rsid w:val="00BE0272"/>
    <w:rsid w:val="00BE5DB0"/>
    <w:rsid w:val="00BE63F0"/>
    <w:rsid w:val="00BE669E"/>
    <w:rsid w:val="00BE7CF1"/>
    <w:rsid w:val="00BF0B03"/>
    <w:rsid w:val="00BF1F85"/>
    <w:rsid w:val="00BF2A56"/>
    <w:rsid w:val="00C00036"/>
    <w:rsid w:val="00C02F39"/>
    <w:rsid w:val="00C05575"/>
    <w:rsid w:val="00C1003A"/>
    <w:rsid w:val="00C112A5"/>
    <w:rsid w:val="00C1304A"/>
    <w:rsid w:val="00C13A5E"/>
    <w:rsid w:val="00C14EA1"/>
    <w:rsid w:val="00C153BF"/>
    <w:rsid w:val="00C171A9"/>
    <w:rsid w:val="00C201C8"/>
    <w:rsid w:val="00C22664"/>
    <w:rsid w:val="00C26650"/>
    <w:rsid w:val="00C3000B"/>
    <w:rsid w:val="00C312D2"/>
    <w:rsid w:val="00C31F5B"/>
    <w:rsid w:val="00C32422"/>
    <w:rsid w:val="00C32AAE"/>
    <w:rsid w:val="00C33883"/>
    <w:rsid w:val="00C35124"/>
    <w:rsid w:val="00C5512D"/>
    <w:rsid w:val="00C55DE2"/>
    <w:rsid w:val="00C63FC6"/>
    <w:rsid w:val="00C6675F"/>
    <w:rsid w:val="00C6769A"/>
    <w:rsid w:val="00C70BAA"/>
    <w:rsid w:val="00C7126A"/>
    <w:rsid w:val="00C72614"/>
    <w:rsid w:val="00C728D0"/>
    <w:rsid w:val="00C733B6"/>
    <w:rsid w:val="00C74B36"/>
    <w:rsid w:val="00C74C8F"/>
    <w:rsid w:val="00C7722B"/>
    <w:rsid w:val="00C80711"/>
    <w:rsid w:val="00C80721"/>
    <w:rsid w:val="00C814B5"/>
    <w:rsid w:val="00C81C16"/>
    <w:rsid w:val="00C8438E"/>
    <w:rsid w:val="00C86E56"/>
    <w:rsid w:val="00C91578"/>
    <w:rsid w:val="00C92D7E"/>
    <w:rsid w:val="00C956E0"/>
    <w:rsid w:val="00CA462A"/>
    <w:rsid w:val="00CA67D1"/>
    <w:rsid w:val="00CA70C0"/>
    <w:rsid w:val="00CB4186"/>
    <w:rsid w:val="00CB4E07"/>
    <w:rsid w:val="00CB5665"/>
    <w:rsid w:val="00CC109A"/>
    <w:rsid w:val="00CC4704"/>
    <w:rsid w:val="00CC7AC4"/>
    <w:rsid w:val="00CD0EF4"/>
    <w:rsid w:val="00CD3393"/>
    <w:rsid w:val="00CD4EA1"/>
    <w:rsid w:val="00CD55A1"/>
    <w:rsid w:val="00CD7B5C"/>
    <w:rsid w:val="00CF483B"/>
    <w:rsid w:val="00CF6737"/>
    <w:rsid w:val="00D01B00"/>
    <w:rsid w:val="00D058E8"/>
    <w:rsid w:val="00D05DFE"/>
    <w:rsid w:val="00D15AED"/>
    <w:rsid w:val="00D15E69"/>
    <w:rsid w:val="00D17C45"/>
    <w:rsid w:val="00D17C97"/>
    <w:rsid w:val="00D20555"/>
    <w:rsid w:val="00D21931"/>
    <w:rsid w:val="00D2389F"/>
    <w:rsid w:val="00D33B29"/>
    <w:rsid w:val="00D34CA4"/>
    <w:rsid w:val="00D353DF"/>
    <w:rsid w:val="00D36B4E"/>
    <w:rsid w:val="00D373D1"/>
    <w:rsid w:val="00D41B1B"/>
    <w:rsid w:val="00D4368C"/>
    <w:rsid w:val="00D441DE"/>
    <w:rsid w:val="00D46564"/>
    <w:rsid w:val="00D475B0"/>
    <w:rsid w:val="00D51389"/>
    <w:rsid w:val="00D5438A"/>
    <w:rsid w:val="00D54916"/>
    <w:rsid w:val="00D5496E"/>
    <w:rsid w:val="00D67483"/>
    <w:rsid w:val="00D7228B"/>
    <w:rsid w:val="00D734FD"/>
    <w:rsid w:val="00D76877"/>
    <w:rsid w:val="00D772E3"/>
    <w:rsid w:val="00D84AA9"/>
    <w:rsid w:val="00D86380"/>
    <w:rsid w:val="00D87C6F"/>
    <w:rsid w:val="00D91048"/>
    <w:rsid w:val="00D9186F"/>
    <w:rsid w:val="00D9398C"/>
    <w:rsid w:val="00D946DE"/>
    <w:rsid w:val="00DA2DF3"/>
    <w:rsid w:val="00DA37E4"/>
    <w:rsid w:val="00DA6530"/>
    <w:rsid w:val="00DB1573"/>
    <w:rsid w:val="00DB1DB5"/>
    <w:rsid w:val="00DB286A"/>
    <w:rsid w:val="00DB5E37"/>
    <w:rsid w:val="00DB6C66"/>
    <w:rsid w:val="00DC2B44"/>
    <w:rsid w:val="00DC3B80"/>
    <w:rsid w:val="00DC7E68"/>
    <w:rsid w:val="00DD4306"/>
    <w:rsid w:val="00DE5CA1"/>
    <w:rsid w:val="00DE74F7"/>
    <w:rsid w:val="00DF72EC"/>
    <w:rsid w:val="00DF7836"/>
    <w:rsid w:val="00DF79E1"/>
    <w:rsid w:val="00E01217"/>
    <w:rsid w:val="00E015E8"/>
    <w:rsid w:val="00E033BE"/>
    <w:rsid w:val="00E05F1F"/>
    <w:rsid w:val="00E062DA"/>
    <w:rsid w:val="00E069BF"/>
    <w:rsid w:val="00E1169C"/>
    <w:rsid w:val="00E124D5"/>
    <w:rsid w:val="00E21915"/>
    <w:rsid w:val="00E24F1A"/>
    <w:rsid w:val="00E26394"/>
    <w:rsid w:val="00E46B8C"/>
    <w:rsid w:val="00E47759"/>
    <w:rsid w:val="00E50061"/>
    <w:rsid w:val="00E50D1D"/>
    <w:rsid w:val="00E51A4D"/>
    <w:rsid w:val="00E52F63"/>
    <w:rsid w:val="00E54DAC"/>
    <w:rsid w:val="00E62E1D"/>
    <w:rsid w:val="00E63C12"/>
    <w:rsid w:val="00E657D2"/>
    <w:rsid w:val="00E66849"/>
    <w:rsid w:val="00E71365"/>
    <w:rsid w:val="00E71F48"/>
    <w:rsid w:val="00E727D1"/>
    <w:rsid w:val="00E72B2F"/>
    <w:rsid w:val="00E80A5E"/>
    <w:rsid w:val="00E842EF"/>
    <w:rsid w:val="00E84468"/>
    <w:rsid w:val="00E84AD2"/>
    <w:rsid w:val="00E84C4F"/>
    <w:rsid w:val="00E9305F"/>
    <w:rsid w:val="00EA535A"/>
    <w:rsid w:val="00EB5081"/>
    <w:rsid w:val="00EC0567"/>
    <w:rsid w:val="00EC4550"/>
    <w:rsid w:val="00EC4AB4"/>
    <w:rsid w:val="00EC72B6"/>
    <w:rsid w:val="00EC7DE4"/>
    <w:rsid w:val="00ED04C9"/>
    <w:rsid w:val="00ED0EFA"/>
    <w:rsid w:val="00ED6871"/>
    <w:rsid w:val="00EE482E"/>
    <w:rsid w:val="00EE4893"/>
    <w:rsid w:val="00EF60ED"/>
    <w:rsid w:val="00EF6E73"/>
    <w:rsid w:val="00F01A15"/>
    <w:rsid w:val="00F02477"/>
    <w:rsid w:val="00F02DCA"/>
    <w:rsid w:val="00F25D7F"/>
    <w:rsid w:val="00F2718B"/>
    <w:rsid w:val="00F2776A"/>
    <w:rsid w:val="00F43B61"/>
    <w:rsid w:val="00F47B15"/>
    <w:rsid w:val="00F47F68"/>
    <w:rsid w:val="00F56685"/>
    <w:rsid w:val="00F61F3E"/>
    <w:rsid w:val="00F622EC"/>
    <w:rsid w:val="00F63BE4"/>
    <w:rsid w:val="00F644E7"/>
    <w:rsid w:val="00F65EBB"/>
    <w:rsid w:val="00F66E0F"/>
    <w:rsid w:val="00F75735"/>
    <w:rsid w:val="00F84811"/>
    <w:rsid w:val="00F86BC0"/>
    <w:rsid w:val="00F93D32"/>
    <w:rsid w:val="00F96451"/>
    <w:rsid w:val="00F96BD4"/>
    <w:rsid w:val="00FA2EE7"/>
    <w:rsid w:val="00FA3537"/>
    <w:rsid w:val="00FA3DF3"/>
    <w:rsid w:val="00FA59A4"/>
    <w:rsid w:val="00FA7505"/>
    <w:rsid w:val="00FB11FC"/>
    <w:rsid w:val="00FB4CC2"/>
    <w:rsid w:val="00FE60E3"/>
    <w:rsid w:val="00FE6C41"/>
    <w:rsid w:val="00FF78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64DDF"/>
  <w15:chartTrackingRefBased/>
  <w15:docId w15:val="{AE3AF126-0948-4ACA-BAF7-B275375F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7A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A05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37"/>
  </w:style>
  <w:style w:type="paragraph" w:styleId="Stopka">
    <w:name w:val="footer"/>
    <w:basedOn w:val="Normalny"/>
    <w:link w:val="StopkaZnak"/>
    <w:uiPriority w:val="99"/>
    <w:unhideWhenUsed/>
    <w:rsid w:val="009A05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37"/>
  </w:style>
  <w:style w:type="paragraph" w:styleId="Poprawka">
    <w:name w:val="Revision"/>
    <w:hidden/>
    <w:uiPriority w:val="99"/>
    <w:semiHidden/>
    <w:rsid w:val="002F1515"/>
    <w:pPr>
      <w:spacing w:after="0" w:line="240" w:lineRule="auto"/>
    </w:pPr>
  </w:style>
  <w:style w:type="character" w:styleId="Odwoaniedokomentarza">
    <w:name w:val="annotation reference"/>
    <w:basedOn w:val="Domylnaczcionkaakapitu"/>
    <w:uiPriority w:val="99"/>
    <w:semiHidden/>
    <w:unhideWhenUsed/>
    <w:rsid w:val="00A55E9E"/>
    <w:rPr>
      <w:sz w:val="16"/>
      <w:szCs w:val="16"/>
    </w:rPr>
  </w:style>
  <w:style w:type="paragraph" w:styleId="Tekstkomentarza">
    <w:name w:val="annotation text"/>
    <w:basedOn w:val="Normalny"/>
    <w:link w:val="TekstkomentarzaZnak"/>
    <w:uiPriority w:val="99"/>
    <w:unhideWhenUsed/>
    <w:rsid w:val="00A55E9E"/>
    <w:pPr>
      <w:spacing w:line="240" w:lineRule="auto"/>
    </w:pPr>
    <w:rPr>
      <w:sz w:val="20"/>
      <w:szCs w:val="20"/>
    </w:rPr>
  </w:style>
  <w:style w:type="character" w:customStyle="1" w:styleId="TekstkomentarzaZnak">
    <w:name w:val="Tekst komentarza Znak"/>
    <w:basedOn w:val="Domylnaczcionkaakapitu"/>
    <w:link w:val="Tekstkomentarza"/>
    <w:uiPriority w:val="99"/>
    <w:rsid w:val="00A55E9E"/>
    <w:rPr>
      <w:sz w:val="20"/>
      <w:szCs w:val="20"/>
    </w:rPr>
  </w:style>
  <w:style w:type="paragraph" w:styleId="Tematkomentarza">
    <w:name w:val="annotation subject"/>
    <w:basedOn w:val="Tekstkomentarza"/>
    <w:next w:val="Tekstkomentarza"/>
    <w:link w:val="TematkomentarzaZnak"/>
    <w:uiPriority w:val="99"/>
    <w:semiHidden/>
    <w:unhideWhenUsed/>
    <w:rsid w:val="00A55E9E"/>
    <w:rPr>
      <w:b/>
      <w:bCs/>
    </w:rPr>
  </w:style>
  <w:style w:type="character" w:customStyle="1" w:styleId="TematkomentarzaZnak">
    <w:name w:val="Temat komentarza Znak"/>
    <w:basedOn w:val="TekstkomentarzaZnak"/>
    <w:link w:val="Tematkomentarza"/>
    <w:uiPriority w:val="99"/>
    <w:semiHidden/>
    <w:rsid w:val="00A55E9E"/>
    <w:rPr>
      <w:b/>
      <w:bCs/>
      <w:sz w:val="20"/>
      <w:szCs w:val="20"/>
    </w:rPr>
  </w:style>
  <w:style w:type="character" w:styleId="Hipercze">
    <w:name w:val="Hyperlink"/>
    <w:basedOn w:val="Domylnaczcionkaakapitu"/>
    <w:uiPriority w:val="99"/>
    <w:unhideWhenUsed/>
    <w:rsid w:val="008A1A3E"/>
    <w:rPr>
      <w:color w:val="0563C1" w:themeColor="hyperlink"/>
      <w:u w:val="single"/>
    </w:rPr>
  </w:style>
  <w:style w:type="character" w:styleId="Nierozpoznanawzmianka">
    <w:name w:val="Unresolved Mention"/>
    <w:basedOn w:val="Domylnaczcionkaakapitu"/>
    <w:uiPriority w:val="99"/>
    <w:semiHidden/>
    <w:unhideWhenUsed/>
    <w:rsid w:val="008A1A3E"/>
    <w:rPr>
      <w:color w:val="605E5C"/>
      <w:shd w:val="clear" w:color="auto" w:fill="E1DFDD"/>
    </w:rPr>
  </w:style>
  <w:style w:type="paragraph" w:styleId="Tekstprzypisukocowego">
    <w:name w:val="endnote text"/>
    <w:basedOn w:val="Normalny"/>
    <w:link w:val="TekstprzypisukocowegoZnak"/>
    <w:uiPriority w:val="99"/>
    <w:semiHidden/>
    <w:unhideWhenUsed/>
    <w:rsid w:val="005454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5478"/>
    <w:rPr>
      <w:sz w:val="20"/>
      <w:szCs w:val="20"/>
    </w:rPr>
  </w:style>
  <w:style w:type="character" w:styleId="Odwoanieprzypisukocowego">
    <w:name w:val="endnote reference"/>
    <w:basedOn w:val="Domylnaczcionkaakapitu"/>
    <w:uiPriority w:val="99"/>
    <w:semiHidden/>
    <w:unhideWhenUsed/>
    <w:rsid w:val="00545478"/>
    <w:rPr>
      <w:vertAlign w:val="superscript"/>
    </w:rPr>
  </w:style>
  <w:style w:type="character" w:customStyle="1" w:styleId="apple-converted-space">
    <w:name w:val="apple-converted-space"/>
    <w:basedOn w:val="Domylnaczcionkaakapitu"/>
    <w:rsid w:val="00AA7EAB"/>
  </w:style>
  <w:style w:type="paragraph" w:styleId="Akapitzlist">
    <w:name w:val="List Paragraph"/>
    <w:basedOn w:val="Normalny"/>
    <w:uiPriority w:val="34"/>
    <w:qFormat/>
    <w:rsid w:val="00A40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4052">
      <w:bodyDiv w:val="1"/>
      <w:marLeft w:val="0"/>
      <w:marRight w:val="0"/>
      <w:marTop w:val="0"/>
      <w:marBottom w:val="0"/>
      <w:divBdr>
        <w:top w:val="none" w:sz="0" w:space="0" w:color="auto"/>
        <w:left w:val="none" w:sz="0" w:space="0" w:color="auto"/>
        <w:bottom w:val="none" w:sz="0" w:space="0" w:color="auto"/>
        <w:right w:val="none" w:sz="0" w:space="0" w:color="auto"/>
      </w:divBdr>
      <w:divsChild>
        <w:div w:id="1584103119">
          <w:marLeft w:val="0"/>
          <w:marRight w:val="0"/>
          <w:marTop w:val="0"/>
          <w:marBottom w:val="0"/>
          <w:divBdr>
            <w:top w:val="none" w:sz="0" w:space="0" w:color="auto"/>
            <w:left w:val="none" w:sz="0" w:space="0" w:color="auto"/>
            <w:bottom w:val="none" w:sz="0" w:space="0" w:color="auto"/>
            <w:right w:val="none" w:sz="0" w:space="0" w:color="auto"/>
          </w:divBdr>
          <w:divsChild>
            <w:div w:id="871575344">
              <w:marLeft w:val="0"/>
              <w:marRight w:val="0"/>
              <w:marTop w:val="0"/>
              <w:marBottom w:val="0"/>
              <w:divBdr>
                <w:top w:val="none" w:sz="0" w:space="0" w:color="auto"/>
                <w:left w:val="none" w:sz="0" w:space="0" w:color="auto"/>
                <w:bottom w:val="none" w:sz="0" w:space="0" w:color="auto"/>
                <w:right w:val="none" w:sz="0" w:space="0" w:color="auto"/>
              </w:divBdr>
              <w:divsChild>
                <w:div w:id="623847101">
                  <w:marLeft w:val="0"/>
                  <w:marRight w:val="0"/>
                  <w:marTop w:val="0"/>
                  <w:marBottom w:val="0"/>
                  <w:divBdr>
                    <w:top w:val="none" w:sz="0" w:space="0" w:color="auto"/>
                    <w:left w:val="none" w:sz="0" w:space="0" w:color="auto"/>
                    <w:bottom w:val="none" w:sz="0" w:space="0" w:color="auto"/>
                    <w:right w:val="none" w:sz="0" w:space="0" w:color="auto"/>
                  </w:divBdr>
                  <w:divsChild>
                    <w:div w:id="167251620">
                      <w:marLeft w:val="0"/>
                      <w:marRight w:val="0"/>
                      <w:marTop w:val="0"/>
                      <w:marBottom w:val="0"/>
                      <w:divBdr>
                        <w:top w:val="none" w:sz="0" w:space="0" w:color="auto"/>
                        <w:left w:val="none" w:sz="0" w:space="0" w:color="auto"/>
                        <w:bottom w:val="none" w:sz="0" w:space="0" w:color="auto"/>
                        <w:right w:val="none" w:sz="0" w:space="0" w:color="auto"/>
                      </w:divBdr>
                      <w:divsChild>
                        <w:div w:id="472213094">
                          <w:marLeft w:val="0"/>
                          <w:marRight w:val="0"/>
                          <w:marTop w:val="0"/>
                          <w:marBottom w:val="0"/>
                          <w:divBdr>
                            <w:top w:val="none" w:sz="0" w:space="0" w:color="auto"/>
                            <w:left w:val="none" w:sz="0" w:space="0" w:color="auto"/>
                            <w:bottom w:val="none" w:sz="0" w:space="0" w:color="auto"/>
                            <w:right w:val="none" w:sz="0" w:space="0" w:color="auto"/>
                          </w:divBdr>
                          <w:divsChild>
                            <w:div w:id="1088234826">
                              <w:marLeft w:val="0"/>
                              <w:marRight w:val="0"/>
                              <w:marTop w:val="0"/>
                              <w:marBottom w:val="0"/>
                              <w:divBdr>
                                <w:top w:val="none" w:sz="0" w:space="0" w:color="auto"/>
                                <w:left w:val="none" w:sz="0" w:space="0" w:color="auto"/>
                                <w:bottom w:val="none" w:sz="0" w:space="0" w:color="auto"/>
                                <w:right w:val="none" w:sz="0" w:space="0" w:color="auto"/>
                              </w:divBdr>
                              <w:divsChild>
                                <w:div w:id="656306499">
                                  <w:marLeft w:val="0"/>
                                  <w:marRight w:val="0"/>
                                  <w:marTop w:val="0"/>
                                  <w:marBottom w:val="0"/>
                                  <w:divBdr>
                                    <w:top w:val="none" w:sz="0" w:space="0" w:color="auto"/>
                                    <w:left w:val="none" w:sz="0" w:space="0" w:color="auto"/>
                                    <w:bottom w:val="none" w:sz="0" w:space="0" w:color="auto"/>
                                    <w:right w:val="none" w:sz="0" w:space="0" w:color="auto"/>
                                  </w:divBdr>
                                  <w:divsChild>
                                    <w:div w:id="1882866674">
                                      <w:marLeft w:val="0"/>
                                      <w:marRight w:val="0"/>
                                      <w:marTop w:val="0"/>
                                      <w:marBottom w:val="0"/>
                                      <w:divBdr>
                                        <w:top w:val="none" w:sz="0" w:space="0" w:color="auto"/>
                                        <w:left w:val="none" w:sz="0" w:space="0" w:color="auto"/>
                                        <w:bottom w:val="none" w:sz="0" w:space="0" w:color="auto"/>
                                        <w:right w:val="none" w:sz="0" w:space="0" w:color="auto"/>
                                      </w:divBdr>
                                      <w:divsChild>
                                        <w:div w:id="14955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766613">
          <w:marLeft w:val="0"/>
          <w:marRight w:val="0"/>
          <w:marTop w:val="0"/>
          <w:marBottom w:val="0"/>
          <w:divBdr>
            <w:top w:val="none" w:sz="0" w:space="0" w:color="auto"/>
            <w:left w:val="none" w:sz="0" w:space="0" w:color="auto"/>
            <w:bottom w:val="none" w:sz="0" w:space="0" w:color="auto"/>
            <w:right w:val="none" w:sz="0" w:space="0" w:color="auto"/>
          </w:divBdr>
          <w:divsChild>
            <w:div w:id="587889035">
              <w:marLeft w:val="0"/>
              <w:marRight w:val="0"/>
              <w:marTop w:val="0"/>
              <w:marBottom w:val="0"/>
              <w:divBdr>
                <w:top w:val="none" w:sz="0" w:space="0" w:color="auto"/>
                <w:left w:val="none" w:sz="0" w:space="0" w:color="auto"/>
                <w:bottom w:val="none" w:sz="0" w:space="0" w:color="auto"/>
                <w:right w:val="none" w:sz="0" w:space="0" w:color="auto"/>
              </w:divBdr>
              <w:divsChild>
                <w:div w:id="49037661">
                  <w:marLeft w:val="0"/>
                  <w:marRight w:val="0"/>
                  <w:marTop w:val="0"/>
                  <w:marBottom w:val="0"/>
                  <w:divBdr>
                    <w:top w:val="none" w:sz="0" w:space="0" w:color="auto"/>
                    <w:left w:val="none" w:sz="0" w:space="0" w:color="auto"/>
                    <w:bottom w:val="none" w:sz="0" w:space="0" w:color="auto"/>
                    <w:right w:val="none" w:sz="0" w:space="0" w:color="auto"/>
                  </w:divBdr>
                  <w:divsChild>
                    <w:div w:id="1938177509">
                      <w:marLeft w:val="0"/>
                      <w:marRight w:val="0"/>
                      <w:marTop w:val="0"/>
                      <w:marBottom w:val="0"/>
                      <w:divBdr>
                        <w:top w:val="none" w:sz="0" w:space="0" w:color="auto"/>
                        <w:left w:val="none" w:sz="0" w:space="0" w:color="auto"/>
                        <w:bottom w:val="none" w:sz="0" w:space="0" w:color="auto"/>
                        <w:right w:val="none" w:sz="0" w:space="0" w:color="auto"/>
                      </w:divBdr>
                      <w:divsChild>
                        <w:div w:id="1843473434">
                          <w:marLeft w:val="0"/>
                          <w:marRight w:val="0"/>
                          <w:marTop w:val="0"/>
                          <w:marBottom w:val="0"/>
                          <w:divBdr>
                            <w:top w:val="none" w:sz="0" w:space="0" w:color="auto"/>
                            <w:left w:val="none" w:sz="0" w:space="0" w:color="auto"/>
                            <w:bottom w:val="none" w:sz="0" w:space="0" w:color="auto"/>
                            <w:right w:val="none" w:sz="0" w:space="0" w:color="auto"/>
                          </w:divBdr>
                          <w:divsChild>
                            <w:div w:id="1369525820">
                              <w:marLeft w:val="0"/>
                              <w:marRight w:val="0"/>
                              <w:marTop w:val="0"/>
                              <w:marBottom w:val="0"/>
                              <w:divBdr>
                                <w:top w:val="none" w:sz="0" w:space="0" w:color="auto"/>
                                <w:left w:val="none" w:sz="0" w:space="0" w:color="auto"/>
                                <w:bottom w:val="none" w:sz="0" w:space="0" w:color="auto"/>
                                <w:right w:val="none" w:sz="0" w:space="0" w:color="auto"/>
                              </w:divBdr>
                              <w:divsChild>
                                <w:div w:id="1063139237">
                                  <w:marLeft w:val="0"/>
                                  <w:marRight w:val="0"/>
                                  <w:marTop w:val="0"/>
                                  <w:marBottom w:val="0"/>
                                  <w:divBdr>
                                    <w:top w:val="none" w:sz="0" w:space="0" w:color="auto"/>
                                    <w:left w:val="none" w:sz="0" w:space="0" w:color="auto"/>
                                    <w:bottom w:val="none" w:sz="0" w:space="0" w:color="auto"/>
                                    <w:right w:val="none" w:sz="0" w:space="0" w:color="auto"/>
                                  </w:divBdr>
                                  <w:divsChild>
                                    <w:div w:id="18963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868139">
      <w:bodyDiv w:val="1"/>
      <w:marLeft w:val="0"/>
      <w:marRight w:val="0"/>
      <w:marTop w:val="0"/>
      <w:marBottom w:val="0"/>
      <w:divBdr>
        <w:top w:val="none" w:sz="0" w:space="0" w:color="auto"/>
        <w:left w:val="none" w:sz="0" w:space="0" w:color="auto"/>
        <w:bottom w:val="none" w:sz="0" w:space="0" w:color="auto"/>
        <w:right w:val="none" w:sz="0" w:space="0" w:color="auto"/>
      </w:divBdr>
      <w:divsChild>
        <w:div w:id="806433609">
          <w:marLeft w:val="0"/>
          <w:marRight w:val="0"/>
          <w:marTop w:val="0"/>
          <w:marBottom w:val="0"/>
          <w:divBdr>
            <w:top w:val="none" w:sz="0" w:space="0" w:color="auto"/>
            <w:left w:val="none" w:sz="0" w:space="0" w:color="auto"/>
            <w:bottom w:val="none" w:sz="0" w:space="0" w:color="auto"/>
            <w:right w:val="none" w:sz="0" w:space="0" w:color="auto"/>
          </w:divBdr>
          <w:divsChild>
            <w:div w:id="1503230726">
              <w:marLeft w:val="0"/>
              <w:marRight w:val="0"/>
              <w:marTop w:val="0"/>
              <w:marBottom w:val="0"/>
              <w:divBdr>
                <w:top w:val="none" w:sz="0" w:space="0" w:color="auto"/>
                <w:left w:val="none" w:sz="0" w:space="0" w:color="auto"/>
                <w:bottom w:val="none" w:sz="0" w:space="0" w:color="auto"/>
                <w:right w:val="none" w:sz="0" w:space="0" w:color="auto"/>
              </w:divBdr>
              <w:divsChild>
                <w:div w:id="43413654">
                  <w:marLeft w:val="0"/>
                  <w:marRight w:val="0"/>
                  <w:marTop w:val="0"/>
                  <w:marBottom w:val="0"/>
                  <w:divBdr>
                    <w:top w:val="none" w:sz="0" w:space="0" w:color="auto"/>
                    <w:left w:val="none" w:sz="0" w:space="0" w:color="auto"/>
                    <w:bottom w:val="none" w:sz="0" w:space="0" w:color="auto"/>
                    <w:right w:val="none" w:sz="0" w:space="0" w:color="auto"/>
                  </w:divBdr>
                  <w:divsChild>
                    <w:div w:id="116921839">
                      <w:marLeft w:val="0"/>
                      <w:marRight w:val="0"/>
                      <w:marTop w:val="0"/>
                      <w:marBottom w:val="0"/>
                      <w:divBdr>
                        <w:top w:val="none" w:sz="0" w:space="0" w:color="auto"/>
                        <w:left w:val="none" w:sz="0" w:space="0" w:color="auto"/>
                        <w:bottom w:val="none" w:sz="0" w:space="0" w:color="auto"/>
                        <w:right w:val="none" w:sz="0" w:space="0" w:color="auto"/>
                      </w:divBdr>
                      <w:divsChild>
                        <w:div w:id="586117925">
                          <w:marLeft w:val="0"/>
                          <w:marRight w:val="0"/>
                          <w:marTop w:val="0"/>
                          <w:marBottom w:val="0"/>
                          <w:divBdr>
                            <w:top w:val="none" w:sz="0" w:space="0" w:color="auto"/>
                            <w:left w:val="none" w:sz="0" w:space="0" w:color="auto"/>
                            <w:bottom w:val="none" w:sz="0" w:space="0" w:color="auto"/>
                            <w:right w:val="none" w:sz="0" w:space="0" w:color="auto"/>
                          </w:divBdr>
                          <w:divsChild>
                            <w:div w:id="916406371">
                              <w:marLeft w:val="0"/>
                              <w:marRight w:val="0"/>
                              <w:marTop w:val="0"/>
                              <w:marBottom w:val="0"/>
                              <w:divBdr>
                                <w:top w:val="none" w:sz="0" w:space="0" w:color="auto"/>
                                <w:left w:val="none" w:sz="0" w:space="0" w:color="auto"/>
                                <w:bottom w:val="none" w:sz="0" w:space="0" w:color="auto"/>
                                <w:right w:val="none" w:sz="0" w:space="0" w:color="auto"/>
                              </w:divBdr>
                              <w:divsChild>
                                <w:div w:id="553391617">
                                  <w:marLeft w:val="0"/>
                                  <w:marRight w:val="0"/>
                                  <w:marTop w:val="0"/>
                                  <w:marBottom w:val="0"/>
                                  <w:divBdr>
                                    <w:top w:val="none" w:sz="0" w:space="0" w:color="auto"/>
                                    <w:left w:val="none" w:sz="0" w:space="0" w:color="auto"/>
                                    <w:bottom w:val="none" w:sz="0" w:space="0" w:color="auto"/>
                                    <w:right w:val="none" w:sz="0" w:space="0" w:color="auto"/>
                                  </w:divBdr>
                                  <w:divsChild>
                                    <w:div w:id="16031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377135">
          <w:marLeft w:val="0"/>
          <w:marRight w:val="0"/>
          <w:marTop w:val="0"/>
          <w:marBottom w:val="0"/>
          <w:divBdr>
            <w:top w:val="none" w:sz="0" w:space="0" w:color="auto"/>
            <w:left w:val="none" w:sz="0" w:space="0" w:color="auto"/>
            <w:bottom w:val="none" w:sz="0" w:space="0" w:color="auto"/>
            <w:right w:val="none" w:sz="0" w:space="0" w:color="auto"/>
          </w:divBdr>
          <w:divsChild>
            <w:div w:id="1924411934">
              <w:marLeft w:val="0"/>
              <w:marRight w:val="0"/>
              <w:marTop w:val="0"/>
              <w:marBottom w:val="0"/>
              <w:divBdr>
                <w:top w:val="none" w:sz="0" w:space="0" w:color="auto"/>
                <w:left w:val="none" w:sz="0" w:space="0" w:color="auto"/>
                <w:bottom w:val="none" w:sz="0" w:space="0" w:color="auto"/>
                <w:right w:val="none" w:sz="0" w:space="0" w:color="auto"/>
              </w:divBdr>
              <w:divsChild>
                <w:div w:id="151528196">
                  <w:marLeft w:val="0"/>
                  <w:marRight w:val="0"/>
                  <w:marTop w:val="0"/>
                  <w:marBottom w:val="0"/>
                  <w:divBdr>
                    <w:top w:val="none" w:sz="0" w:space="0" w:color="auto"/>
                    <w:left w:val="none" w:sz="0" w:space="0" w:color="auto"/>
                    <w:bottom w:val="none" w:sz="0" w:space="0" w:color="auto"/>
                    <w:right w:val="none" w:sz="0" w:space="0" w:color="auto"/>
                  </w:divBdr>
                  <w:divsChild>
                    <w:div w:id="1316956977">
                      <w:marLeft w:val="0"/>
                      <w:marRight w:val="0"/>
                      <w:marTop w:val="0"/>
                      <w:marBottom w:val="0"/>
                      <w:divBdr>
                        <w:top w:val="none" w:sz="0" w:space="0" w:color="auto"/>
                        <w:left w:val="none" w:sz="0" w:space="0" w:color="auto"/>
                        <w:bottom w:val="none" w:sz="0" w:space="0" w:color="auto"/>
                        <w:right w:val="none" w:sz="0" w:space="0" w:color="auto"/>
                      </w:divBdr>
                      <w:divsChild>
                        <w:div w:id="124197221">
                          <w:marLeft w:val="0"/>
                          <w:marRight w:val="0"/>
                          <w:marTop w:val="0"/>
                          <w:marBottom w:val="0"/>
                          <w:divBdr>
                            <w:top w:val="none" w:sz="0" w:space="0" w:color="auto"/>
                            <w:left w:val="none" w:sz="0" w:space="0" w:color="auto"/>
                            <w:bottom w:val="none" w:sz="0" w:space="0" w:color="auto"/>
                            <w:right w:val="none" w:sz="0" w:space="0" w:color="auto"/>
                          </w:divBdr>
                          <w:divsChild>
                            <w:div w:id="310985463">
                              <w:marLeft w:val="0"/>
                              <w:marRight w:val="0"/>
                              <w:marTop w:val="0"/>
                              <w:marBottom w:val="0"/>
                              <w:divBdr>
                                <w:top w:val="none" w:sz="0" w:space="0" w:color="auto"/>
                                <w:left w:val="none" w:sz="0" w:space="0" w:color="auto"/>
                                <w:bottom w:val="none" w:sz="0" w:space="0" w:color="auto"/>
                                <w:right w:val="none" w:sz="0" w:space="0" w:color="auto"/>
                              </w:divBdr>
                              <w:divsChild>
                                <w:div w:id="1468207946">
                                  <w:marLeft w:val="0"/>
                                  <w:marRight w:val="0"/>
                                  <w:marTop w:val="0"/>
                                  <w:marBottom w:val="0"/>
                                  <w:divBdr>
                                    <w:top w:val="none" w:sz="0" w:space="0" w:color="auto"/>
                                    <w:left w:val="none" w:sz="0" w:space="0" w:color="auto"/>
                                    <w:bottom w:val="none" w:sz="0" w:space="0" w:color="auto"/>
                                    <w:right w:val="none" w:sz="0" w:space="0" w:color="auto"/>
                                  </w:divBdr>
                                  <w:divsChild>
                                    <w:div w:id="1444226977">
                                      <w:marLeft w:val="0"/>
                                      <w:marRight w:val="0"/>
                                      <w:marTop w:val="0"/>
                                      <w:marBottom w:val="0"/>
                                      <w:divBdr>
                                        <w:top w:val="none" w:sz="0" w:space="0" w:color="auto"/>
                                        <w:left w:val="none" w:sz="0" w:space="0" w:color="auto"/>
                                        <w:bottom w:val="none" w:sz="0" w:space="0" w:color="auto"/>
                                        <w:right w:val="none" w:sz="0" w:space="0" w:color="auto"/>
                                      </w:divBdr>
                                      <w:divsChild>
                                        <w:div w:id="17274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295177">
      <w:bodyDiv w:val="1"/>
      <w:marLeft w:val="0"/>
      <w:marRight w:val="0"/>
      <w:marTop w:val="0"/>
      <w:marBottom w:val="0"/>
      <w:divBdr>
        <w:top w:val="none" w:sz="0" w:space="0" w:color="auto"/>
        <w:left w:val="none" w:sz="0" w:space="0" w:color="auto"/>
        <w:bottom w:val="none" w:sz="0" w:space="0" w:color="auto"/>
        <w:right w:val="none" w:sz="0" w:space="0" w:color="auto"/>
      </w:divBdr>
    </w:div>
    <w:div w:id="430247537">
      <w:bodyDiv w:val="1"/>
      <w:marLeft w:val="0"/>
      <w:marRight w:val="0"/>
      <w:marTop w:val="0"/>
      <w:marBottom w:val="0"/>
      <w:divBdr>
        <w:top w:val="none" w:sz="0" w:space="0" w:color="auto"/>
        <w:left w:val="none" w:sz="0" w:space="0" w:color="auto"/>
        <w:bottom w:val="none" w:sz="0" w:space="0" w:color="auto"/>
        <w:right w:val="none" w:sz="0" w:space="0" w:color="auto"/>
      </w:divBdr>
    </w:div>
    <w:div w:id="566957758">
      <w:bodyDiv w:val="1"/>
      <w:marLeft w:val="0"/>
      <w:marRight w:val="0"/>
      <w:marTop w:val="0"/>
      <w:marBottom w:val="0"/>
      <w:divBdr>
        <w:top w:val="none" w:sz="0" w:space="0" w:color="auto"/>
        <w:left w:val="none" w:sz="0" w:space="0" w:color="auto"/>
        <w:bottom w:val="none" w:sz="0" w:space="0" w:color="auto"/>
        <w:right w:val="none" w:sz="0" w:space="0" w:color="auto"/>
      </w:divBdr>
    </w:div>
    <w:div w:id="567689305">
      <w:bodyDiv w:val="1"/>
      <w:marLeft w:val="0"/>
      <w:marRight w:val="0"/>
      <w:marTop w:val="0"/>
      <w:marBottom w:val="0"/>
      <w:divBdr>
        <w:top w:val="none" w:sz="0" w:space="0" w:color="auto"/>
        <w:left w:val="none" w:sz="0" w:space="0" w:color="auto"/>
        <w:bottom w:val="none" w:sz="0" w:space="0" w:color="auto"/>
        <w:right w:val="none" w:sz="0" w:space="0" w:color="auto"/>
      </w:divBdr>
    </w:div>
    <w:div w:id="666397732">
      <w:bodyDiv w:val="1"/>
      <w:marLeft w:val="0"/>
      <w:marRight w:val="0"/>
      <w:marTop w:val="0"/>
      <w:marBottom w:val="0"/>
      <w:divBdr>
        <w:top w:val="none" w:sz="0" w:space="0" w:color="auto"/>
        <w:left w:val="none" w:sz="0" w:space="0" w:color="auto"/>
        <w:bottom w:val="none" w:sz="0" w:space="0" w:color="auto"/>
        <w:right w:val="none" w:sz="0" w:space="0" w:color="auto"/>
      </w:divBdr>
    </w:div>
    <w:div w:id="709454098">
      <w:bodyDiv w:val="1"/>
      <w:marLeft w:val="0"/>
      <w:marRight w:val="0"/>
      <w:marTop w:val="0"/>
      <w:marBottom w:val="0"/>
      <w:divBdr>
        <w:top w:val="none" w:sz="0" w:space="0" w:color="auto"/>
        <w:left w:val="none" w:sz="0" w:space="0" w:color="auto"/>
        <w:bottom w:val="none" w:sz="0" w:space="0" w:color="auto"/>
        <w:right w:val="none" w:sz="0" w:space="0" w:color="auto"/>
      </w:divBdr>
    </w:div>
    <w:div w:id="958218005">
      <w:bodyDiv w:val="1"/>
      <w:marLeft w:val="0"/>
      <w:marRight w:val="0"/>
      <w:marTop w:val="0"/>
      <w:marBottom w:val="0"/>
      <w:divBdr>
        <w:top w:val="none" w:sz="0" w:space="0" w:color="auto"/>
        <w:left w:val="none" w:sz="0" w:space="0" w:color="auto"/>
        <w:bottom w:val="none" w:sz="0" w:space="0" w:color="auto"/>
        <w:right w:val="none" w:sz="0" w:space="0" w:color="auto"/>
      </w:divBdr>
    </w:div>
    <w:div w:id="1106583440">
      <w:bodyDiv w:val="1"/>
      <w:marLeft w:val="0"/>
      <w:marRight w:val="0"/>
      <w:marTop w:val="0"/>
      <w:marBottom w:val="0"/>
      <w:divBdr>
        <w:top w:val="none" w:sz="0" w:space="0" w:color="auto"/>
        <w:left w:val="none" w:sz="0" w:space="0" w:color="auto"/>
        <w:bottom w:val="none" w:sz="0" w:space="0" w:color="auto"/>
        <w:right w:val="none" w:sz="0" w:space="0" w:color="auto"/>
      </w:divBdr>
    </w:div>
    <w:div w:id="1107045264">
      <w:bodyDiv w:val="1"/>
      <w:marLeft w:val="0"/>
      <w:marRight w:val="0"/>
      <w:marTop w:val="0"/>
      <w:marBottom w:val="0"/>
      <w:divBdr>
        <w:top w:val="none" w:sz="0" w:space="0" w:color="auto"/>
        <w:left w:val="none" w:sz="0" w:space="0" w:color="auto"/>
        <w:bottom w:val="none" w:sz="0" w:space="0" w:color="auto"/>
        <w:right w:val="none" w:sz="0" w:space="0" w:color="auto"/>
      </w:divBdr>
    </w:div>
    <w:div w:id="1381713234">
      <w:bodyDiv w:val="1"/>
      <w:marLeft w:val="0"/>
      <w:marRight w:val="0"/>
      <w:marTop w:val="0"/>
      <w:marBottom w:val="0"/>
      <w:divBdr>
        <w:top w:val="none" w:sz="0" w:space="0" w:color="auto"/>
        <w:left w:val="none" w:sz="0" w:space="0" w:color="auto"/>
        <w:bottom w:val="none" w:sz="0" w:space="0" w:color="auto"/>
        <w:right w:val="none" w:sz="0" w:space="0" w:color="auto"/>
      </w:divBdr>
    </w:div>
    <w:div w:id="1982420841">
      <w:bodyDiv w:val="1"/>
      <w:marLeft w:val="0"/>
      <w:marRight w:val="0"/>
      <w:marTop w:val="0"/>
      <w:marBottom w:val="0"/>
      <w:divBdr>
        <w:top w:val="none" w:sz="0" w:space="0" w:color="auto"/>
        <w:left w:val="none" w:sz="0" w:space="0" w:color="auto"/>
        <w:bottom w:val="none" w:sz="0" w:space="0" w:color="auto"/>
        <w:right w:val="none" w:sz="0" w:space="0" w:color="auto"/>
      </w:divBdr>
    </w:div>
    <w:div w:id="2015306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7" ma:contentTypeDescription="Create a new document." ma:contentTypeScope="" ma:versionID="d4eedba06b772320ad92c4f20419bbfc">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ce818b489b55f6b6a86b6eb6e1ef1868"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D9A3F-4517-4ECF-9A88-8D468DFF3429}">
  <ds:schemaRefs>
    <ds:schemaRef ds:uri="http://schemas.microsoft.com/office/2006/metadata/properties"/>
    <ds:schemaRef ds:uri="http://schemas.microsoft.com/office/infopath/2007/PartnerControls"/>
    <ds:schemaRef ds:uri="8a011db4-53a2-4d1b-82ae-320485071b7a"/>
  </ds:schemaRefs>
</ds:datastoreItem>
</file>

<file path=customXml/itemProps2.xml><?xml version="1.0" encoding="utf-8"?>
<ds:datastoreItem xmlns:ds="http://schemas.openxmlformats.org/officeDocument/2006/customXml" ds:itemID="{ACA24029-489A-4778-BD53-87F2B3818D0B}">
  <ds:schemaRefs>
    <ds:schemaRef ds:uri="http://schemas.microsoft.com/sharepoint/v3/contenttype/forms"/>
  </ds:schemaRefs>
</ds:datastoreItem>
</file>

<file path=customXml/itemProps3.xml><?xml version="1.0" encoding="utf-8"?>
<ds:datastoreItem xmlns:ds="http://schemas.openxmlformats.org/officeDocument/2006/customXml" ds:itemID="{D0D76BAF-96D5-401F-B780-C00FB79D6EFF}">
  <ds:schemaRefs>
    <ds:schemaRef ds:uri="http://schemas.openxmlformats.org/officeDocument/2006/bibliography"/>
  </ds:schemaRefs>
</ds:datastoreItem>
</file>

<file path=customXml/itemProps4.xml><?xml version="1.0" encoding="utf-8"?>
<ds:datastoreItem xmlns:ds="http://schemas.openxmlformats.org/officeDocument/2006/customXml" ds:itemID="{A7626BF3-43CB-4A41-B105-3DDC2967D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927</Words>
  <Characters>5566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Karolina Koniarska CCG</cp:lastModifiedBy>
  <cp:revision>13</cp:revision>
  <dcterms:created xsi:type="dcterms:W3CDTF">2026-02-16T17:01:00Z</dcterms:created>
  <dcterms:modified xsi:type="dcterms:W3CDTF">2026-05-07T09:38:00Z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0x01010026332A36832A0A41A9315B265E6415BB</vt:lpwstr>
  </property>
</Properties>
</file>