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B834" w14:textId="0C01D447" w:rsidR="00730FFB" w:rsidRDefault="00730FFB" w:rsidP="00730FFB">
      <w:pPr>
        <w:spacing w:line="240" w:lineRule="auto"/>
        <w:jc w:val="center"/>
        <w:rPr>
          <w:b/>
          <w:bCs/>
          <w:sz w:val="20"/>
          <w:szCs w:val="20"/>
        </w:rPr>
      </w:pPr>
      <w:r w:rsidRPr="00730FFB">
        <w:rPr>
          <w:b/>
          <w:bCs/>
          <w:sz w:val="20"/>
          <w:szCs w:val="20"/>
        </w:rPr>
        <w:t>I kwartał 2026 r. na rynku biurowym</w:t>
      </w:r>
      <w:r w:rsidR="00C125E8">
        <w:rPr>
          <w:b/>
          <w:bCs/>
          <w:sz w:val="20"/>
          <w:szCs w:val="20"/>
        </w:rPr>
        <w:t xml:space="preserve"> –</w:t>
      </w:r>
      <w:r w:rsidRPr="00730FFB">
        <w:rPr>
          <w:b/>
          <w:bCs/>
          <w:sz w:val="20"/>
          <w:szCs w:val="20"/>
        </w:rPr>
        <w:t xml:space="preserve"> stonowany początek roku pod względem popytu </w:t>
      </w:r>
      <w:r w:rsidR="00331873">
        <w:rPr>
          <w:b/>
          <w:bCs/>
          <w:sz w:val="20"/>
          <w:szCs w:val="20"/>
        </w:rPr>
        <w:t xml:space="preserve">oraz nadal </w:t>
      </w:r>
      <w:r w:rsidRPr="00730FFB">
        <w:rPr>
          <w:b/>
          <w:bCs/>
          <w:sz w:val="20"/>
          <w:szCs w:val="20"/>
        </w:rPr>
        <w:t xml:space="preserve">malejąca </w:t>
      </w:r>
      <w:r w:rsidR="0019781C">
        <w:rPr>
          <w:b/>
          <w:bCs/>
          <w:sz w:val="20"/>
          <w:szCs w:val="20"/>
        </w:rPr>
        <w:t>powierzchnia w budowie</w:t>
      </w:r>
      <w:r w:rsidRPr="00730FFB">
        <w:rPr>
          <w:b/>
          <w:bCs/>
          <w:sz w:val="20"/>
          <w:szCs w:val="20"/>
        </w:rPr>
        <w:t>.</w:t>
      </w:r>
    </w:p>
    <w:p w14:paraId="03289F7F" w14:textId="3D39629D" w:rsidR="00AB1C5F" w:rsidRPr="00030F9F" w:rsidRDefault="00AB1C5F" w:rsidP="00EC7EAE">
      <w:pPr>
        <w:jc w:val="both"/>
        <w:rPr>
          <w:sz w:val="20"/>
          <w:szCs w:val="20"/>
        </w:rPr>
      </w:pPr>
      <w:r w:rsidRPr="00AB1C5F">
        <w:rPr>
          <w:b/>
          <w:bCs/>
          <w:sz w:val="20"/>
          <w:szCs w:val="20"/>
        </w:rPr>
        <w:t xml:space="preserve">Jak wskazuje międzynarodowa firma doradcza </w:t>
      </w:r>
      <w:proofErr w:type="spellStart"/>
      <w:r w:rsidRPr="00AB1C5F">
        <w:rPr>
          <w:b/>
          <w:bCs/>
          <w:sz w:val="20"/>
          <w:szCs w:val="20"/>
        </w:rPr>
        <w:t>Cushman</w:t>
      </w:r>
      <w:proofErr w:type="spellEnd"/>
      <w:r w:rsidRPr="00AB1C5F">
        <w:rPr>
          <w:b/>
          <w:bCs/>
          <w:sz w:val="20"/>
          <w:szCs w:val="20"/>
        </w:rPr>
        <w:t xml:space="preserve"> &amp; Wakefield, początek 2026 roku na rynku biurowym w Polsce charakteryzował się popytem na poziomie ok. 255 tys. mkw. Choć był on o około 20% niższy niż rok wcześniej, w porównaniu z 2024 rokiem spadek wyniósł jedynie 8%. Jednocześnie, wraz z ukończeniem nowych projektów o łącznej powierzchni ok. 90 tys. mkw., wolumen powierzchni w budowie obniżył się do nowego minimum, osiągając poziom około 240 tys. mkw.</w:t>
      </w:r>
      <w:r w:rsidR="00423080">
        <w:rPr>
          <w:b/>
          <w:bCs/>
          <w:sz w:val="20"/>
          <w:szCs w:val="20"/>
        </w:rPr>
        <w:t xml:space="preserve"> Najlepsze powierzchnie pozostają w centrum uwagi najemców.</w:t>
      </w:r>
    </w:p>
    <w:p w14:paraId="3AD64099" w14:textId="3A959335" w:rsidR="008A3FD1" w:rsidRPr="00EA347E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EA347E">
        <w:rPr>
          <w:b/>
          <w:bCs/>
          <w:sz w:val="20"/>
          <w:szCs w:val="20"/>
        </w:rPr>
        <w:t xml:space="preserve">PODAŻ: </w:t>
      </w:r>
      <w:r w:rsidR="00E268D5" w:rsidRPr="00EA347E">
        <w:rPr>
          <w:b/>
          <w:bCs/>
          <w:sz w:val="20"/>
          <w:szCs w:val="20"/>
        </w:rPr>
        <w:t xml:space="preserve">jedynie </w:t>
      </w:r>
      <w:r w:rsidR="00EE33B8" w:rsidRPr="00EA347E">
        <w:rPr>
          <w:b/>
          <w:bCs/>
          <w:sz w:val="20"/>
          <w:szCs w:val="20"/>
        </w:rPr>
        <w:t>ok. 160 tys. mkw. powierzchni przybędzie w 2026 roku</w:t>
      </w:r>
    </w:p>
    <w:p w14:paraId="080EF568" w14:textId="7529F66B" w:rsidR="00EE33B8" w:rsidRPr="00EA347E" w:rsidRDefault="00EE33B8" w:rsidP="00EE33B8">
      <w:pPr>
        <w:spacing w:line="240" w:lineRule="auto"/>
        <w:jc w:val="both"/>
        <w:rPr>
          <w:sz w:val="20"/>
          <w:szCs w:val="20"/>
        </w:rPr>
      </w:pPr>
      <w:r w:rsidRPr="00EA347E">
        <w:rPr>
          <w:sz w:val="20"/>
          <w:szCs w:val="20"/>
        </w:rPr>
        <w:t xml:space="preserve">Na koniec pierwszego kwartału 2026 roku całkowite zasoby nowoczesnej powierzchni biurowej na największych rynkach w Polsce – tj. w Warszawie, Krakowie, Wrocławiu, Trójmieście, Katowicach, Poznaniu, Łodzi, Lublinie i Szczecinie – wyniosły 13,04 mln mkw. </w:t>
      </w:r>
    </w:p>
    <w:p w14:paraId="2D6C750B" w14:textId="68AEB055" w:rsidR="00BA02B0" w:rsidRPr="00EA347E" w:rsidRDefault="00EE33B8" w:rsidP="00BA02B0">
      <w:pPr>
        <w:spacing w:line="240" w:lineRule="auto"/>
        <w:jc w:val="both"/>
        <w:rPr>
          <w:sz w:val="20"/>
          <w:szCs w:val="20"/>
        </w:rPr>
      </w:pPr>
      <w:r w:rsidRPr="00EA347E">
        <w:rPr>
          <w:sz w:val="20"/>
          <w:szCs w:val="20"/>
        </w:rPr>
        <w:t xml:space="preserve">– </w:t>
      </w:r>
      <w:r w:rsidRPr="00EA347E">
        <w:rPr>
          <w:i/>
          <w:iCs/>
          <w:sz w:val="20"/>
          <w:szCs w:val="20"/>
        </w:rPr>
        <w:t>Łączna podaż nowej powierzchni oddanej do użytku w okresie styczeń</w:t>
      </w:r>
      <w:r w:rsidR="00C125E8">
        <w:rPr>
          <w:i/>
          <w:iCs/>
          <w:sz w:val="20"/>
          <w:szCs w:val="20"/>
        </w:rPr>
        <w:t>-</w:t>
      </w:r>
      <w:r w:rsidRPr="00EA347E">
        <w:rPr>
          <w:i/>
          <w:iCs/>
          <w:sz w:val="20"/>
          <w:szCs w:val="20"/>
        </w:rPr>
        <w:t>marzec 2026 roku była relatywnie wysoka na tle lat 2023-2025 i osiągnęła ok. 90 tys. mkw. Wynikało to z kumulacji ukończonych projektów o średniej skali, zarówno w Warszawie, jak i w miastach</w:t>
      </w:r>
      <w:r w:rsidRPr="00EA347E">
        <w:rPr>
          <w:sz w:val="20"/>
          <w:szCs w:val="20"/>
        </w:rPr>
        <w:t xml:space="preserve"> regionalnych – komentuje </w:t>
      </w:r>
      <w:r w:rsidR="00BA02B0" w:rsidRPr="00EA347E">
        <w:rPr>
          <w:b/>
          <w:bCs/>
          <w:sz w:val="20"/>
          <w:szCs w:val="20"/>
        </w:rPr>
        <w:t xml:space="preserve">Jan </w:t>
      </w:r>
      <w:proofErr w:type="spellStart"/>
      <w:r w:rsidR="00BA02B0" w:rsidRPr="00EA347E">
        <w:rPr>
          <w:b/>
          <w:bCs/>
          <w:sz w:val="20"/>
          <w:szCs w:val="20"/>
        </w:rPr>
        <w:t>Szulborski</w:t>
      </w:r>
      <w:proofErr w:type="spellEnd"/>
      <w:r w:rsidR="00BA02B0" w:rsidRPr="00EA347E">
        <w:rPr>
          <w:b/>
          <w:bCs/>
          <w:sz w:val="20"/>
          <w:szCs w:val="20"/>
        </w:rPr>
        <w:t xml:space="preserve">, Business Development &amp; </w:t>
      </w:r>
      <w:proofErr w:type="spellStart"/>
      <w:r w:rsidR="00BA02B0" w:rsidRPr="00EA347E">
        <w:rPr>
          <w:b/>
          <w:bCs/>
          <w:sz w:val="20"/>
          <w:szCs w:val="20"/>
        </w:rPr>
        <w:t>Insight</w:t>
      </w:r>
      <w:proofErr w:type="spellEnd"/>
      <w:r w:rsidR="00BA02B0" w:rsidRPr="00EA347E">
        <w:rPr>
          <w:b/>
          <w:bCs/>
          <w:sz w:val="20"/>
          <w:szCs w:val="20"/>
        </w:rPr>
        <w:t xml:space="preserve"> Manager, </w:t>
      </w:r>
      <w:proofErr w:type="spellStart"/>
      <w:r w:rsidR="00BA02B0" w:rsidRPr="00EA347E">
        <w:rPr>
          <w:b/>
          <w:bCs/>
          <w:sz w:val="20"/>
          <w:szCs w:val="20"/>
        </w:rPr>
        <w:t>Cushman</w:t>
      </w:r>
      <w:proofErr w:type="spellEnd"/>
      <w:r w:rsidR="00BA02B0" w:rsidRPr="00EA347E">
        <w:rPr>
          <w:b/>
          <w:bCs/>
          <w:sz w:val="20"/>
          <w:szCs w:val="20"/>
        </w:rPr>
        <w:t xml:space="preserve"> &amp; Wakefield. </w:t>
      </w:r>
    </w:p>
    <w:p w14:paraId="7D384D48" w14:textId="34D2F4FF" w:rsidR="00EE33B8" w:rsidRPr="00EA347E" w:rsidRDefault="00EE33B8" w:rsidP="00EE33B8">
      <w:pPr>
        <w:spacing w:line="240" w:lineRule="auto"/>
        <w:jc w:val="both"/>
        <w:rPr>
          <w:sz w:val="20"/>
          <w:szCs w:val="20"/>
        </w:rPr>
      </w:pPr>
      <w:r w:rsidRPr="00EA347E">
        <w:rPr>
          <w:sz w:val="20"/>
          <w:szCs w:val="20"/>
        </w:rPr>
        <w:t xml:space="preserve">Wśród największych biurowców oddanych w Warszawie znalazły się Studio A (24 000 mkw. – </w:t>
      </w:r>
      <w:proofErr w:type="spellStart"/>
      <w:r w:rsidRPr="00EA347E">
        <w:rPr>
          <w:sz w:val="20"/>
          <w:szCs w:val="20"/>
        </w:rPr>
        <w:t>Skanska</w:t>
      </w:r>
      <w:proofErr w:type="spellEnd"/>
      <w:r w:rsidRPr="00EA347E">
        <w:rPr>
          <w:sz w:val="20"/>
          <w:szCs w:val="20"/>
        </w:rPr>
        <w:t xml:space="preserve">) oraz </w:t>
      </w:r>
      <w:proofErr w:type="spellStart"/>
      <w:r w:rsidRPr="00EA347E">
        <w:rPr>
          <w:sz w:val="20"/>
          <w:szCs w:val="20"/>
        </w:rPr>
        <w:t>Vena</w:t>
      </w:r>
      <w:proofErr w:type="spellEnd"/>
      <w:r w:rsidRPr="00EA347E">
        <w:rPr>
          <w:sz w:val="20"/>
          <w:szCs w:val="20"/>
        </w:rPr>
        <w:t xml:space="preserve"> (15 400 mkw. – PHN). Z kolei w miastach regionalnych największe projekty to Swobodna Spot I (14 650 mkw. – Echo Investment) we Wrocławiu oraz biurowiec Punkt (12 650 mkw. – Torus) w Gdańsku.</w:t>
      </w:r>
    </w:p>
    <w:p w14:paraId="3797EC2F" w14:textId="77777777" w:rsidR="00E3060A" w:rsidRPr="00EA347E" w:rsidRDefault="00EE33B8" w:rsidP="00E3060A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EA347E">
        <w:rPr>
          <w:sz w:val="20"/>
          <w:szCs w:val="20"/>
        </w:rPr>
        <w:t xml:space="preserve">– </w:t>
      </w:r>
      <w:r w:rsidRPr="00EA347E">
        <w:rPr>
          <w:i/>
          <w:iCs/>
          <w:sz w:val="20"/>
          <w:szCs w:val="20"/>
        </w:rPr>
        <w:t>Pomimo zwiększonej podaży w pierwszym kwartale 2026 roku, skala nowo rozpoczynanych projektów pozostaje bardzo ograniczona. Skutkuje to dalszym spadkiem wolumenu powierzchni biurowej w budowie, który zbliża się do historycznie niskich poziomów obserwowanych jedynie na wczesnym etapie rozwoju rynku biurowego w Polsce, w latach 1995-2000. Przykładowo w Warszawie obecnie w realizacji znajduje się ok. 120 tys. mkw. powierzchni biurowej, wobec niemal 750 tys. mkw. na początku 2020 roku. W miastach regionalnych w budowie pozostaje również ok. 120 tys. mkw. (bez uwzględnienia projektów wstrzymanych), podczas gdy przed pandemią wolumen ten sięgał ok. 850 tys. mkw.</w:t>
      </w:r>
      <w:r w:rsidRPr="00EA347E">
        <w:rPr>
          <w:sz w:val="20"/>
          <w:szCs w:val="20"/>
        </w:rPr>
        <w:t xml:space="preserve"> – dodaje </w:t>
      </w:r>
      <w:proofErr w:type="spellStart"/>
      <w:r w:rsidRPr="00EA347E">
        <w:rPr>
          <w:rFonts w:eastAsia="Times New Roman"/>
          <w:b/>
          <w:bCs/>
          <w:sz w:val="20"/>
          <w:szCs w:val="20"/>
          <w:lang w:eastAsia="en-US"/>
        </w:rPr>
        <w:t>Vitalii</w:t>
      </w:r>
      <w:proofErr w:type="spellEnd"/>
      <w:r w:rsidRPr="00EA347E">
        <w:rPr>
          <w:rFonts w:eastAsia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EA347E">
        <w:rPr>
          <w:rFonts w:eastAsia="Times New Roman"/>
          <w:b/>
          <w:bCs/>
          <w:sz w:val="20"/>
          <w:szCs w:val="20"/>
          <w:lang w:eastAsia="en-US"/>
        </w:rPr>
        <w:t>Arkhypenko</w:t>
      </w:r>
      <w:proofErr w:type="spellEnd"/>
      <w:r w:rsidR="00E3060A" w:rsidRPr="00EA347E">
        <w:rPr>
          <w:rFonts w:eastAsia="Times New Roman"/>
          <w:b/>
          <w:bCs/>
          <w:sz w:val="20"/>
          <w:szCs w:val="20"/>
          <w:lang w:eastAsia="en-US"/>
        </w:rPr>
        <w:t xml:space="preserve">, Analityk Rynku, </w:t>
      </w:r>
      <w:proofErr w:type="spellStart"/>
      <w:r w:rsidR="00E3060A" w:rsidRPr="00EA347E">
        <w:rPr>
          <w:rFonts w:eastAsia="Times New Roman"/>
          <w:b/>
          <w:bCs/>
          <w:sz w:val="20"/>
          <w:szCs w:val="20"/>
          <w:lang w:eastAsia="en-US"/>
        </w:rPr>
        <w:t>Cushman</w:t>
      </w:r>
      <w:proofErr w:type="spellEnd"/>
      <w:r w:rsidR="00E3060A" w:rsidRPr="00EA347E">
        <w:rPr>
          <w:rFonts w:eastAsia="Times New Roman"/>
          <w:b/>
          <w:bCs/>
          <w:sz w:val="20"/>
          <w:szCs w:val="20"/>
          <w:lang w:eastAsia="en-US"/>
        </w:rPr>
        <w:t xml:space="preserve"> &amp; Wakefield.</w:t>
      </w:r>
    </w:p>
    <w:p w14:paraId="4F2A5935" w14:textId="77777777" w:rsidR="00EE33B8" w:rsidRPr="00EA347E" w:rsidRDefault="00EE33B8" w:rsidP="00EE33B8">
      <w:pPr>
        <w:spacing w:line="240" w:lineRule="auto"/>
        <w:jc w:val="both"/>
        <w:rPr>
          <w:sz w:val="20"/>
          <w:szCs w:val="20"/>
        </w:rPr>
      </w:pPr>
      <w:r w:rsidRPr="00EA347E">
        <w:rPr>
          <w:sz w:val="20"/>
          <w:szCs w:val="20"/>
        </w:rPr>
        <w:t>Niska aktywność deweloperska nadal wynika z coraz większego nasycenia rynku powierzchniami biurowymi, a także z utrzymującego się wysokiego poziomu kosztów realizacji inwestycji w relacji do oczekiwanego poziomu zwrotu.</w:t>
      </w:r>
    </w:p>
    <w:p w14:paraId="67F5F6B2" w14:textId="11AD93F1" w:rsidR="008A3FD1" w:rsidRPr="00163CB5" w:rsidRDefault="00EE33B8" w:rsidP="00EE33B8">
      <w:pPr>
        <w:spacing w:line="240" w:lineRule="auto"/>
        <w:jc w:val="both"/>
        <w:rPr>
          <w:sz w:val="20"/>
          <w:szCs w:val="20"/>
        </w:rPr>
      </w:pPr>
      <w:r w:rsidRPr="00163CB5">
        <w:rPr>
          <w:sz w:val="20"/>
          <w:szCs w:val="20"/>
        </w:rPr>
        <w:t xml:space="preserve">Według szacunków </w:t>
      </w:r>
      <w:proofErr w:type="spellStart"/>
      <w:r w:rsidRPr="00163CB5">
        <w:rPr>
          <w:sz w:val="20"/>
          <w:szCs w:val="20"/>
        </w:rPr>
        <w:t>Cushman</w:t>
      </w:r>
      <w:proofErr w:type="spellEnd"/>
      <w:r w:rsidRPr="00163CB5">
        <w:rPr>
          <w:sz w:val="20"/>
          <w:szCs w:val="20"/>
        </w:rPr>
        <w:t xml:space="preserve"> &amp; Wakefield, w 2026 roku zasoby polskiego rynku biurowego powiększą się o niecałe 160 tys. mkw. (uwzględniając projekty już ukończone), natomiast w 2027 roku prognozowany wolumen nowej podaży będzie jeszcze niższy i wyniesie około 120 tys. mkw.</w:t>
      </w:r>
      <w:r w:rsidRPr="00163CB5">
        <w:rPr>
          <w:b/>
          <w:bCs/>
          <w:sz w:val="20"/>
          <w:szCs w:val="20"/>
        </w:rPr>
        <w:t xml:space="preserve"> </w:t>
      </w:r>
    </w:p>
    <w:p w14:paraId="2FC600A6" w14:textId="284012D0" w:rsidR="008A3FD1" w:rsidRPr="008A3FD1" w:rsidRDefault="008A3FD1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8A3FD1">
        <w:rPr>
          <w:b/>
          <w:bCs/>
          <w:sz w:val="20"/>
          <w:szCs w:val="20"/>
        </w:rPr>
        <w:t xml:space="preserve">POPYT: </w:t>
      </w:r>
      <w:r w:rsidR="008A1F30">
        <w:rPr>
          <w:b/>
          <w:bCs/>
          <w:sz w:val="20"/>
          <w:szCs w:val="20"/>
        </w:rPr>
        <w:t>spokojn</w:t>
      </w:r>
      <w:r w:rsidR="002B2051">
        <w:rPr>
          <w:b/>
          <w:bCs/>
          <w:sz w:val="20"/>
          <w:szCs w:val="20"/>
        </w:rPr>
        <w:t>iejszy</w:t>
      </w:r>
      <w:r w:rsidR="008A1F30">
        <w:rPr>
          <w:b/>
          <w:bCs/>
          <w:sz w:val="20"/>
          <w:szCs w:val="20"/>
        </w:rPr>
        <w:t xml:space="preserve"> pierwszy kwartał</w:t>
      </w:r>
      <w:r w:rsidR="00612C9B">
        <w:rPr>
          <w:b/>
          <w:bCs/>
          <w:sz w:val="20"/>
          <w:szCs w:val="20"/>
        </w:rPr>
        <w:t>, z przewagą nowych umów</w:t>
      </w:r>
    </w:p>
    <w:p w14:paraId="6C129656" w14:textId="16D6F4C4" w:rsidR="00EE33B8" w:rsidRPr="00EE33B8" w:rsidRDefault="00EE33B8" w:rsidP="00EE33B8">
      <w:pPr>
        <w:spacing w:line="240" w:lineRule="auto"/>
        <w:jc w:val="both"/>
        <w:rPr>
          <w:sz w:val="20"/>
          <w:szCs w:val="20"/>
        </w:rPr>
      </w:pPr>
      <w:r w:rsidRPr="00EE33B8">
        <w:rPr>
          <w:sz w:val="20"/>
          <w:szCs w:val="20"/>
        </w:rPr>
        <w:lastRenderedPageBreak/>
        <w:t xml:space="preserve">Zarówno w Warszawie, jak i w miastach regionalnych aktywność najemców w </w:t>
      </w:r>
      <w:r w:rsidR="0047755E">
        <w:rPr>
          <w:sz w:val="20"/>
          <w:szCs w:val="20"/>
        </w:rPr>
        <w:t>pierwszym</w:t>
      </w:r>
      <w:r w:rsidRPr="00EE33B8">
        <w:rPr>
          <w:sz w:val="20"/>
          <w:szCs w:val="20"/>
        </w:rPr>
        <w:t xml:space="preserve"> kwartale 2026 roku była niższa, niż na początku 2025 roku, przy czym wyraźniejsze spadki odnotowano na rynkach regionalnych.</w:t>
      </w:r>
    </w:p>
    <w:p w14:paraId="201E511D" w14:textId="6AC9E21E" w:rsidR="00EE33B8" w:rsidRPr="00EE33B8" w:rsidRDefault="00EE33B8" w:rsidP="00EE33B8">
      <w:pPr>
        <w:spacing w:line="240" w:lineRule="auto"/>
        <w:jc w:val="both"/>
        <w:rPr>
          <w:sz w:val="20"/>
          <w:szCs w:val="20"/>
        </w:rPr>
      </w:pPr>
      <w:r w:rsidRPr="00EE33B8">
        <w:rPr>
          <w:sz w:val="20"/>
          <w:szCs w:val="20"/>
        </w:rPr>
        <w:t xml:space="preserve">W Warszawie wolumen popytu w </w:t>
      </w:r>
      <w:r w:rsidR="0047755E">
        <w:rPr>
          <w:sz w:val="20"/>
          <w:szCs w:val="20"/>
        </w:rPr>
        <w:t>pierwszym</w:t>
      </w:r>
      <w:r w:rsidRPr="00EE33B8">
        <w:rPr>
          <w:sz w:val="20"/>
          <w:szCs w:val="20"/>
        </w:rPr>
        <w:t xml:space="preserve"> kwartale 2026 roku wyniósł 133 800 mkw., co oznacza spadek o około 9% w ujęciu rocznym. Jednocześnie poziom aktywności pozostawał zbliżony do obserwowanego w 2024 roku, notując jedynie niewielki spadek rzędu 3%.</w:t>
      </w:r>
    </w:p>
    <w:p w14:paraId="461A805B" w14:textId="77777777" w:rsidR="00EE33B8" w:rsidRPr="00EE33B8" w:rsidRDefault="00EE33B8" w:rsidP="00EE33B8">
      <w:pPr>
        <w:spacing w:line="240" w:lineRule="auto"/>
        <w:jc w:val="both"/>
        <w:rPr>
          <w:sz w:val="20"/>
          <w:szCs w:val="20"/>
        </w:rPr>
      </w:pPr>
      <w:r w:rsidRPr="00EE33B8">
        <w:rPr>
          <w:sz w:val="20"/>
          <w:szCs w:val="20"/>
        </w:rPr>
        <w:t>W analizowanym okresie zawarto ponad 180 transakcji, z czego 34 dotyczyły powierzchni przekraczających 1000 mkw. W strukturze transakcji w okresie styczeń-marzec dominowały nowe umowy, które odpowiadały za 51% całkowitego wolumenu. Renegocjacje stanowiły 39%, ekspansje 9%, natomiast powierzchnie zajęte przez właściciela około 1%.</w:t>
      </w:r>
    </w:p>
    <w:p w14:paraId="5716182F" w14:textId="188C0285" w:rsidR="00EE33B8" w:rsidRPr="00326E49" w:rsidRDefault="00EE33B8" w:rsidP="00EE33B8">
      <w:pPr>
        <w:spacing w:line="240" w:lineRule="auto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EE33B8">
        <w:rPr>
          <w:i/>
          <w:iCs/>
          <w:sz w:val="20"/>
          <w:szCs w:val="20"/>
        </w:rPr>
        <w:t xml:space="preserve">Na rynkach regionalnych sumaryczny popyt w </w:t>
      </w:r>
      <w:r w:rsidR="0047755E">
        <w:rPr>
          <w:i/>
          <w:iCs/>
          <w:sz w:val="20"/>
          <w:szCs w:val="20"/>
        </w:rPr>
        <w:t>pierwszym</w:t>
      </w:r>
      <w:r w:rsidRPr="00EE33B8">
        <w:rPr>
          <w:i/>
          <w:iCs/>
          <w:sz w:val="20"/>
          <w:szCs w:val="20"/>
        </w:rPr>
        <w:t xml:space="preserve"> kw. 2026 r. wyniósł około 121 500 mkw., co oznacza około 30% spadek względem identycznego okresu w 2025 roku, natomiast 13% względem 2024. Na stronę popytową w miastach regionalnych w tym okresie największy wpływ wywarły firmy z sektora usług biznesowych i konsumenckich, produkcyjnego, a także finansowego. Struktura transakcji w regionach w tym okresie była zbliżona do stolicy: przeważały nowe umowy – z 52% udziałem w popycie, renegocjacje odpowiadały za 37% najmu, a ekspansje – za około 11%, powierzchnie zajęte przez właściciela dotyczyły zaledwie 1% całego wolumenu umów</w:t>
      </w:r>
      <w:r w:rsidRPr="008A3FD1">
        <w:rPr>
          <w:i/>
          <w:iCs/>
          <w:sz w:val="20"/>
          <w:szCs w:val="20"/>
        </w:rPr>
        <w:t xml:space="preserve"> –</w:t>
      </w:r>
      <w:r w:rsidRPr="008A3FD1">
        <w:rPr>
          <w:sz w:val="20"/>
          <w:szCs w:val="20"/>
        </w:rPr>
        <w:t xml:space="preserve"> tłumaczy </w:t>
      </w:r>
      <w:r>
        <w:rPr>
          <w:b/>
          <w:bCs/>
          <w:sz w:val="20"/>
          <w:szCs w:val="20"/>
        </w:rPr>
        <w:t>Ewa Derlatka-</w:t>
      </w:r>
      <w:proofErr w:type="spellStart"/>
      <w:r>
        <w:rPr>
          <w:b/>
          <w:bCs/>
          <w:sz w:val="20"/>
          <w:szCs w:val="20"/>
        </w:rPr>
        <w:t>Chilewicz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Head</w:t>
      </w:r>
      <w:proofErr w:type="spellEnd"/>
      <w:r>
        <w:rPr>
          <w:b/>
          <w:bCs/>
          <w:sz w:val="20"/>
          <w:szCs w:val="20"/>
        </w:rPr>
        <w:t xml:space="preserve"> of </w:t>
      </w:r>
      <w:proofErr w:type="spellStart"/>
      <w:r>
        <w:rPr>
          <w:b/>
          <w:bCs/>
          <w:sz w:val="20"/>
          <w:szCs w:val="20"/>
        </w:rPr>
        <w:t>Research</w:t>
      </w:r>
      <w:proofErr w:type="spellEnd"/>
      <w:r>
        <w:rPr>
          <w:b/>
          <w:bCs/>
          <w:sz w:val="20"/>
          <w:szCs w:val="20"/>
        </w:rPr>
        <w:t xml:space="preserve"> Poland</w:t>
      </w:r>
      <w:r>
        <w:rPr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Cushman</w:t>
      </w:r>
      <w:proofErr w:type="spellEnd"/>
      <w:r>
        <w:rPr>
          <w:b/>
          <w:bCs/>
          <w:sz w:val="20"/>
          <w:szCs w:val="20"/>
        </w:rPr>
        <w:t xml:space="preserve"> &amp; Wakefield.</w:t>
      </w:r>
    </w:p>
    <w:p w14:paraId="410799F9" w14:textId="3C930731" w:rsidR="008A3FD1" w:rsidRPr="008A3FD1" w:rsidRDefault="00C125E8" w:rsidP="008A3FD1">
      <w:pPr>
        <w:spacing w:line="240" w:lineRule="auto"/>
        <w:jc w:val="both"/>
        <w:rPr>
          <w:b/>
          <w:bCs/>
          <w:sz w:val="20"/>
          <w:szCs w:val="20"/>
        </w:rPr>
      </w:pPr>
      <w:r w:rsidRPr="00E451D9">
        <w:rPr>
          <w:b/>
          <w:bCs/>
          <w:sz w:val="20"/>
          <w:szCs w:val="20"/>
        </w:rPr>
        <w:t>PUSTOSTANY I CZYNSZE</w:t>
      </w:r>
      <w:r w:rsidR="008A3FD1" w:rsidRPr="00E451D9">
        <w:rPr>
          <w:b/>
          <w:bCs/>
          <w:sz w:val="20"/>
          <w:szCs w:val="20"/>
        </w:rPr>
        <w:t xml:space="preserve">: </w:t>
      </w:r>
      <w:r w:rsidR="0047755E">
        <w:rPr>
          <w:b/>
          <w:bCs/>
          <w:sz w:val="20"/>
          <w:szCs w:val="20"/>
        </w:rPr>
        <w:t>pustostany z lekkim wahnięciem i dalsza dywersyfikacja stawek w zależności od lokalizacji i jakości budynku</w:t>
      </w:r>
    </w:p>
    <w:p w14:paraId="027CDBBC" w14:textId="7A27D52B" w:rsidR="0047755E" w:rsidRPr="0047755E" w:rsidRDefault="0047755E" w:rsidP="0047755E">
      <w:pPr>
        <w:spacing w:line="240" w:lineRule="auto"/>
        <w:jc w:val="both"/>
        <w:rPr>
          <w:sz w:val="20"/>
          <w:szCs w:val="20"/>
        </w:rPr>
      </w:pPr>
      <w:r w:rsidRPr="0047755E">
        <w:rPr>
          <w:sz w:val="20"/>
          <w:szCs w:val="20"/>
        </w:rPr>
        <w:t xml:space="preserve">Średni wskaźnik pustostanów w Polsce na koniec </w:t>
      </w:r>
      <w:r>
        <w:rPr>
          <w:sz w:val="20"/>
          <w:szCs w:val="20"/>
        </w:rPr>
        <w:t>pierwszego</w:t>
      </w:r>
      <w:r w:rsidRPr="0047755E">
        <w:rPr>
          <w:sz w:val="20"/>
          <w:szCs w:val="20"/>
        </w:rPr>
        <w:t xml:space="preserve"> kw. 2026 roku wyniósł 13,6%, co stanowi wzrost o 0,5 pp. względem IV kw. 2025 r</w:t>
      </w:r>
      <w:r>
        <w:rPr>
          <w:sz w:val="20"/>
          <w:szCs w:val="20"/>
        </w:rPr>
        <w:t>oku</w:t>
      </w:r>
      <w:r w:rsidRPr="0047755E">
        <w:rPr>
          <w:sz w:val="20"/>
          <w:szCs w:val="20"/>
        </w:rPr>
        <w:t>, lecz spadek o 0,5 pp. względem marca 2025</w:t>
      </w:r>
      <w:r>
        <w:rPr>
          <w:sz w:val="20"/>
          <w:szCs w:val="20"/>
        </w:rPr>
        <w:t xml:space="preserve"> roku</w:t>
      </w:r>
      <w:r w:rsidRPr="0047755E">
        <w:rPr>
          <w:sz w:val="20"/>
          <w:szCs w:val="20"/>
        </w:rPr>
        <w:t>.</w:t>
      </w:r>
    </w:p>
    <w:p w14:paraId="0B06761F" w14:textId="7FF3E347" w:rsidR="0047755E" w:rsidRPr="0047755E" w:rsidRDefault="0047755E" w:rsidP="0047755E">
      <w:pPr>
        <w:spacing w:line="240" w:lineRule="auto"/>
        <w:jc w:val="both"/>
        <w:rPr>
          <w:sz w:val="20"/>
          <w:szCs w:val="20"/>
        </w:rPr>
      </w:pPr>
      <w:r w:rsidRPr="0047755E">
        <w:rPr>
          <w:sz w:val="20"/>
          <w:szCs w:val="20"/>
        </w:rPr>
        <w:t>W stolicy wskaźnik niewynajęcia wzrósł o 0,4 pp. względem poprzedniego kwartału i wyniósł 9,5%. W miastach regionalnych największe wzrosty w dostępności powierzchni zaobserwowano we Wrocławiu (+2,1 pp.), Szczecinie (+1,5 pp.), a także Łodzi (+1,3 pp.), z kolei zauważalny spadek wakatu zanotowano w Trójmieście (-1,1</w:t>
      </w:r>
      <w:r w:rsidR="00FA192F">
        <w:rPr>
          <w:sz w:val="20"/>
          <w:szCs w:val="20"/>
        </w:rPr>
        <w:t xml:space="preserve"> pp.</w:t>
      </w:r>
      <w:r w:rsidRPr="0047755E">
        <w:rPr>
          <w:sz w:val="20"/>
          <w:szCs w:val="20"/>
        </w:rPr>
        <w:t xml:space="preserve">). </w:t>
      </w:r>
    </w:p>
    <w:p w14:paraId="0F3D2FD8" w14:textId="5A4B9A0C" w:rsidR="0047755E" w:rsidRDefault="0047755E" w:rsidP="0047755E">
      <w:pPr>
        <w:spacing w:line="240" w:lineRule="auto"/>
        <w:jc w:val="both"/>
        <w:rPr>
          <w:sz w:val="20"/>
          <w:szCs w:val="20"/>
        </w:rPr>
      </w:pPr>
      <w:r w:rsidRPr="0047755E">
        <w:rPr>
          <w:sz w:val="20"/>
          <w:szCs w:val="20"/>
        </w:rPr>
        <w:t>Warto zauważyć, że większość zaobserwowanych wzrostów dostępności wynika z dostarczenia na rynek nowej powierzchni biurowej.</w:t>
      </w:r>
      <w:r w:rsidR="00B10699">
        <w:rPr>
          <w:sz w:val="20"/>
          <w:szCs w:val="20"/>
        </w:rPr>
        <w:t xml:space="preserve"> </w:t>
      </w:r>
      <w:r w:rsidRPr="0047755E">
        <w:rPr>
          <w:sz w:val="20"/>
          <w:szCs w:val="20"/>
        </w:rPr>
        <w:t>Natomiast tempo absorpcji, określające poziom wchłaniania dostępnej powierzchni, różni się w zależności od miasta, co bezpośrednio wpływa na wielkość dostępnej powierzchni na rynku. Najwyższą absorpcję względem wielkości zasobu powierzchni w ostatnich 2 latach zaobserwowano w Trójmieście (5%) i Warszawie (4%), natomiast we Wrocławiu ona była jedynie nieznacznie dodatnia (0,1%).</w:t>
      </w:r>
      <w:r>
        <w:rPr>
          <w:sz w:val="20"/>
          <w:szCs w:val="20"/>
        </w:rPr>
        <w:t xml:space="preserve"> </w:t>
      </w:r>
    </w:p>
    <w:p w14:paraId="1BC26FC8" w14:textId="77777777" w:rsidR="0047755E" w:rsidRPr="0047755E" w:rsidRDefault="0047755E" w:rsidP="0047755E">
      <w:pPr>
        <w:rPr>
          <w:sz w:val="20"/>
          <w:szCs w:val="20"/>
        </w:rPr>
      </w:pPr>
      <w:r w:rsidRPr="0047755E">
        <w:rPr>
          <w:sz w:val="20"/>
          <w:szCs w:val="20"/>
        </w:rPr>
        <w:t>W marcu 2026 roku stawki „</w:t>
      </w:r>
      <w:proofErr w:type="spellStart"/>
      <w:r w:rsidRPr="0047755E">
        <w:rPr>
          <w:sz w:val="20"/>
          <w:szCs w:val="20"/>
        </w:rPr>
        <w:t>premium</w:t>
      </w:r>
      <w:proofErr w:type="spellEnd"/>
      <w:r w:rsidRPr="0047755E">
        <w:rPr>
          <w:sz w:val="20"/>
          <w:szCs w:val="20"/>
        </w:rPr>
        <w:t>” za najlepsze powierzchnie biurowe w Warszawie wyniosły przeciętnie 24,00-29,00 EUR/ mkw./ miesiąc w strefie Centrum oraz 15,00-19,00 EUR/ mkw./ miesiąc w lokalizacjach niecentralnych. Wzrosty czynszu obserwowano przede wszystkim w budynkach w Centrum (zarówno w trakcie budowy jak i w obiektach istniejących). Czynsze w budynkach poza centrum również odnotowały wzrosty, choć o niższej skali – zbliżonej lub nieznacznie wyższej względem wskaźnika inflacji.</w:t>
      </w:r>
    </w:p>
    <w:p w14:paraId="0D470940" w14:textId="77777777" w:rsidR="0047755E" w:rsidRPr="0047755E" w:rsidRDefault="0047755E" w:rsidP="0047755E">
      <w:pPr>
        <w:rPr>
          <w:sz w:val="20"/>
          <w:szCs w:val="20"/>
        </w:rPr>
      </w:pPr>
      <w:r w:rsidRPr="0047755E">
        <w:rPr>
          <w:sz w:val="20"/>
          <w:szCs w:val="20"/>
        </w:rPr>
        <w:lastRenderedPageBreak/>
        <w:t>W miastach regionalnych najlepsze biura w centrum były oferowane średnio w przedziale cenowym 14,00-18,00 EUR/ mkw./ miesiąc, jednocześnie stawki czynszu wyższe od średniej odnotowywane są w budynkach nowo oddawanych lub umiejscowionych w szczególnie dobrych lokalizacjach.</w:t>
      </w:r>
    </w:p>
    <w:p w14:paraId="06459120" w14:textId="793A9B90" w:rsidR="008A3FD1" w:rsidRPr="0047755E" w:rsidRDefault="0047755E" w:rsidP="0047755E">
      <w:pPr>
        <w:rPr>
          <w:sz w:val="20"/>
          <w:szCs w:val="20"/>
        </w:rPr>
      </w:pPr>
      <w:r w:rsidRPr="0047755E">
        <w:rPr>
          <w:sz w:val="20"/>
          <w:szCs w:val="20"/>
        </w:rPr>
        <w:t>Wyższe koszty budowy, wykończenia powierzchni oraz finansowania inwestycji, a także lokalna koniunktura nadal wywierają znaczący wpływ na kształtowanie polityki czynszowej projektów nowo budowanych. Wysokość czynszu w biurowcach istniejących natomiast pozostaje uzależniona od atrakcyjności budynku dla potencjalnych najemców oraz sytuacji na konkretnym rynku.</w:t>
      </w:r>
    </w:p>
    <w:p w14:paraId="6027A700" w14:textId="77777777" w:rsidR="00755FB3" w:rsidRPr="00600412" w:rsidRDefault="00755FB3" w:rsidP="00600412">
      <w:pPr>
        <w:spacing w:line="240" w:lineRule="auto"/>
        <w:jc w:val="both"/>
        <w:rPr>
          <w:b/>
          <w:bCs/>
          <w:sz w:val="20"/>
          <w:szCs w:val="20"/>
        </w:rPr>
      </w:pPr>
    </w:p>
    <w:p w14:paraId="24A7950F" w14:textId="77777777" w:rsidR="00953949" w:rsidRDefault="00953949" w:rsidP="00096548">
      <w:pPr>
        <w:spacing w:line="240" w:lineRule="auto"/>
        <w:jc w:val="both"/>
        <w:rPr>
          <w:b/>
          <w:sz w:val="16"/>
          <w:szCs w:val="16"/>
        </w:rPr>
      </w:pPr>
    </w:p>
    <w:p w14:paraId="482909FA" w14:textId="4C0E1CC4" w:rsidR="004B3D1A" w:rsidRPr="00953949" w:rsidRDefault="004B3D1A" w:rsidP="00953949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 xml:space="preserve">O </w:t>
      </w:r>
      <w:proofErr w:type="spellStart"/>
      <w:r w:rsidRPr="007E6CDD">
        <w:rPr>
          <w:b/>
          <w:sz w:val="16"/>
          <w:szCs w:val="16"/>
        </w:rPr>
        <w:t>Cushman</w:t>
      </w:r>
      <w:proofErr w:type="spellEnd"/>
      <w:r w:rsidRPr="007E6CDD">
        <w:rPr>
          <w:b/>
          <w:sz w:val="16"/>
          <w:szCs w:val="16"/>
        </w:rPr>
        <w:t xml:space="preserve"> &amp; Wakefiel</w:t>
      </w:r>
      <w:r w:rsidR="00AC6DF8" w:rsidRPr="007E6CDD">
        <w:rPr>
          <w:b/>
          <w:sz w:val="16"/>
          <w:szCs w:val="16"/>
        </w:rPr>
        <w:t>d</w:t>
      </w:r>
    </w:p>
    <w:p w14:paraId="74A9581D" w14:textId="77777777" w:rsidR="00953949" w:rsidRPr="004170C0" w:rsidRDefault="00953949" w:rsidP="00953949">
      <w:pPr>
        <w:jc w:val="both"/>
        <w:rPr>
          <w:bCs/>
          <w:sz w:val="16"/>
          <w:szCs w:val="16"/>
        </w:rPr>
      </w:pP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Pr="004170C0">
        <w:rPr>
          <w:bCs/>
          <w:i/>
          <w:iCs/>
          <w:sz w:val="16"/>
          <w:szCs w:val="16"/>
        </w:rPr>
        <w:t>Better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never</w:t>
      </w:r>
      <w:proofErr w:type="spellEnd"/>
      <w:r w:rsidRPr="004170C0">
        <w:rPr>
          <w:bCs/>
          <w:i/>
          <w:iCs/>
          <w:sz w:val="16"/>
          <w:szCs w:val="16"/>
        </w:rPr>
        <w:t xml:space="preserve"> </w:t>
      </w:r>
      <w:proofErr w:type="spellStart"/>
      <w:r w:rsidRPr="004170C0">
        <w:rPr>
          <w:bCs/>
          <w:i/>
          <w:iCs/>
          <w:sz w:val="16"/>
          <w:szCs w:val="16"/>
        </w:rPr>
        <w:t>settles</w:t>
      </w:r>
      <w:proofErr w:type="spellEnd"/>
      <w:r w:rsidRPr="004170C0">
        <w:rPr>
          <w:bCs/>
          <w:sz w:val="16"/>
          <w:szCs w:val="16"/>
        </w:rPr>
        <w:t> </w:t>
      </w:r>
      <w:proofErr w:type="spellStart"/>
      <w:r w:rsidRPr="004170C0">
        <w:rPr>
          <w:bCs/>
          <w:sz w:val="16"/>
          <w:szCs w:val="16"/>
        </w:rPr>
        <w:t>Cushman</w:t>
      </w:r>
      <w:proofErr w:type="spellEnd"/>
      <w:r w:rsidRPr="004170C0">
        <w:rPr>
          <w:bCs/>
          <w:sz w:val="16"/>
          <w:szCs w:val="16"/>
        </w:rPr>
        <w:t xml:space="preserve">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</w:p>
    <w:p w14:paraId="64A83442" w14:textId="3BDC5694" w:rsidR="00BC2537" w:rsidRPr="00AF11EE" w:rsidRDefault="00A13F0B" w:rsidP="0017521E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="00CC60E7"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 w:rsidR="0085202E">
        <w:rPr>
          <w:rFonts w:eastAsia="Times New Roman"/>
          <w:b/>
          <w:bCs/>
          <w:sz w:val="16"/>
          <w:szCs w:val="16"/>
          <w:lang w:eastAsia="en-US"/>
        </w:rPr>
        <w:t>-</w:t>
      </w: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6077F" w14:textId="77777777" w:rsidR="00D25BD9" w:rsidRDefault="00D25BD9">
      <w:pPr>
        <w:spacing w:after="0" w:line="240" w:lineRule="auto"/>
      </w:pPr>
      <w:r>
        <w:separator/>
      </w:r>
    </w:p>
  </w:endnote>
  <w:endnote w:type="continuationSeparator" w:id="0">
    <w:p w14:paraId="1F889C59" w14:textId="77777777" w:rsidR="00D25BD9" w:rsidRDefault="00D25BD9">
      <w:pPr>
        <w:spacing w:after="0" w:line="240" w:lineRule="auto"/>
      </w:pPr>
      <w:r>
        <w:continuationSeparator/>
      </w:r>
    </w:p>
  </w:endnote>
  <w:endnote w:type="continuationNotice" w:id="1">
    <w:p w14:paraId="53AA6942" w14:textId="77777777" w:rsidR="00D25BD9" w:rsidRDefault="00D2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EC7EAE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8560"/>
            <w:gridCol w:w="220"/>
            <w:gridCol w:w="220"/>
          </w:tblGrid>
          <w:tr w:rsidR="003E5A4E" w:rsidRPr="00EC7EAE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leGrid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EC7EAE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1E19D5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E19D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 w:rsidRPr="001E19D5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1E19D5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E19D5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1E19D5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1E19D5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Tel: + 48 22 820 20 20; 691 060 202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yperlink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proofErr w:type="spellStart"/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  <w:proofErr w:type="spellEnd"/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333C1F" w:rsidRDefault="003E5A4E" w:rsidP="003E5A4E">
                      <w:pPr>
                        <w:pStyle w:val="ContactDetail"/>
                        <w:spacing w:line="240" w:lineRule="auto"/>
                        <w:rPr>
                          <w:lang w:val="de-DE"/>
                        </w:rPr>
                      </w:pPr>
                      <w:proofErr w:type="spellStart"/>
                      <w:r w:rsidRPr="00333C1F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333C1F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 w:rsidRPr="00333C1F">
                        <w:rPr>
                          <w:rStyle w:val="Hyperlink0"/>
                          <w:color w:val="008B98"/>
                          <w:lang w:val="de-DE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333C1F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333C1F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333C1F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333C1F" w:rsidRDefault="00025C81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EC7EAE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4DCEE" w14:textId="77777777" w:rsidR="00D25BD9" w:rsidRDefault="00D25BD9">
      <w:pPr>
        <w:spacing w:after="0" w:line="240" w:lineRule="auto"/>
      </w:pPr>
      <w:r>
        <w:separator/>
      </w:r>
    </w:p>
  </w:footnote>
  <w:footnote w:type="continuationSeparator" w:id="0">
    <w:p w14:paraId="5E42449A" w14:textId="77777777" w:rsidR="00D25BD9" w:rsidRDefault="00D25BD9">
      <w:pPr>
        <w:spacing w:after="0" w:line="240" w:lineRule="auto"/>
      </w:pPr>
      <w:r>
        <w:continuationSeparator/>
      </w:r>
    </w:p>
  </w:footnote>
  <w:footnote w:type="continuationNotice" w:id="1">
    <w:p w14:paraId="7AC61DF8" w14:textId="77777777" w:rsidR="00D25BD9" w:rsidRDefault="00D25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58402">
    <w:abstractNumId w:val="3"/>
  </w:num>
  <w:num w:numId="2" w16cid:durableId="922646369">
    <w:abstractNumId w:val="0"/>
  </w:num>
  <w:num w:numId="3" w16cid:durableId="1309627044">
    <w:abstractNumId w:val="2"/>
  </w:num>
  <w:num w:numId="4" w16cid:durableId="103889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0342"/>
    <w:rsid w:val="00030F9F"/>
    <w:rsid w:val="0003245E"/>
    <w:rsid w:val="000350F2"/>
    <w:rsid w:val="0004158F"/>
    <w:rsid w:val="0004310E"/>
    <w:rsid w:val="00044C5B"/>
    <w:rsid w:val="00051B59"/>
    <w:rsid w:val="00063FC7"/>
    <w:rsid w:val="00064A4E"/>
    <w:rsid w:val="00067DD3"/>
    <w:rsid w:val="00067FD0"/>
    <w:rsid w:val="000700E2"/>
    <w:rsid w:val="000720F5"/>
    <w:rsid w:val="0008371E"/>
    <w:rsid w:val="00083F43"/>
    <w:rsid w:val="0008451B"/>
    <w:rsid w:val="000854D7"/>
    <w:rsid w:val="00086C80"/>
    <w:rsid w:val="0008772D"/>
    <w:rsid w:val="0008799F"/>
    <w:rsid w:val="00092C27"/>
    <w:rsid w:val="00093540"/>
    <w:rsid w:val="00096548"/>
    <w:rsid w:val="000A3BE5"/>
    <w:rsid w:val="000A52F1"/>
    <w:rsid w:val="000A54A7"/>
    <w:rsid w:val="000A622E"/>
    <w:rsid w:val="000A6643"/>
    <w:rsid w:val="000B142D"/>
    <w:rsid w:val="000B29DE"/>
    <w:rsid w:val="000B4E80"/>
    <w:rsid w:val="000B57CB"/>
    <w:rsid w:val="000C30AD"/>
    <w:rsid w:val="000C4210"/>
    <w:rsid w:val="000C4294"/>
    <w:rsid w:val="000C585C"/>
    <w:rsid w:val="000D3C7C"/>
    <w:rsid w:val="000D4656"/>
    <w:rsid w:val="000D5790"/>
    <w:rsid w:val="000D5A72"/>
    <w:rsid w:val="000D5FED"/>
    <w:rsid w:val="000D68FD"/>
    <w:rsid w:val="000D7839"/>
    <w:rsid w:val="000F64E0"/>
    <w:rsid w:val="000F653E"/>
    <w:rsid w:val="000F7964"/>
    <w:rsid w:val="001013AF"/>
    <w:rsid w:val="001035B9"/>
    <w:rsid w:val="001062D1"/>
    <w:rsid w:val="00111135"/>
    <w:rsid w:val="00113B48"/>
    <w:rsid w:val="001141D8"/>
    <w:rsid w:val="001146DD"/>
    <w:rsid w:val="00114AF8"/>
    <w:rsid w:val="0011559A"/>
    <w:rsid w:val="00117A40"/>
    <w:rsid w:val="0012061A"/>
    <w:rsid w:val="00122668"/>
    <w:rsid w:val="001231BC"/>
    <w:rsid w:val="00132CB9"/>
    <w:rsid w:val="00132F07"/>
    <w:rsid w:val="00136098"/>
    <w:rsid w:val="00140D17"/>
    <w:rsid w:val="00140D8B"/>
    <w:rsid w:val="00150F3F"/>
    <w:rsid w:val="00156F9C"/>
    <w:rsid w:val="00160B7F"/>
    <w:rsid w:val="00160C7A"/>
    <w:rsid w:val="001635F6"/>
    <w:rsid w:val="00163CB5"/>
    <w:rsid w:val="001644DF"/>
    <w:rsid w:val="00166861"/>
    <w:rsid w:val="00166F71"/>
    <w:rsid w:val="00167436"/>
    <w:rsid w:val="001745E4"/>
    <w:rsid w:val="00174EBA"/>
    <w:rsid w:val="0017521E"/>
    <w:rsid w:val="00175FB4"/>
    <w:rsid w:val="00182C4F"/>
    <w:rsid w:val="00185967"/>
    <w:rsid w:val="001866B5"/>
    <w:rsid w:val="0018688B"/>
    <w:rsid w:val="00190FB3"/>
    <w:rsid w:val="001945FB"/>
    <w:rsid w:val="0019781C"/>
    <w:rsid w:val="001A4929"/>
    <w:rsid w:val="001A56D9"/>
    <w:rsid w:val="001A7372"/>
    <w:rsid w:val="001B5F5F"/>
    <w:rsid w:val="001B5FA0"/>
    <w:rsid w:val="001B7AE3"/>
    <w:rsid w:val="001C0591"/>
    <w:rsid w:val="001C7005"/>
    <w:rsid w:val="001D08F3"/>
    <w:rsid w:val="001D401E"/>
    <w:rsid w:val="001D4DE0"/>
    <w:rsid w:val="001D5EF0"/>
    <w:rsid w:val="001D617A"/>
    <w:rsid w:val="001E06FB"/>
    <w:rsid w:val="001E07D4"/>
    <w:rsid w:val="001E0E42"/>
    <w:rsid w:val="001E16E8"/>
    <w:rsid w:val="001E19D5"/>
    <w:rsid w:val="001E3C79"/>
    <w:rsid w:val="001E4E45"/>
    <w:rsid w:val="001E56EB"/>
    <w:rsid w:val="001F406E"/>
    <w:rsid w:val="001F5FEB"/>
    <w:rsid w:val="001F7E37"/>
    <w:rsid w:val="00206001"/>
    <w:rsid w:val="00207DD3"/>
    <w:rsid w:val="002117B9"/>
    <w:rsid w:val="002125FE"/>
    <w:rsid w:val="0021678E"/>
    <w:rsid w:val="00217BD6"/>
    <w:rsid w:val="00220676"/>
    <w:rsid w:val="00223F1E"/>
    <w:rsid w:val="002240B1"/>
    <w:rsid w:val="00224AA7"/>
    <w:rsid w:val="00231BCD"/>
    <w:rsid w:val="00232060"/>
    <w:rsid w:val="00235622"/>
    <w:rsid w:val="00236B04"/>
    <w:rsid w:val="0024225F"/>
    <w:rsid w:val="002426EF"/>
    <w:rsid w:val="0024400C"/>
    <w:rsid w:val="00246115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DC"/>
    <w:rsid w:val="0028046B"/>
    <w:rsid w:val="00281BFB"/>
    <w:rsid w:val="00281F4D"/>
    <w:rsid w:val="0028223D"/>
    <w:rsid w:val="00282FB7"/>
    <w:rsid w:val="00284E92"/>
    <w:rsid w:val="00285282"/>
    <w:rsid w:val="00286DC7"/>
    <w:rsid w:val="00293086"/>
    <w:rsid w:val="00293E07"/>
    <w:rsid w:val="00293ED2"/>
    <w:rsid w:val="0029437C"/>
    <w:rsid w:val="002958EB"/>
    <w:rsid w:val="0029652C"/>
    <w:rsid w:val="002967FF"/>
    <w:rsid w:val="002A37FC"/>
    <w:rsid w:val="002B2051"/>
    <w:rsid w:val="002B381B"/>
    <w:rsid w:val="002B4716"/>
    <w:rsid w:val="002B6B39"/>
    <w:rsid w:val="002C1DFF"/>
    <w:rsid w:val="002C480C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666"/>
    <w:rsid w:val="002F08E1"/>
    <w:rsid w:val="002F0F48"/>
    <w:rsid w:val="00300BC4"/>
    <w:rsid w:val="00302886"/>
    <w:rsid w:val="00306BFA"/>
    <w:rsid w:val="00307E44"/>
    <w:rsid w:val="00310AEF"/>
    <w:rsid w:val="00310D2A"/>
    <w:rsid w:val="003142AA"/>
    <w:rsid w:val="003156DD"/>
    <w:rsid w:val="0032157F"/>
    <w:rsid w:val="0032389F"/>
    <w:rsid w:val="00326E49"/>
    <w:rsid w:val="00331873"/>
    <w:rsid w:val="00333C1F"/>
    <w:rsid w:val="00334348"/>
    <w:rsid w:val="00342C1B"/>
    <w:rsid w:val="0034418D"/>
    <w:rsid w:val="00345D04"/>
    <w:rsid w:val="00345D09"/>
    <w:rsid w:val="003476AF"/>
    <w:rsid w:val="0035396B"/>
    <w:rsid w:val="00356977"/>
    <w:rsid w:val="00361CB3"/>
    <w:rsid w:val="00361E86"/>
    <w:rsid w:val="00364117"/>
    <w:rsid w:val="0036797A"/>
    <w:rsid w:val="00371AFD"/>
    <w:rsid w:val="00374DB8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5D7A"/>
    <w:rsid w:val="003C791A"/>
    <w:rsid w:val="003D1A23"/>
    <w:rsid w:val="003E003A"/>
    <w:rsid w:val="003E0201"/>
    <w:rsid w:val="003E3F99"/>
    <w:rsid w:val="003E5A4E"/>
    <w:rsid w:val="003F0545"/>
    <w:rsid w:val="003F31CD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3080"/>
    <w:rsid w:val="00426C7F"/>
    <w:rsid w:val="004274A1"/>
    <w:rsid w:val="004329C4"/>
    <w:rsid w:val="00432ACA"/>
    <w:rsid w:val="00435D4F"/>
    <w:rsid w:val="00436257"/>
    <w:rsid w:val="00436CE4"/>
    <w:rsid w:val="0043767F"/>
    <w:rsid w:val="00440D65"/>
    <w:rsid w:val="00443EFE"/>
    <w:rsid w:val="00451C25"/>
    <w:rsid w:val="00452FD6"/>
    <w:rsid w:val="00454311"/>
    <w:rsid w:val="00456C2D"/>
    <w:rsid w:val="00457041"/>
    <w:rsid w:val="00457545"/>
    <w:rsid w:val="00461B2F"/>
    <w:rsid w:val="00462B62"/>
    <w:rsid w:val="00464434"/>
    <w:rsid w:val="0046472E"/>
    <w:rsid w:val="00464B72"/>
    <w:rsid w:val="00466300"/>
    <w:rsid w:val="00466ABC"/>
    <w:rsid w:val="004678CA"/>
    <w:rsid w:val="004701AA"/>
    <w:rsid w:val="00471A22"/>
    <w:rsid w:val="0047755E"/>
    <w:rsid w:val="004900F3"/>
    <w:rsid w:val="004901B7"/>
    <w:rsid w:val="00490581"/>
    <w:rsid w:val="00491EA1"/>
    <w:rsid w:val="0049367E"/>
    <w:rsid w:val="004939D4"/>
    <w:rsid w:val="004972E1"/>
    <w:rsid w:val="00497908"/>
    <w:rsid w:val="004A01E8"/>
    <w:rsid w:val="004A19E7"/>
    <w:rsid w:val="004A5B66"/>
    <w:rsid w:val="004B045A"/>
    <w:rsid w:val="004B0979"/>
    <w:rsid w:val="004B3D1A"/>
    <w:rsid w:val="004B5A43"/>
    <w:rsid w:val="004C2C37"/>
    <w:rsid w:val="004C49CA"/>
    <w:rsid w:val="004D07CC"/>
    <w:rsid w:val="004D080E"/>
    <w:rsid w:val="004D16D5"/>
    <w:rsid w:val="004D68AD"/>
    <w:rsid w:val="004D6A3C"/>
    <w:rsid w:val="004D7C3B"/>
    <w:rsid w:val="004E0237"/>
    <w:rsid w:val="004E46E9"/>
    <w:rsid w:val="004E5A7E"/>
    <w:rsid w:val="004E7185"/>
    <w:rsid w:val="004F424E"/>
    <w:rsid w:val="00502E72"/>
    <w:rsid w:val="0050412F"/>
    <w:rsid w:val="00504405"/>
    <w:rsid w:val="00512047"/>
    <w:rsid w:val="00512ADF"/>
    <w:rsid w:val="0051329D"/>
    <w:rsid w:val="005136A0"/>
    <w:rsid w:val="0051644B"/>
    <w:rsid w:val="00517B59"/>
    <w:rsid w:val="00520076"/>
    <w:rsid w:val="00521CF3"/>
    <w:rsid w:val="005229AB"/>
    <w:rsid w:val="00526757"/>
    <w:rsid w:val="005303CC"/>
    <w:rsid w:val="00531CF4"/>
    <w:rsid w:val="00531D93"/>
    <w:rsid w:val="005323BE"/>
    <w:rsid w:val="005352C0"/>
    <w:rsid w:val="005369D7"/>
    <w:rsid w:val="00537747"/>
    <w:rsid w:val="00541459"/>
    <w:rsid w:val="00541D5B"/>
    <w:rsid w:val="00552477"/>
    <w:rsid w:val="00553B06"/>
    <w:rsid w:val="0055434C"/>
    <w:rsid w:val="00561829"/>
    <w:rsid w:val="005631C3"/>
    <w:rsid w:val="00566AB7"/>
    <w:rsid w:val="00566BCC"/>
    <w:rsid w:val="00577005"/>
    <w:rsid w:val="005806AC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479B"/>
    <w:rsid w:val="005A703D"/>
    <w:rsid w:val="005B3C7F"/>
    <w:rsid w:val="005B4D77"/>
    <w:rsid w:val="005B5063"/>
    <w:rsid w:val="005B71DB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D7A44"/>
    <w:rsid w:val="005D7B39"/>
    <w:rsid w:val="005E14FE"/>
    <w:rsid w:val="005E2C9B"/>
    <w:rsid w:val="005E2EC7"/>
    <w:rsid w:val="005E36C1"/>
    <w:rsid w:val="005E49BA"/>
    <w:rsid w:val="005F709A"/>
    <w:rsid w:val="00600412"/>
    <w:rsid w:val="00601B86"/>
    <w:rsid w:val="006020AF"/>
    <w:rsid w:val="00603782"/>
    <w:rsid w:val="00606E7D"/>
    <w:rsid w:val="00606F29"/>
    <w:rsid w:val="00607408"/>
    <w:rsid w:val="00612A79"/>
    <w:rsid w:val="00612C9B"/>
    <w:rsid w:val="006151F1"/>
    <w:rsid w:val="006160F9"/>
    <w:rsid w:val="00617929"/>
    <w:rsid w:val="00620AD0"/>
    <w:rsid w:val="00624E73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5954"/>
    <w:rsid w:val="006468A8"/>
    <w:rsid w:val="00647BF0"/>
    <w:rsid w:val="00653D04"/>
    <w:rsid w:val="00654588"/>
    <w:rsid w:val="00655594"/>
    <w:rsid w:val="00661892"/>
    <w:rsid w:val="00662194"/>
    <w:rsid w:val="00670CB1"/>
    <w:rsid w:val="006714A0"/>
    <w:rsid w:val="00674476"/>
    <w:rsid w:val="00674AAF"/>
    <w:rsid w:val="00675B1B"/>
    <w:rsid w:val="0067607F"/>
    <w:rsid w:val="006807CC"/>
    <w:rsid w:val="00680E8C"/>
    <w:rsid w:val="00682152"/>
    <w:rsid w:val="00682F1F"/>
    <w:rsid w:val="00683345"/>
    <w:rsid w:val="0068616F"/>
    <w:rsid w:val="00686CF4"/>
    <w:rsid w:val="0069258A"/>
    <w:rsid w:val="00695E5E"/>
    <w:rsid w:val="00697D3A"/>
    <w:rsid w:val="006A32B9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D189F"/>
    <w:rsid w:val="006D1EF1"/>
    <w:rsid w:val="006D48DF"/>
    <w:rsid w:val="006D68E0"/>
    <w:rsid w:val="006E00D9"/>
    <w:rsid w:val="006E2861"/>
    <w:rsid w:val="006E2DCD"/>
    <w:rsid w:val="006E40B1"/>
    <w:rsid w:val="006E5816"/>
    <w:rsid w:val="006F06A0"/>
    <w:rsid w:val="006F1B8B"/>
    <w:rsid w:val="006F5276"/>
    <w:rsid w:val="007014E6"/>
    <w:rsid w:val="00703171"/>
    <w:rsid w:val="00706617"/>
    <w:rsid w:val="00710F25"/>
    <w:rsid w:val="00711651"/>
    <w:rsid w:val="00712ED4"/>
    <w:rsid w:val="00717324"/>
    <w:rsid w:val="00720D9F"/>
    <w:rsid w:val="00725E13"/>
    <w:rsid w:val="00730FCD"/>
    <w:rsid w:val="00730FFB"/>
    <w:rsid w:val="007326D4"/>
    <w:rsid w:val="00736158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5FB3"/>
    <w:rsid w:val="00757A3F"/>
    <w:rsid w:val="007640FE"/>
    <w:rsid w:val="00770B4C"/>
    <w:rsid w:val="00771251"/>
    <w:rsid w:val="00772C4F"/>
    <w:rsid w:val="00773AAB"/>
    <w:rsid w:val="007749A3"/>
    <w:rsid w:val="00775E16"/>
    <w:rsid w:val="00781D70"/>
    <w:rsid w:val="00782A9B"/>
    <w:rsid w:val="00783672"/>
    <w:rsid w:val="007861CB"/>
    <w:rsid w:val="00787FC4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31AA"/>
    <w:rsid w:val="007E43DD"/>
    <w:rsid w:val="007E6CDD"/>
    <w:rsid w:val="007F13AB"/>
    <w:rsid w:val="007F2FE9"/>
    <w:rsid w:val="007F3CE5"/>
    <w:rsid w:val="007F5890"/>
    <w:rsid w:val="007F634B"/>
    <w:rsid w:val="007F69FA"/>
    <w:rsid w:val="008014DA"/>
    <w:rsid w:val="00802ECA"/>
    <w:rsid w:val="0081370C"/>
    <w:rsid w:val="0081778B"/>
    <w:rsid w:val="0082036C"/>
    <w:rsid w:val="00821380"/>
    <w:rsid w:val="00823F25"/>
    <w:rsid w:val="00824654"/>
    <w:rsid w:val="00824D18"/>
    <w:rsid w:val="00824F73"/>
    <w:rsid w:val="0083179A"/>
    <w:rsid w:val="00831B7D"/>
    <w:rsid w:val="00832C08"/>
    <w:rsid w:val="0083469F"/>
    <w:rsid w:val="0083535A"/>
    <w:rsid w:val="00836AD4"/>
    <w:rsid w:val="00837FAC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6015"/>
    <w:rsid w:val="008772B7"/>
    <w:rsid w:val="0087786B"/>
    <w:rsid w:val="00880E20"/>
    <w:rsid w:val="00881769"/>
    <w:rsid w:val="00882E1D"/>
    <w:rsid w:val="00884568"/>
    <w:rsid w:val="008848B1"/>
    <w:rsid w:val="00885E0C"/>
    <w:rsid w:val="00887B2F"/>
    <w:rsid w:val="00895739"/>
    <w:rsid w:val="00895809"/>
    <w:rsid w:val="00895F80"/>
    <w:rsid w:val="008972B1"/>
    <w:rsid w:val="008974F3"/>
    <w:rsid w:val="008A1F30"/>
    <w:rsid w:val="008A26A0"/>
    <w:rsid w:val="008A3F07"/>
    <w:rsid w:val="008A3FD1"/>
    <w:rsid w:val="008A55CD"/>
    <w:rsid w:val="008A6792"/>
    <w:rsid w:val="008B26B4"/>
    <w:rsid w:val="008B4539"/>
    <w:rsid w:val="008B5039"/>
    <w:rsid w:val="008C14E5"/>
    <w:rsid w:val="008C42CD"/>
    <w:rsid w:val="008C5675"/>
    <w:rsid w:val="008C6C53"/>
    <w:rsid w:val="008D009F"/>
    <w:rsid w:val="008D57E3"/>
    <w:rsid w:val="008E2829"/>
    <w:rsid w:val="008E3F83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E04"/>
    <w:rsid w:val="00911FF4"/>
    <w:rsid w:val="00914465"/>
    <w:rsid w:val="0091784B"/>
    <w:rsid w:val="00917C8E"/>
    <w:rsid w:val="00920635"/>
    <w:rsid w:val="00920BE7"/>
    <w:rsid w:val="00921FC7"/>
    <w:rsid w:val="00927365"/>
    <w:rsid w:val="0093261C"/>
    <w:rsid w:val="009337AC"/>
    <w:rsid w:val="00933A46"/>
    <w:rsid w:val="00935219"/>
    <w:rsid w:val="00936840"/>
    <w:rsid w:val="00936A3D"/>
    <w:rsid w:val="00941B66"/>
    <w:rsid w:val="00942BB2"/>
    <w:rsid w:val="00943336"/>
    <w:rsid w:val="00946C47"/>
    <w:rsid w:val="00951E2E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9D2"/>
    <w:rsid w:val="00976C95"/>
    <w:rsid w:val="00977641"/>
    <w:rsid w:val="00977AE0"/>
    <w:rsid w:val="0098288E"/>
    <w:rsid w:val="00986590"/>
    <w:rsid w:val="009902A1"/>
    <w:rsid w:val="00993D91"/>
    <w:rsid w:val="00994AF6"/>
    <w:rsid w:val="00997139"/>
    <w:rsid w:val="009A1D96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E7A3D"/>
    <w:rsid w:val="009F15E7"/>
    <w:rsid w:val="009F196F"/>
    <w:rsid w:val="009F274E"/>
    <w:rsid w:val="009F35CD"/>
    <w:rsid w:val="009F4E24"/>
    <w:rsid w:val="009F6820"/>
    <w:rsid w:val="00A01FCE"/>
    <w:rsid w:val="00A06149"/>
    <w:rsid w:val="00A0629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30D"/>
    <w:rsid w:val="00A27372"/>
    <w:rsid w:val="00A31C14"/>
    <w:rsid w:val="00A31F0C"/>
    <w:rsid w:val="00A32173"/>
    <w:rsid w:val="00A33731"/>
    <w:rsid w:val="00A33E4A"/>
    <w:rsid w:val="00A344ED"/>
    <w:rsid w:val="00A40D70"/>
    <w:rsid w:val="00A425AB"/>
    <w:rsid w:val="00A42E68"/>
    <w:rsid w:val="00A4481B"/>
    <w:rsid w:val="00A44A37"/>
    <w:rsid w:val="00A47FCD"/>
    <w:rsid w:val="00A54E85"/>
    <w:rsid w:val="00A54FA6"/>
    <w:rsid w:val="00A55BAF"/>
    <w:rsid w:val="00A63543"/>
    <w:rsid w:val="00A664F9"/>
    <w:rsid w:val="00A669E5"/>
    <w:rsid w:val="00A71CFC"/>
    <w:rsid w:val="00A7430D"/>
    <w:rsid w:val="00A74CD5"/>
    <w:rsid w:val="00A74D49"/>
    <w:rsid w:val="00A758B5"/>
    <w:rsid w:val="00A840D5"/>
    <w:rsid w:val="00A86B2E"/>
    <w:rsid w:val="00A91E08"/>
    <w:rsid w:val="00A93515"/>
    <w:rsid w:val="00A959F1"/>
    <w:rsid w:val="00A97129"/>
    <w:rsid w:val="00A97D53"/>
    <w:rsid w:val="00AA15B2"/>
    <w:rsid w:val="00AA2003"/>
    <w:rsid w:val="00AA2FAB"/>
    <w:rsid w:val="00AA3E59"/>
    <w:rsid w:val="00AA69D2"/>
    <w:rsid w:val="00AB1473"/>
    <w:rsid w:val="00AB1C5F"/>
    <w:rsid w:val="00AB6698"/>
    <w:rsid w:val="00AC0236"/>
    <w:rsid w:val="00AC5B79"/>
    <w:rsid w:val="00AC6DF8"/>
    <w:rsid w:val="00AD1746"/>
    <w:rsid w:val="00AD1D8B"/>
    <w:rsid w:val="00AD30C6"/>
    <w:rsid w:val="00AD3963"/>
    <w:rsid w:val="00AD4DD9"/>
    <w:rsid w:val="00AF117D"/>
    <w:rsid w:val="00AF11EE"/>
    <w:rsid w:val="00AF254B"/>
    <w:rsid w:val="00AF3E86"/>
    <w:rsid w:val="00B00A44"/>
    <w:rsid w:val="00B01460"/>
    <w:rsid w:val="00B0179B"/>
    <w:rsid w:val="00B022DB"/>
    <w:rsid w:val="00B0311A"/>
    <w:rsid w:val="00B05EB8"/>
    <w:rsid w:val="00B077A8"/>
    <w:rsid w:val="00B07983"/>
    <w:rsid w:val="00B10699"/>
    <w:rsid w:val="00B133BB"/>
    <w:rsid w:val="00B14FED"/>
    <w:rsid w:val="00B15D9B"/>
    <w:rsid w:val="00B15EE3"/>
    <w:rsid w:val="00B1656B"/>
    <w:rsid w:val="00B2047D"/>
    <w:rsid w:val="00B22689"/>
    <w:rsid w:val="00B27B61"/>
    <w:rsid w:val="00B32C6C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6E12"/>
    <w:rsid w:val="00B6706E"/>
    <w:rsid w:val="00B67758"/>
    <w:rsid w:val="00B70FF6"/>
    <w:rsid w:val="00B77802"/>
    <w:rsid w:val="00B77D91"/>
    <w:rsid w:val="00B807B3"/>
    <w:rsid w:val="00B807FC"/>
    <w:rsid w:val="00B812E5"/>
    <w:rsid w:val="00B83758"/>
    <w:rsid w:val="00B84A0E"/>
    <w:rsid w:val="00B84C11"/>
    <w:rsid w:val="00B86966"/>
    <w:rsid w:val="00B86C86"/>
    <w:rsid w:val="00B94515"/>
    <w:rsid w:val="00B95B93"/>
    <w:rsid w:val="00B968AA"/>
    <w:rsid w:val="00B970B4"/>
    <w:rsid w:val="00BA02B0"/>
    <w:rsid w:val="00BA03C4"/>
    <w:rsid w:val="00BA3159"/>
    <w:rsid w:val="00BB1585"/>
    <w:rsid w:val="00BB5E4C"/>
    <w:rsid w:val="00BC0DD4"/>
    <w:rsid w:val="00BC1E2F"/>
    <w:rsid w:val="00BC2537"/>
    <w:rsid w:val="00BC3FDB"/>
    <w:rsid w:val="00BC77DB"/>
    <w:rsid w:val="00BD1331"/>
    <w:rsid w:val="00BD14D7"/>
    <w:rsid w:val="00BD2944"/>
    <w:rsid w:val="00BD36A0"/>
    <w:rsid w:val="00BE0588"/>
    <w:rsid w:val="00BE1BE1"/>
    <w:rsid w:val="00BE3533"/>
    <w:rsid w:val="00BE4E4B"/>
    <w:rsid w:val="00BE5319"/>
    <w:rsid w:val="00BE65D4"/>
    <w:rsid w:val="00BE7960"/>
    <w:rsid w:val="00BF10D0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25E8"/>
    <w:rsid w:val="00C166DD"/>
    <w:rsid w:val="00C21303"/>
    <w:rsid w:val="00C22606"/>
    <w:rsid w:val="00C238C5"/>
    <w:rsid w:val="00C2430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36AE4"/>
    <w:rsid w:val="00C40209"/>
    <w:rsid w:val="00C418F2"/>
    <w:rsid w:val="00C45FBA"/>
    <w:rsid w:val="00C473D1"/>
    <w:rsid w:val="00C50CBE"/>
    <w:rsid w:val="00C547C9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4C63"/>
    <w:rsid w:val="00C85469"/>
    <w:rsid w:val="00C857C0"/>
    <w:rsid w:val="00C875B3"/>
    <w:rsid w:val="00C92A7E"/>
    <w:rsid w:val="00C96481"/>
    <w:rsid w:val="00CA19DF"/>
    <w:rsid w:val="00CA7AF0"/>
    <w:rsid w:val="00CB2FB2"/>
    <w:rsid w:val="00CB613F"/>
    <w:rsid w:val="00CB7946"/>
    <w:rsid w:val="00CB7A18"/>
    <w:rsid w:val="00CC60E7"/>
    <w:rsid w:val="00CC7487"/>
    <w:rsid w:val="00CD1E6A"/>
    <w:rsid w:val="00CD34FC"/>
    <w:rsid w:val="00CD706B"/>
    <w:rsid w:val="00CE1EF8"/>
    <w:rsid w:val="00CE213B"/>
    <w:rsid w:val="00CE6049"/>
    <w:rsid w:val="00CF0AA6"/>
    <w:rsid w:val="00CF5812"/>
    <w:rsid w:val="00CF5A63"/>
    <w:rsid w:val="00CF6633"/>
    <w:rsid w:val="00CF7130"/>
    <w:rsid w:val="00D013E9"/>
    <w:rsid w:val="00D076D0"/>
    <w:rsid w:val="00D11375"/>
    <w:rsid w:val="00D134B7"/>
    <w:rsid w:val="00D13894"/>
    <w:rsid w:val="00D15257"/>
    <w:rsid w:val="00D20FAA"/>
    <w:rsid w:val="00D21D09"/>
    <w:rsid w:val="00D25BD9"/>
    <w:rsid w:val="00D36A8C"/>
    <w:rsid w:val="00D428F4"/>
    <w:rsid w:val="00D43181"/>
    <w:rsid w:val="00D43EDE"/>
    <w:rsid w:val="00D4536C"/>
    <w:rsid w:val="00D45C41"/>
    <w:rsid w:val="00D461DE"/>
    <w:rsid w:val="00D50DE5"/>
    <w:rsid w:val="00D54B27"/>
    <w:rsid w:val="00D54CC0"/>
    <w:rsid w:val="00D55035"/>
    <w:rsid w:val="00D578D3"/>
    <w:rsid w:val="00D621B5"/>
    <w:rsid w:val="00D63DA8"/>
    <w:rsid w:val="00D73A86"/>
    <w:rsid w:val="00D74BA3"/>
    <w:rsid w:val="00D7555A"/>
    <w:rsid w:val="00D7748E"/>
    <w:rsid w:val="00D804D2"/>
    <w:rsid w:val="00D81E2F"/>
    <w:rsid w:val="00D83060"/>
    <w:rsid w:val="00D84A2D"/>
    <w:rsid w:val="00D85A2D"/>
    <w:rsid w:val="00D8749B"/>
    <w:rsid w:val="00D87DB9"/>
    <w:rsid w:val="00D925A4"/>
    <w:rsid w:val="00DA0C9A"/>
    <w:rsid w:val="00DA3088"/>
    <w:rsid w:val="00DA4CF2"/>
    <w:rsid w:val="00DA68EF"/>
    <w:rsid w:val="00DB09A5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A91"/>
    <w:rsid w:val="00DE6B35"/>
    <w:rsid w:val="00DE70C2"/>
    <w:rsid w:val="00DE7DF4"/>
    <w:rsid w:val="00DF0675"/>
    <w:rsid w:val="00DF46A7"/>
    <w:rsid w:val="00DF4FE6"/>
    <w:rsid w:val="00DF580D"/>
    <w:rsid w:val="00DF6FDA"/>
    <w:rsid w:val="00DF7E2B"/>
    <w:rsid w:val="00E0314E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268D5"/>
    <w:rsid w:val="00E3060A"/>
    <w:rsid w:val="00E30FFC"/>
    <w:rsid w:val="00E327A1"/>
    <w:rsid w:val="00E33EF0"/>
    <w:rsid w:val="00E35957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63386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347E"/>
    <w:rsid w:val="00EA5F36"/>
    <w:rsid w:val="00EA7A70"/>
    <w:rsid w:val="00EB15F9"/>
    <w:rsid w:val="00EB2AAE"/>
    <w:rsid w:val="00EB2FED"/>
    <w:rsid w:val="00EB555F"/>
    <w:rsid w:val="00EB57CA"/>
    <w:rsid w:val="00EB76D8"/>
    <w:rsid w:val="00EC07F6"/>
    <w:rsid w:val="00EC07FA"/>
    <w:rsid w:val="00EC3FB8"/>
    <w:rsid w:val="00EC5B03"/>
    <w:rsid w:val="00EC6D9E"/>
    <w:rsid w:val="00EC77D0"/>
    <w:rsid w:val="00EC7EAE"/>
    <w:rsid w:val="00ED171F"/>
    <w:rsid w:val="00ED3B0C"/>
    <w:rsid w:val="00ED7B80"/>
    <w:rsid w:val="00EE087B"/>
    <w:rsid w:val="00EE0CC2"/>
    <w:rsid w:val="00EE18F8"/>
    <w:rsid w:val="00EE2204"/>
    <w:rsid w:val="00EE31D9"/>
    <w:rsid w:val="00EE33B8"/>
    <w:rsid w:val="00EF0C53"/>
    <w:rsid w:val="00EF0E92"/>
    <w:rsid w:val="00EF368A"/>
    <w:rsid w:val="00EF381B"/>
    <w:rsid w:val="00EF4795"/>
    <w:rsid w:val="00EF4FE0"/>
    <w:rsid w:val="00EF6F9D"/>
    <w:rsid w:val="00EF7495"/>
    <w:rsid w:val="00F038F0"/>
    <w:rsid w:val="00F04E2C"/>
    <w:rsid w:val="00F06CE8"/>
    <w:rsid w:val="00F0783D"/>
    <w:rsid w:val="00F12E5F"/>
    <w:rsid w:val="00F14E08"/>
    <w:rsid w:val="00F203B0"/>
    <w:rsid w:val="00F20CD7"/>
    <w:rsid w:val="00F210E9"/>
    <w:rsid w:val="00F2150A"/>
    <w:rsid w:val="00F22AF0"/>
    <w:rsid w:val="00F23D0D"/>
    <w:rsid w:val="00F23FE6"/>
    <w:rsid w:val="00F25A65"/>
    <w:rsid w:val="00F32A60"/>
    <w:rsid w:val="00F33929"/>
    <w:rsid w:val="00F35BB4"/>
    <w:rsid w:val="00F36E8E"/>
    <w:rsid w:val="00F424C2"/>
    <w:rsid w:val="00F42C1C"/>
    <w:rsid w:val="00F4744B"/>
    <w:rsid w:val="00F47E0F"/>
    <w:rsid w:val="00F504FB"/>
    <w:rsid w:val="00F55691"/>
    <w:rsid w:val="00F55B87"/>
    <w:rsid w:val="00F6361F"/>
    <w:rsid w:val="00F65724"/>
    <w:rsid w:val="00F66561"/>
    <w:rsid w:val="00F70B21"/>
    <w:rsid w:val="00F71390"/>
    <w:rsid w:val="00F72F62"/>
    <w:rsid w:val="00F737D1"/>
    <w:rsid w:val="00F73E1F"/>
    <w:rsid w:val="00F77459"/>
    <w:rsid w:val="00F809EE"/>
    <w:rsid w:val="00F83CC3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192F"/>
    <w:rsid w:val="00FA3D05"/>
    <w:rsid w:val="00FA4C1B"/>
    <w:rsid w:val="00FA5355"/>
    <w:rsid w:val="00FA6BF1"/>
    <w:rsid w:val="00FB4542"/>
    <w:rsid w:val="00FB6C2F"/>
    <w:rsid w:val="00FC0091"/>
    <w:rsid w:val="00FC10E9"/>
    <w:rsid w:val="00FC4FF0"/>
    <w:rsid w:val="00FC57BC"/>
    <w:rsid w:val="00FC5D7E"/>
    <w:rsid w:val="00FD01DC"/>
    <w:rsid w:val="00FD01E1"/>
    <w:rsid w:val="00FD13B2"/>
    <w:rsid w:val="00FD16EA"/>
    <w:rsid w:val="00FD3EA0"/>
    <w:rsid w:val="00FD4DFC"/>
    <w:rsid w:val="00FD6173"/>
    <w:rsid w:val="00FE19A7"/>
    <w:rsid w:val="00FE3132"/>
    <w:rsid w:val="00FE47F2"/>
    <w:rsid w:val="00FE6C0D"/>
    <w:rsid w:val="00FF10DD"/>
    <w:rsid w:val="00FF1194"/>
    <w:rsid w:val="00FF25B5"/>
    <w:rsid w:val="00FF2F68"/>
    <w:rsid w:val="00FF3C7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431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310E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6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8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2026-05-04T08:04:00Z</dcterms:created>
  <dcterms:modified xsi:type="dcterms:W3CDTF">2026-05-04T08:04:00Z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