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D313" w14:textId="3F2CEDE9" w:rsidR="006450DE" w:rsidRDefault="006450DE" w:rsidP="006450DE">
      <w:pPr>
        <w:spacing w:before="240" w:after="240" w:line="30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 w:rsidRPr="00164DBA">
        <w:rPr>
          <w:color w:val="000000"/>
        </w:rPr>
        <w:t xml:space="preserve">Warszawa </w:t>
      </w:r>
      <w:r w:rsidR="00942460">
        <w:rPr>
          <w:color w:val="000000"/>
        </w:rPr>
        <w:t>30.04</w:t>
      </w:r>
      <w:r w:rsidRPr="00164DBA">
        <w:rPr>
          <w:color w:val="000000"/>
        </w:rPr>
        <w:t>.202</w:t>
      </w:r>
      <w:r w:rsidR="005338AB">
        <w:rPr>
          <w:color w:val="000000"/>
        </w:rPr>
        <w:t>6</w:t>
      </w:r>
      <w:r w:rsidRPr="00164DBA">
        <w:rPr>
          <w:color w:val="000000"/>
        </w:rPr>
        <w:t xml:space="preserve"> r.</w:t>
      </w:r>
    </w:p>
    <w:p w14:paraId="6464C044" w14:textId="77777777" w:rsidR="00337416" w:rsidRDefault="00337416" w:rsidP="00337416">
      <w:pPr>
        <w:spacing w:before="480" w:after="480" w:line="259" w:lineRule="auto"/>
        <w:jc w:val="both"/>
        <w:rPr>
          <w:sz w:val="24"/>
          <w:szCs w:val="24"/>
        </w:rPr>
      </w:pPr>
      <w:bookmarkStart w:id="0" w:name="_Hlk152687382"/>
      <w:r>
        <w:rPr>
          <w:sz w:val="24"/>
          <w:szCs w:val="24"/>
        </w:rPr>
        <w:t>INFORMACJA PRASOWA</w:t>
      </w:r>
    </w:p>
    <w:p w14:paraId="1D806682" w14:textId="77777777" w:rsidR="00A4416C" w:rsidRDefault="00A4416C" w:rsidP="00AD1ED7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284A2148" w14:textId="7C7E89FB" w:rsidR="00AD1ED7" w:rsidRPr="00AD1ED7" w:rsidRDefault="004653DE" w:rsidP="00AD1ED7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4653DE">
        <w:rPr>
          <w:rFonts w:ascii="Calibri" w:hAnsi="Calibri" w:cs="Calibri"/>
          <w:b/>
          <w:bCs/>
          <w:sz w:val="28"/>
          <w:szCs w:val="28"/>
        </w:rPr>
        <w:t xml:space="preserve">BIG InfoMonitor: </w:t>
      </w:r>
      <w:r w:rsidR="002676BA" w:rsidRPr="002676BA">
        <w:rPr>
          <w:rFonts w:ascii="Calibri" w:hAnsi="Calibri" w:cs="Calibri"/>
          <w:b/>
          <w:bCs/>
          <w:sz w:val="28"/>
          <w:szCs w:val="28"/>
        </w:rPr>
        <w:t xml:space="preserve">Gospodarka na hamulcu bezpieczeństwa. Rosnące koszty i miliardowe zaległości </w:t>
      </w:r>
      <w:r w:rsidR="002676BA" w:rsidRPr="00120ADA">
        <w:rPr>
          <w:rFonts w:ascii="Calibri" w:hAnsi="Calibri" w:cs="Calibri"/>
          <w:b/>
          <w:bCs/>
          <w:sz w:val="28"/>
          <w:szCs w:val="28"/>
        </w:rPr>
        <w:t>zamrażają inwestycje polskich firm</w:t>
      </w:r>
    </w:p>
    <w:p w14:paraId="1CBDE654" w14:textId="71C00D37" w:rsidR="002676BA" w:rsidRDefault="002676BA" w:rsidP="003609C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2676BA">
        <w:rPr>
          <w:rFonts w:ascii="Calibri" w:eastAsia="Calibri" w:hAnsi="Calibri" w:cs="Calibri"/>
          <w:b/>
          <w:bCs/>
          <w:color w:val="161616"/>
        </w:rPr>
        <w:t>Polska gospodarka wchodzi w drugi kwartał 2026 roku w warunkach podwyższonego ryzyka</w:t>
      </w:r>
      <w:r w:rsidR="00120ADA">
        <w:rPr>
          <w:rFonts w:ascii="Calibri" w:eastAsia="Calibri" w:hAnsi="Calibri" w:cs="Calibri"/>
          <w:b/>
          <w:bCs/>
          <w:color w:val="161616"/>
        </w:rPr>
        <w:t xml:space="preserve">. </w:t>
      </w:r>
      <w:r w:rsidR="000D42E1">
        <w:rPr>
          <w:rFonts w:ascii="Calibri" w:eastAsia="Calibri" w:hAnsi="Calibri" w:cs="Calibri"/>
          <w:b/>
          <w:bCs/>
          <w:color w:val="161616"/>
        </w:rPr>
        <w:t>A</w:t>
      </w:r>
      <w:r w:rsidRPr="002676BA">
        <w:rPr>
          <w:rFonts w:ascii="Calibri" w:eastAsia="Calibri" w:hAnsi="Calibri" w:cs="Calibri"/>
          <w:b/>
          <w:bCs/>
          <w:color w:val="161616"/>
        </w:rPr>
        <w:t xml:space="preserve">ż 87 proc. przedsiębiorców zmaga się z nieterminowymi płatnościami </w:t>
      </w:r>
      <w:r w:rsidR="00526D41">
        <w:rPr>
          <w:rFonts w:ascii="Calibri" w:eastAsia="Calibri" w:hAnsi="Calibri" w:cs="Calibri"/>
          <w:b/>
          <w:bCs/>
          <w:color w:val="161616"/>
        </w:rPr>
        <w:t>ze strony</w:t>
      </w:r>
      <w:r w:rsidRPr="002676BA">
        <w:rPr>
          <w:rFonts w:ascii="Calibri" w:eastAsia="Calibri" w:hAnsi="Calibri" w:cs="Calibri"/>
          <w:b/>
          <w:bCs/>
          <w:color w:val="161616"/>
        </w:rPr>
        <w:t xml:space="preserve"> kontrahentów</w:t>
      </w:r>
      <w:r w:rsidR="000D42E1">
        <w:rPr>
          <w:rFonts w:ascii="Calibri" w:eastAsia="Calibri" w:hAnsi="Calibri" w:cs="Calibri"/>
          <w:b/>
          <w:bCs/>
          <w:color w:val="161616"/>
        </w:rPr>
        <w:t>, co coraz mocniej obciąża bieżącą działalność firm.</w:t>
      </w:r>
      <w:r w:rsidRPr="002676BA">
        <w:rPr>
          <w:rFonts w:ascii="Calibri" w:eastAsia="Calibri" w:hAnsi="Calibri" w:cs="Calibri"/>
          <w:b/>
          <w:bCs/>
          <w:color w:val="161616"/>
        </w:rPr>
        <w:t xml:space="preserve"> </w:t>
      </w:r>
      <w:r w:rsidR="00D266A1" w:rsidRPr="00D266A1">
        <w:rPr>
          <w:rFonts w:ascii="Calibri" w:eastAsia="Calibri" w:hAnsi="Calibri" w:cs="Calibri"/>
          <w:b/>
          <w:bCs/>
          <w:color w:val="161616"/>
        </w:rPr>
        <w:t xml:space="preserve">Dla blisko jednej trzeciej </w:t>
      </w:r>
      <w:r w:rsidR="000D42E1">
        <w:rPr>
          <w:rFonts w:ascii="Calibri" w:eastAsia="Calibri" w:hAnsi="Calibri" w:cs="Calibri"/>
          <w:b/>
          <w:bCs/>
          <w:color w:val="161616"/>
        </w:rPr>
        <w:t xml:space="preserve">przedsiębiorstw dodatkowym </w:t>
      </w:r>
      <w:r w:rsidR="00D266A1" w:rsidRPr="00D266A1">
        <w:rPr>
          <w:rFonts w:ascii="Calibri" w:eastAsia="Calibri" w:hAnsi="Calibri" w:cs="Calibri"/>
          <w:b/>
          <w:bCs/>
          <w:color w:val="161616"/>
        </w:rPr>
        <w:t>źródłem niepewności kosztowej pozostają wahania cen energii, gazu i paliw</w:t>
      </w:r>
      <w:r w:rsidR="00EE3C67">
        <w:rPr>
          <w:rFonts w:ascii="Calibri" w:eastAsia="Calibri" w:hAnsi="Calibri" w:cs="Calibri"/>
          <w:b/>
          <w:bCs/>
          <w:color w:val="161616"/>
        </w:rPr>
        <w:t xml:space="preserve"> </w:t>
      </w:r>
      <w:r w:rsidR="000D42E1">
        <w:rPr>
          <w:rFonts w:ascii="Calibri" w:eastAsia="Calibri" w:hAnsi="Calibri" w:cs="Calibri"/>
          <w:b/>
          <w:bCs/>
          <w:color w:val="161616"/>
        </w:rPr>
        <w:t xml:space="preserve">potęgowane napiętą </w:t>
      </w:r>
      <w:r w:rsidR="00EE3C67">
        <w:rPr>
          <w:rFonts w:ascii="Calibri" w:eastAsia="Calibri" w:hAnsi="Calibri" w:cs="Calibri"/>
          <w:b/>
          <w:bCs/>
          <w:color w:val="161616"/>
        </w:rPr>
        <w:t>sytuacją na Bliskim Wschodzie</w:t>
      </w:r>
      <w:r w:rsidR="00D266A1" w:rsidRPr="00D266A1">
        <w:rPr>
          <w:rFonts w:ascii="Calibri" w:eastAsia="Calibri" w:hAnsi="Calibri" w:cs="Calibri"/>
          <w:b/>
          <w:bCs/>
          <w:color w:val="161616"/>
        </w:rPr>
        <w:t xml:space="preserve">. </w:t>
      </w:r>
      <w:r w:rsidR="006B4237" w:rsidRPr="006B4237">
        <w:rPr>
          <w:rFonts w:ascii="Calibri" w:eastAsia="Calibri" w:hAnsi="Calibri" w:cs="Calibri"/>
          <w:b/>
          <w:bCs/>
          <w:color w:val="161616"/>
        </w:rPr>
        <w:t xml:space="preserve">Wysokie koszty i coraz częstsze opóźnienia w płatnościach sprawiają, że prawie połowa firm </w:t>
      </w:r>
      <w:r w:rsidR="000D42E1">
        <w:rPr>
          <w:rFonts w:ascii="Calibri" w:eastAsia="Calibri" w:hAnsi="Calibri" w:cs="Calibri"/>
          <w:b/>
          <w:bCs/>
          <w:color w:val="161616"/>
        </w:rPr>
        <w:t>wstrzymuje plany rozwojowe.</w:t>
      </w:r>
      <w:r w:rsidR="006B4237">
        <w:rPr>
          <w:rFonts w:ascii="Calibri" w:eastAsia="Calibri" w:hAnsi="Calibri" w:cs="Calibri"/>
          <w:b/>
          <w:bCs/>
          <w:color w:val="161616"/>
        </w:rPr>
        <w:t xml:space="preserve"> </w:t>
      </w:r>
      <w:r w:rsidRPr="002676BA">
        <w:rPr>
          <w:rFonts w:ascii="Calibri" w:eastAsia="Calibri" w:hAnsi="Calibri" w:cs="Calibri"/>
          <w:b/>
          <w:bCs/>
          <w:color w:val="161616"/>
        </w:rPr>
        <w:t xml:space="preserve">Jak wynika z najnowszego </w:t>
      </w:r>
      <w:r w:rsidR="00385A44">
        <w:rPr>
          <w:rFonts w:ascii="Calibri" w:eastAsia="Calibri" w:hAnsi="Calibri" w:cs="Calibri"/>
          <w:b/>
          <w:bCs/>
          <w:color w:val="161616"/>
        </w:rPr>
        <w:t xml:space="preserve">badania </w:t>
      </w:r>
      <w:r w:rsidRPr="002676BA">
        <w:rPr>
          <w:rFonts w:ascii="Calibri" w:eastAsia="Calibri" w:hAnsi="Calibri" w:cs="Calibri"/>
          <w:b/>
          <w:bCs/>
          <w:color w:val="161616"/>
        </w:rPr>
        <w:t>Skaner</w:t>
      </w:r>
      <w:r w:rsidR="006B4237">
        <w:rPr>
          <w:rFonts w:ascii="Calibri" w:eastAsia="Calibri" w:hAnsi="Calibri" w:cs="Calibri"/>
          <w:b/>
          <w:bCs/>
          <w:color w:val="161616"/>
        </w:rPr>
        <w:t xml:space="preserve"> MŚP</w:t>
      </w:r>
      <w:r w:rsidR="00385A44">
        <w:rPr>
          <w:rFonts w:ascii="Calibri" w:eastAsia="Calibri" w:hAnsi="Calibri" w:cs="Calibri"/>
          <w:b/>
          <w:bCs/>
          <w:color w:val="161616"/>
        </w:rPr>
        <w:t xml:space="preserve"> wykonanego dla</w:t>
      </w:r>
      <w:r w:rsidRPr="002676BA">
        <w:rPr>
          <w:rFonts w:ascii="Calibri" w:eastAsia="Calibri" w:hAnsi="Calibri" w:cs="Calibri"/>
          <w:b/>
          <w:bCs/>
          <w:color w:val="161616"/>
        </w:rPr>
        <w:t xml:space="preserve"> BIG InfoMonitor</w:t>
      </w:r>
      <w:r w:rsidR="00385A44">
        <w:rPr>
          <w:rFonts w:ascii="Calibri" w:eastAsia="Calibri" w:hAnsi="Calibri" w:cs="Calibri"/>
          <w:b/>
          <w:bCs/>
          <w:color w:val="161616"/>
        </w:rPr>
        <w:t xml:space="preserve"> i BIK</w:t>
      </w:r>
      <w:r w:rsidRPr="002676BA">
        <w:rPr>
          <w:rFonts w:ascii="Calibri" w:eastAsia="Calibri" w:hAnsi="Calibri" w:cs="Calibri"/>
          <w:b/>
          <w:bCs/>
          <w:color w:val="161616"/>
        </w:rPr>
        <w:t xml:space="preserve">, </w:t>
      </w:r>
      <w:r w:rsidR="00526D41">
        <w:rPr>
          <w:rFonts w:ascii="Calibri" w:eastAsia="Calibri" w:hAnsi="Calibri" w:cs="Calibri"/>
          <w:b/>
          <w:bCs/>
          <w:color w:val="161616"/>
        </w:rPr>
        <w:t>przedsiębiorstwa</w:t>
      </w:r>
      <w:r w:rsidRPr="002676BA">
        <w:rPr>
          <w:rFonts w:ascii="Calibri" w:eastAsia="Calibri" w:hAnsi="Calibri" w:cs="Calibri"/>
          <w:b/>
          <w:bCs/>
          <w:color w:val="161616"/>
        </w:rPr>
        <w:t xml:space="preserve"> przesz</w:t>
      </w:r>
      <w:r w:rsidR="00526D41">
        <w:rPr>
          <w:rFonts w:ascii="Calibri" w:eastAsia="Calibri" w:hAnsi="Calibri" w:cs="Calibri"/>
          <w:b/>
          <w:bCs/>
          <w:color w:val="161616"/>
        </w:rPr>
        <w:t>ły</w:t>
      </w:r>
      <w:r w:rsidRPr="002676BA">
        <w:rPr>
          <w:rFonts w:ascii="Calibri" w:eastAsia="Calibri" w:hAnsi="Calibri" w:cs="Calibri"/>
          <w:b/>
          <w:bCs/>
          <w:color w:val="161616"/>
        </w:rPr>
        <w:t xml:space="preserve"> w tryb defensywny, </w:t>
      </w:r>
      <w:r w:rsidR="00230CFB">
        <w:rPr>
          <w:rFonts w:ascii="Calibri" w:eastAsia="Calibri" w:hAnsi="Calibri" w:cs="Calibri"/>
          <w:b/>
          <w:bCs/>
          <w:color w:val="161616"/>
        </w:rPr>
        <w:t>koncentrując się</w:t>
      </w:r>
      <w:r w:rsidR="00526D41">
        <w:rPr>
          <w:rFonts w:ascii="Calibri" w:eastAsia="Calibri" w:hAnsi="Calibri" w:cs="Calibri"/>
          <w:b/>
          <w:bCs/>
          <w:color w:val="161616"/>
        </w:rPr>
        <w:t xml:space="preserve"> na utrzymaniu</w:t>
      </w:r>
      <w:r w:rsidRPr="002676BA">
        <w:rPr>
          <w:rFonts w:ascii="Calibri" w:eastAsia="Calibri" w:hAnsi="Calibri" w:cs="Calibri"/>
          <w:b/>
          <w:bCs/>
          <w:color w:val="161616"/>
        </w:rPr>
        <w:t xml:space="preserve"> płynności finansowej kosztem inwestycji rozwojowych.</w:t>
      </w:r>
    </w:p>
    <w:p w14:paraId="1A641980" w14:textId="77777777" w:rsidR="00230CFB" w:rsidRDefault="00230CFB" w:rsidP="003609C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</w:p>
    <w:p w14:paraId="6762AE21" w14:textId="35190ABE" w:rsidR="003609CE" w:rsidRPr="003609CE" w:rsidRDefault="003609CE" w:rsidP="003609C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3609CE">
        <w:rPr>
          <w:rFonts w:ascii="Calibri" w:eastAsia="Calibri" w:hAnsi="Calibri" w:cs="Calibri"/>
          <w:b/>
          <w:bCs/>
          <w:color w:val="161616"/>
        </w:rPr>
        <w:t>Kluczowe dane:</w:t>
      </w:r>
    </w:p>
    <w:p w14:paraId="602D8E70" w14:textId="45D985C8" w:rsidR="00244BE8" w:rsidRPr="00244BE8" w:rsidRDefault="00244BE8" w:rsidP="00244BE8">
      <w:pPr>
        <w:pStyle w:val="NormalnyWeb"/>
        <w:numPr>
          <w:ilvl w:val="0"/>
          <w:numId w:val="11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 xml:space="preserve">87 proc. </w:t>
      </w:r>
      <w:r w:rsidRPr="00244BE8">
        <w:rPr>
          <w:rFonts w:ascii="Calibri" w:eastAsia="Calibri" w:hAnsi="Calibri" w:cs="Calibri"/>
          <w:b/>
          <w:bCs/>
          <w:color w:val="161616"/>
        </w:rPr>
        <w:t>firm deklaruje, że</w:t>
      </w:r>
      <w:r w:rsidR="00385A44">
        <w:rPr>
          <w:rFonts w:ascii="Calibri" w:eastAsia="Calibri" w:hAnsi="Calibri" w:cs="Calibri"/>
          <w:b/>
          <w:bCs/>
          <w:color w:val="161616"/>
        </w:rPr>
        <w:t xml:space="preserve"> ich</w:t>
      </w:r>
      <w:r w:rsidRPr="00244BE8">
        <w:rPr>
          <w:rFonts w:ascii="Calibri" w:eastAsia="Calibri" w:hAnsi="Calibri" w:cs="Calibri"/>
          <w:b/>
          <w:bCs/>
          <w:color w:val="161616"/>
        </w:rPr>
        <w:t xml:space="preserve"> kontrahenci spóźniają się z płatnościami za faktury</w:t>
      </w:r>
      <w:r w:rsidR="00385A44">
        <w:rPr>
          <w:rFonts w:ascii="Calibri" w:eastAsia="Calibri" w:hAnsi="Calibri" w:cs="Calibri"/>
          <w:b/>
          <w:bCs/>
          <w:color w:val="161616"/>
        </w:rPr>
        <w:t>;</w:t>
      </w:r>
    </w:p>
    <w:p w14:paraId="763A3A4B" w14:textId="7061AB44" w:rsidR="00244BE8" w:rsidRPr="00244BE8" w:rsidRDefault="00244BE8" w:rsidP="00244BE8">
      <w:pPr>
        <w:pStyle w:val="NormalnyWeb"/>
        <w:numPr>
          <w:ilvl w:val="0"/>
          <w:numId w:val="11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>Prawie połowa</w:t>
      </w:r>
      <w:r w:rsidRPr="00244BE8">
        <w:rPr>
          <w:rFonts w:ascii="Calibri" w:eastAsia="Calibri" w:hAnsi="Calibri" w:cs="Calibri"/>
          <w:b/>
          <w:bCs/>
          <w:color w:val="161616"/>
        </w:rPr>
        <w:t xml:space="preserve"> przedsiębiorstw ogranicza plany ekspansji lub wstrzymuje nowe projekty rozwojowe</w:t>
      </w:r>
      <w:r>
        <w:rPr>
          <w:rFonts w:ascii="Calibri" w:eastAsia="Calibri" w:hAnsi="Calibri" w:cs="Calibri"/>
          <w:b/>
          <w:bCs/>
          <w:color w:val="161616"/>
        </w:rPr>
        <w:t xml:space="preserve"> z powodu niepewności rynkowej;</w:t>
      </w:r>
    </w:p>
    <w:p w14:paraId="211990D2" w14:textId="361A8007" w:rsidR="00244BE8" w:rsidRPr="00C92166" w:rsidRDefault="00244BE8" w:rsidP="00244BE8">
      <w:pPr>
        <w:pStyle w:val="NormalnyWeb"/>
        <w:numPr>
          <w:ilvl w:val="0"/>
          <w:numId w:val="11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C92166">
        <w:rPr>
          <w:rFonts w:ascii="Calibri" w:eastAsia="Calibri" w:hAnsi="Calibri" w:cs="Calibri"/>
          <w:b/>
          <w:bCs/>
          <w:color w:val="161616"/>
        </w:rPr>
        <w:t>40 proc. badanych negatywnie ocenia wpływ obecnej sytuacji gospodarczej i geopolitycznej na funkcjonowanie swojego biznesu;</w:t>
      </w:r>
    </w:p>
    <w:p w14:paraId="187B5CDD" w14:textId="0EFBE33D" w:rsidR="00244BE8" w:rsidRDefault="00244BE8" w:rsidP="00244BE8">
      <w:pPr>
        <w:pStyle w:val="NormalnyWeb"/>
        <w:numPr>
          <w:ilvl w:val="0"/>
          <w:numId w:val="11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>D</w:t>
      </w:r>
      <w:r w:rsidRPr="00244BE8">
        <w:rPr>
          <w:rFonts w:ascii="Calibri" w:eastAsia="Calibri" w:hAnsi="Calibri" w:cs="Calibri"/>
          <w:b/>
          <w:bCs/>
          <w:color w:val="161616"/>
        </w:rPr>
        <w:t>la niemal co trzeciej firmy największą obawą kosztową jest nieprzewidywa</w:t>
      </w:r>
      <w:r>
        <w:rPr>
          <w:rFonts w:ascii="Calibri" w:eastAsia="Calibri" w:hAnsi="Calibri" w:cs="Calibri"/>
          <w:b/>
          <w:bCs/>
          <w:color w:val="161616"/>
        </w:rPr>
        <w:t>lność cen energii, gazu i paliw;</w:t>
      </w:r>
    </w:p>
    <w:p w14:paraId="40E750AB" w14:textId="77EB9D18" w:rsidR="00244BE8" w:rsidRDefault="00244BE8" w:rsidP="00244BE8">
      <w:pPr>
        <w:pStyle w:val="NormalnyWeb"/>
        <w:numPr>
          <w:ilvl w:val="0"/>
          <w:numId w:val="11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244BE8">
        <w:rPr>
          <w:rFonts w:ascii="Calibri" w:eastAsia="Calibri" w:hAnsi="Calibri" w:cs="Calibri"/>
          <w:b/>
          <w:bCs/>
          <w:color w:val="161616"/>
        </w:rPr>
        <w:t>74 proc. podmiotów potwierdza, że przeterminowane należności mają realny, negatywny wpływ na kondycję ich biznesu.</w:t>
      </w:r>
    </w:p>
    <w:p w14:paraId="50486355" w14:textId="77777777" w:rsidR="00A4416C" w:rsidRDefault="00A4416C" w:rsidP="00A4416C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</w:p>
    <w:p w14:paraId="5AA62469" w14:textId="44EE30FB" w:rsidR="00A15EE1" w:rsidRPr="00A7681F" w:rsidRDefault="00A15EE1" w:rsidP="00120ADA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color w:val="161616"/>
          <w:sz w:val="23"/>
          <w:szCs w:val="23"/>
        </w:rPr>
      </w:pPr>
      <w:r w:rsidRPr="00A7681F">
        <w:rPr>
          <w:rFonts w:ascii="Calibri" w:eastAsia="Calibri" w:hAnsi="Calibri" w:cs="Calibri"/>
          <w:color w:val="161616"/>
          <w:sz w:val="23"/>
          <w:szCs w:val="23"/>
        </w:rPr>
        <w:t xml:space="preserve">Według danych GUS inflacja w Polsce w marcu 2026 r. wyniosła 3 proc. </w:t>
      </w:r>
      <w:proofErr w:type="spellStart"/>
      <w:r w:rsidRPr="00A7681F">
        <w:rPr>
          <w:rFonts w:ascii="Calibri" w:eastAsia="Calibri" w:hAnsi="Calibri" w:cs="Calibri"/>
          <w:color w:val="161616"/>
          <w:sz w:val="23"/>
          <w:szCs w:val="23"/>
        </w:rPr>
        <w:t>rdr</w:t>
      </w:r>
      <w:proofErr w:type="spellEnd"/>
      <w:r w:rsidRPr="00A7681F">
        <w:rPr>
          <w:rFonts w:ascii="Calibri" w:eastAsia="Calibri" w:hAnsi="Calibri" w:cs="Calibri"/>
          <w:color w:val="161616"/>
          <w:sz w:val="23"/>
          <w:szCs w:val="23"/>
        </w:rPr>
        <w:t xml:space="preserve"> oraz 1,1 proc. </w:t>
      </w:r>
      <w:proofErr w:type="spellStart"/>
      <w:r w:rsidRPr="00A7681F">
        <w:rPr>
          <w:rFonts w:ascii="Calibri" w:eastAsia="Calibri" w:hAnsi="Calibri" w:cs="Calibri"/>
          <w:color w:val="161616"/>
          <w:sz w:val="23"/>
          <w:szCs w:val="23"/>
        </w:rPr>
        <w:t>mdm</w:t>
      </w:r>
      <w:proofErr w:type="spellEnd"/>
      <w:r w:rsidRPr="00A7681F">
        <w:rPr>
          <w:rFonts w:ascii="Calibri" w:eastAsia="Calibri" w:hAnsi="Calibri" w:cs="Calibri"/>
          <w:color w:val="161616"/>
          <w:sz w:val="23"/>
          <w:szCs w:val="23"/>
        </w:rPr>
        <w:t xml:space="preserve">, co oznacza wyraźne przyspieszenie względem lutego. Wzrost cen był w dużej mierze związany ze skokiem cen </w:t>
      </w:r>
      <w:r w:rsidR="00EE3C67" w:rsidRPr="00A7681F">
        <w:rPr>
          <w:rFonts w:ascii="Calibri" w:eastAsia="Calibri" w:hAnsi="Calibri" w:cs="Calibri"/>
          <w:color w:val="161616"/>
          <w:sz w:val="23"/>
          <w:szCs w:val="23"/>
        </w:rPr>
        <w:t>ropy i gazu</w:t>
      </w:r>
      <w:r w:rsidRPr="00A7681F">
        <w:rPr>
          <w:rFonts w:ascii="Calibri" w:eastAsia="Calibri" w:hAnsi="Calibri" w:cs="Calibri"/>
          <w:color w:val="161616"/>
          <w:sz w:val="23"/>
          <w:szCs w:val="23"/>
        </w:rPr>
        <w:t xml:space="preserve"> po zaostrzeniu sytuacji na Bliskim Wschodzie.</w:t>
      </w:r>
    </w:p>
    <w:p w14:paraId="27596842" w14:textId="358F3CDB" w:rsidR="00244BE8" w:rsidRPr="00A7681F" w:rsidRDefault="00244BE8" w:rsidP="00244BE8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lastRenderedPageBreak/>
        <w:t xml:space="preserve">Obraz dzisiejszego rynku determinują </w:t>
      </w:r>
      <w:r w:rsidR="00A15EE1" w:rsidRPr="00A7681F">
        <w:rPr>
          <w:rFonts w:ascii="Calibri" w:eastAsia="Calibri" w:hAnsi="Calibri" w:cs="Calibri"/>
          <w:bCs/>
          <w:color w:val="161616"/>
          <w:sz w:val="23"/>
          <w:szCs w:val="23"/>
        </w:rPr>
        <w:t>również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twarde dane o przeterminowanym zadłużeniu,</w:t>
      </w:r>
      <w:r w:rsidR="007D466C"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które pokazują skalę problemu z rozliczeniami między różnymi sektorami gospodarki.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Według Rejestru Dłużników BIG InfoMonitor oraz bazy informacji kredytowej BIK, łączna kwota zaległości </w:t>
      </w:r>
      <w:r w:rsidR="000D42E1"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kredytowych i </w:t>
      </w:r>
      <w:proofErr w:type="spellStart"/>
      <w:r w:rsidR="000D42E1" w:rsidRPr="00A7681F">
        <w:rPr>
          <w:rFonts w:ascii="Calibri" w:eastAsia="Calibri" w:hAnsi="Calibri" w:cs="Calibri"/>
          <w:bCs/>
          <w:color w:val="161616"/>
          <w:sz w:val="23"/>
          <w:szCs w:val="23"/>
        </w:rPr>
        <w:t>pozakredytowych</w:t>
      </w:r>
      <w:proofErr w:type="spellEnd"/>
      <w:r w:rsidR="000D42E1"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przedsiębiorstw 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>na koniec lutego przekroczyła 46,2 mld zł. W</w:t>
      </w:r>
      <w:r w:rsidR="000D42E1"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ujęciu rocznym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oznacza to wzrost o prawie 2,5 mld zł</w:t>
      </w:r>
      <w:r w:rsidR="00E94205"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(5,7 proc.)</w:t>
      </w:r>
      <w:r w:rsidR="00230CFB" w:rsidRPr="00A7681F">
        <w:rPr>
          <w:rFonts w:ascii="Calibri" w:eastAsia="Calibri" w:hAnsi="Calibri" w:cs="Calibri"/>
          <w:bCs/>
          <w:color w:val="161616"/>
          <w:sz w:val="23"/>
          <w:szCs w:val="23"/>
        </w:rPr>
        <w:t>,</w:t>
      </w:r>
      <w:r w:rsidR="00E94205"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co dowodzi, że 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>problemy finansowe podmiotów gospodarczych ulegają niebezpiecznej kumulacji.</w:t>
      </w:r>
    </w:p>
    <w:p w14:paraId="4F1DD9F7" w14:textId="2E50D6B9" w:rsidR="00244BE8" w:rsidRPr="00A7681F" w:rsidRDefault="001A034E" w:rsidP="00244BE8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- </w:t>
      </w:r>
      <w:r w:rsidR="00244BE8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Skala problemu staje się jeszcze wyraźniejsza, gdy </w:t>
      </w:r>
      <w:r w:rsidR="003358DD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spojrzymy</w:t>
      </w:r>
      <w:r w:rsidR="00230CFB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na obciążenia</w:t>
      </w:r>
      <w:r w:rsidR="003059C6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przypadające na pojedyncze </w:t>
      </w:r>
      <w:r w:rsidR="00244BE8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przedsiębiorstw</w:t>
      </w:r>
      <w:r w:rsidR="003059C6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a</w:t>
      </w:r>
      <w:r w:rsidR="00244BE8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. Obecnie na jednego niesolidnego dłużnika przypada średnio </w:t>
      </w:r>
      <w:r w:rsidR="003059C6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prawie </w:t>
      </w:r>
      <w:r w:rsidR="00244BE8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15</w:t>
      </w:r>
      <w:r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0</w:t>
      </w:r>
      <w:r w:rsidR="00244BE8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tys. zł zaległych zobowiązań. Tak wysok</w:t>
      </w:r>
      <w:r w:rsidR="003059C6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i poziom</w:t>
      </w:r>
      <w:r w:rsidR="00244BE8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zamrożonego kapitału bezpośrednio uderza w fundamenty </w:t>
      </w:r>
      <w:r w:rsidR="00230CFB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zaufania w</w:t>
      </w:r>
      <w:r w:rsidR="003059C6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relacjach </w:t>
      </w:r>
      <w:r w:rsidR="00EE3C67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biznesow</w:t>
      </w:r>
      <w:r w:rsidR="003059C6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ych</w:t>
      </w:r>
      <w:r w:rsidR="00EE3C67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</w:t>
      </w:r>
      <w:r w:rsidR="00244BE8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- aż 87 proc. przedsiębiorców deklaruje, że ich kontrahenci spóźniają się z </w:t>
      </w:r>
      <w:r w:rsidR="003059C6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płatnościami za wystawione </w:t>
      </w:r>
      <w:r w:rsidR="00244BE8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faktury. W </w:t>
      </w:r>
      <w:r w:rsidR="003059C6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warunkach</w:t>
      </w:r>
      <w:r w:rsidR="00244BE8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rosnących kosztów stałych, brak </w:t>
      </w:r>
      <w:r w:rsidR="00230CFB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terminowych wpływów staje</w:t>
      </w:r>
      <w:r w:rsidR="00244BE8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się dla wielu firm barierą nie do przejścia, </w:t>
      </w:r>
      <w:r w:rsidR="00DB053E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ograniczającą </w:t>
      </w:r>
      <w:r w:rsidR="00EE3C67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zarówno </w:t>
      </w:r>
      <w:r w:rsidR="00244BE8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bieżącą</w:t>
      </w:r>
      <w:r w:rsidR="003059C6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działalność operacyjną</w:t>
      </w:r>
      <w:r w:rsidR="00244BE8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</w:t>
      </w:r>
      <w:r w:rsidR="00EE3C67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jak i </w:t>
      </w:r>
      <w:r w:rsidR="003059C6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możliwości dalszego </w:t>
      </w:r>
      <w:r w:rsidR="00230CFB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rozwoju </w:t>
      </w:r>
      <w:r w:rsidR="00230CFB" w:rsidRPr="00A7681F">
        <w:rPr>
          <w:rFonts w:ascii="Calibri" w:eastAsia="Calibri" w:hAnsi="Calibri" w:cs="Calibri"/>
          <w:bCs/>
          <w:color w:val="161616"/>
          <w:sz w:val="23"/>
          <w:szCs w:val="23"/>
        </w:rPr>
        <w:t>–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wskazuje </w:t>
      </w:r>
      <w:r w:rsidRPr="00A7681F">
        <w:rPr>
          <w:rFonts w:ascii="Calibri" w:eastAsia="Calibri" w:hAnsi="Calibri" w:cs="Calibri"/>
          <w:b/>
          <w:color w:val="161616"/>
          <w:sz w:val="23"/>
          <w:szCs w:val="23"/>
        </w:rPr>
        <w:t>Paweł Szarkowski, prezes BIG InfoMonitor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>.</w:t>
      </w:r>
    </w:p>
    <w:p w14:paraId="2F890A04" w14:textId="031B732B" w:rsidR="002676BA" w:rsidRPr="00A7681F" w:rsidRDefault="002676BA" w:rsidP="00244BE8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  <w:sz w:val="23"/>
          <w:szCs w:val="23"/>
        </w:rPr>
      </w:pPr>
      <w:r w:rsidRPr="00A7681F">
        <w:rPr>
          <w:rFonts w:ascii="Calibri" w:eastAsia="Calibri" w:hAnsi="Calibri" w:cs="Calibri"/>
          <w:b/>
          <w:bCs/>
          <w:color w:val="161616"/>
          <w:sz w:val="23"/>
          <w:szCs w:val="23"/>
        </w:rPr>
        <w:t>Koszty operacyjne i presja fiskalna barierą dla stabilnego wzrostu</w:t>
      </w:r>
    </w:p>
    <w:p w14:paraId="655702FB" w14:textId="6E4A45F4" w:rsidR="002676BA" w:rsidRPr="00A7681F" w:rsidRDefault="002676BA" w:rsidP="00C23D11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Analiza nastrojów przedsiębiorców wskazuje na </w:t>
      </w:r>
      <w:r w:rsidR="00C47CDD"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narastające 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>zjawisko „drożyzny systemowej”, która staje się główną barierą wzrostu</w:t>
      </w:r>
      <w:r w:rsidR="00C47CDD"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gospodarczego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. </w:t>
      </w:r>
      <w:r w:rsidR="00C47CDD" w:rsidRPr="00A7681F">
        <w:rPr>
          <w:rFonts w:ascii="Calibri" w:eastAsia="Calibri" w:hAnsi="Calibri" w:cs="Calibri"/>
          <w:bCs/>
          <w:color w:val="161616"/>
          <w:sz w:val="23"/>
          <w:szCs w:val="23"/>
        </w:rPr>
        <w:t>Najczęściej wskazywanym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wyzwaniem na 2026 rok jest wzrost ogólnych kosztów prowadzenia działalności </w:t>
      </w:r>
      <w:r w:rsidR="00C47CDD"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– na ten czynnik zwraca uwagę 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>37 proc.</w:t>
      </w:r>
      <w:r w:rsidR="00C47CDD"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firm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. Wśród konkretnych obszarów </w:t>
      </w:r>
      <w:r w:rsidR="00230CFB" w:rsidRPr="00A7681F">
        <w:rPr>
          <w:rFonts w:ascii="Calibri" w:eastAsia="Calibri" w:hAnsi="Calibri" w:cs="Calibri"/>
          <w:bCs/>
          <w:color w:val="161616"/>
          <w:sz w:val="23"/>
          <w:szCs w:val="23"/>
        </w:rPr>
        <w:t>budzących największy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niepokój dominuje nieprzewidywalność cen energii, gazu i paliw, którą jako kluczowe ryzyko wskazuje 29 proc. badanych. To właśnie te </w:t>
      </w:r>
      <w:r w:rsidR="00C47CDD" w:rsidRPr="00A7681F">
        <w:rPr>
          <w:rFonts w:ascii="Calibri" w:eastAsia="Calibri" w:hAnsi="Calibri" w:cs="Calibri"/>
          <w:bCs/>
          <w:color w:val="161616"/>
          <w:sz w:val="23"/>
          <w:szCs w:val="23"/>
        </w:rPr>
        <w:t>koszty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najsilniej drenują marże, uniemożliwiając firmom budowanie kapitału zapasowego na trudniejsze czasy.</w:t>
      </w:r>
    </w:p>
    <w:p w14:paraId="1F4843E2" w14:textId="7D0586D4" w:rsidR="00A4416C" w:rsidRPr="00A7681F" w:rsidRDefault="002676BA" w:rsidP="00C23D11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>Niepewność potęguje dodatkowo otoczenie regulacyjne</w:t>
      </w:r>
      <w:r w:rsidR="00C47CDD"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.  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>Przedsiębiorcy z dużą obawą patrzą na</w:t>
      </w:r>
      <w:r w:rsidR="00C47CDD"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>skład</w:t>
      </w:r>
      <w:r w:rsidR="00185775">
        <w:rPr>
          <w:rFonts w:ascii="Calibri" w:eastAsia="Calibri" w:hAnsi="Calibri" w:cs="Calibri"/>
          <w:bCs/>
          <w:color w:val="161616"/>
          <w:sz w:val="23"/>
          <w:szCs w:val="23"/>
        </w:rPr>
        <w:t xml:space="preserve">ki 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ZUS, </w:t>
      </w:r>
      <w:r w:rsidR="00C47CDD" w:rsidRPr="00A7681F">
        <w:rPr>
          <w:rFonts w:ascii="Calibri" w:eastAsia="Calibri" w:hAnsi="Calibri" w:cs="Calibri"/>
          <w:bCs/>
          <w:color w:val="161616"/>
          <w:sz w:val="23"/>
          <w:szCs w:val="23"/>
        </w:rPr>
        <w:t>które dla 29 proc. badanych</w:t>
      </w:r>
      <w:r w:rsidR="00C47CDD" w:rsidRPr="00A7681F" w:rsidDel="00C47CDD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C47CDD"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firm stanowią obecnie 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>największ</w:t>
      </w:r>
      <w:r w:rsidR="00526D41" w:rsidRPr="00A7681F">
        <w:rPr>
          <w:rFonts w:ascii="Calibri" w:eastAsia="Calibri" w:hAnsi="Calibri" w:cs="Calibri"/>
          <w:bCs/>
          <w:color w:val="161616"/>
          <w:sz w:val="23"/>
          <w:szCs w:val="23"/>
        </w:rPr>
        <w:t>ą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230CFB" w:rsidRPr="00A7681F">
        <w:rPr>
          <w:rFonts w:ascii="Calibri" w:eastAsia="Calibri" w:hAnsi="Calibri" w:cs="Calibri"/>
          <w:bCs/>
          <w:color w:val="161616"/>
          <w:sz w:val="23"/>
          <w:szCs w:val="23"/>
        </w:rPr>
        <w:t>bolączkę.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Równie dotkliwe są niekorzystne zmiany podatkowe (23 proc.) oraz presja </w:t>
      </w:r>
      <w:r w:rsidR="004C6135" w:rsidRPr="00A7681F">
        <w:rPr>
          <w:rFonts w:ascii="Calibri" w:eastAsia="Calibri" w:hAnsi="Calibri" w:cs="Calibri"/>
          <w:bCs/>
          <w:color w:val="161616"/>
          <w:sz w:val="23"/>
          <w:szCs w:val="23"/>
        </w:rPr>
        <w:t>płacowa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, napędzana kolejnymi podwyżkami płacy minimalnej (19 proc.). </w:t>
      </w:r>
      <w:r w:rsidR="004C6135" w:rsidRPr="00A7681F">
        <w:rPr>
          <w:rFonts w:ascii="Calibri" w:eastAsia="Calibri" w:hAnsi="Calibri" w:cs="Calibri"/>
          <w:bCs/>
          <w:color w:val="161616"/>
          <w:sz w:val="23"/>
          <w:szCs w:val="23"/>
        </w:rPr>
        <w:t>W efekcie skumulowana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presja fiskalna i kosztowa jest postrzegana jako zagrożenie dla stabilności</w:t>
      </w:r>
      <w:r w:rsidR="004C6135"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działalności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przez niemal połowę </w:t>
      </w:r>
      <w:r w:rsidR="006B4237" w:rsidRPr="00A7681F">
        <w:rPr>
          <w:rFonts w:ascii="Calibri" w:eastAsia="Calibri" w:hAnsi="Calibri" w:cs="Calibri"/>
          <w:bCs/>
          <w:color w:val="161616"/>
          <w:sz w:val="23"/>
          <w:szCs w:val="23"/>
        </w:rPr>
        <w:t>firm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, co sprawia, że obawy o </w:t>
      </w:r>
      <w:r w:rsidR="004C6135"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utrzymanie 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>płynnoś</w:t>
      </w:r>
      <w:r w:rsidR="004C6135" w:rsidRPr="00A7681F">
        <w:rPr>
          <w:rFonts w:ascii="Calibri" w:eastAsia="Calibri" w:hAnsi="Calibri" w:cs="Calibri"/>
          <w:bCs/>
          <w:color w:val="161616"/>
          <w:sz w:val="23"/>
          <w:szCs w:val="23"/>
        </w:rPr>
        <w:t>ci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finansow</w:t>
      </w:r>
      <w:r w:rsidR="004C6135" w:rsidRPr="00A7681F">
        <w:rPr>
          <w:rFonts w:ascii="Calibri" w:eastAsia="Calibri" w:hAnsi="Calibri" w:cs="Calibri"/>
          <w:bCs/>
          <w:color w:val="161616"/>
          <w:sz w:val="23"/>
          <w:szCs w:val="23"/>
        </w:rPr>
        <w:t>ej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(21 proc.) stają się naturalną reakcją obronną.</w:t>
      </w:r>
    </w:p>
    <w:p w14:paraId="7ECF474C" w14:textId="511989BA" w:rsidR="002676BA" w:rsidRDefault="002676BA" w:rsidP="00C23D11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i/>
          <w:color w:val="161616"/>
          <w:sz w:val="23"/>
          <w:szCs w:val="23"/>
        </w:rPr>
      </w:pP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- </w:t>
      </w:r>
      <w:r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>Obecnie obserwujemy u przedsiębiorców prób</w:t>
      </w:r>
      <w:r w:rsidR="004C6135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>y</w:t>
      </w:r>
      <w:r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adaptacji do warunków permanentnej niepewności. Przy obecnej strukturze kosztów w Polsce, kluczowym warunkiem stabilności staje się żelazna dyscyplina </w:t>
      </w:r>
      <w:r w:rsidR="00DC79CF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w zakresie </w:t>
      </w:r>
      <w:r w:rsidR="004C6135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zarządzania </w:t>
      </w:r>
      <w:r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>wydatk</w:t>
      </w:r>
      <w:r w:rsidR="004C6135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>ami</w:t>
      </w:r>
      <w:r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i rygorystyczne zabezpieczanie płynności</w:t>
      </w:r>
      <w:r w:rsidR="00DC79CF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finansowej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- komentuje </w:t>
      </w:r>
      <w:r w:rsidRPr="00A7681F">
        <w:rPr>
          <w:rFonts w:ascii="Calibri" w:eastAsia="Calibri" w:hAnsi="Calibri" w:cs="Calibri"/>
          <w:b/>
          <w:bCs/>
          <w:color w:val="161616"/>
          <w:sz w:val="23"/>
          <w:szCs w:val="23"/>
        </w:rPr>
        <w:t>dr hab. Waldemar Rogowski, główny analityk BIG InfoMonitor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. - </w:t>
      </w:r>
      <w:r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Firmy mają świadomość, że każdy dzień opóźnienia w płatności </w:t>
      </w:r>
      <w:r w:rsidR="00526D41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>ze strony</w:t>
      </w:r>
      <w:r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kontrahenta, przy tak wysokich kosztach finansowania i energii, generuje realną stratę, której nie da się już odrobić prostym wzrostem wolumenu sprzedaży. Dlatego optymizm, który </w:t>
      </w:r>
      <w:r w:rsidR="004C6135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>obserwowaliśmy</w:t>
      </w:r>
      <w:r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jeszcze niedawno,</w:t>
      </w:r>
      <w:r w:rsidR="004C6135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</w:t>
      </w:r>
      <w:r w:rsidR="00230CFB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>ma dziś</w:t>
      </w:r>
      <w:r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</w:t>
      </w:r>
      <w:r w:rsidR="004C6135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charakter </w:t>
      </w:r>
      <w:r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warunkowy i opiera się </w:t>
      </w:r>
      <w:r w:rsidR="004C6135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głównie </w:t>
      </w:r>
      <w:r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>na nadziei, że dynamika</w:t>
      </w:r>
      <w:r w:rsidR="005425E4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wzrostu</w:t>
      </w:r>
      <w:r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kosztów w końcu wyhamuje</w:t>
      </w:r>
      <w:r w:rsidR="00DC79CF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>.</w:t>
      </w:r>
      <w:r w:rsidR="004C6135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W tym </w:t>
      </w:r>
      <w:r w:rsidR="00230CFB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>kontekście słowem</w:t>
      </w:r>
      <w:r w:rsidR="00DC79CF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roku dla przedsiębiorców </w:t>
      </w:r>
      <w:r w:rsidR="004C6135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staje się dziś </w:t>
      </w:r>
      <w:r w:rsidR="003358DD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>–</w:t>
      </w:r>
      <w:r w:rsidR="00DC79CF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</w:t>
      </w:r>
      <w:r w:rsidR="003358DD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>„</w:t>
      </w:r>
      <w:r w:rsidR="00DC79CF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>odporność</w:t>
      </w:r>
      <w:r w:rsidR="003358DD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>”</w:t>
      </w:r>
      <w:r w:rsidR="0096358A" w:rsidRPr="00A7681F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– dodaje.</w:t>
      </w:r>
    </w:p>
    <w:p w14:paraId="5D59F81E" w14:textId="01A9A44F" w:rsidR="00A4416C" w:rsidRDefault="00A4416C" w:rsidP="00C23D11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>
        <w:rPr>
          <w:noProof/>
        </w:rPr>
        <w:lastRenderedPageBreak/>
        <w:drawing>
          <wp:inline distT="0" distB="0" distL="0" distR="0" wp14:anchorId="64111DB9" wp14:editId="63BA5B4B">
            <wp:extent cx="6172200" cy="3898900"/>
            <wp:effectExtent l="0" t="0" r="0" b="6350"/>
            <wp:docPr id="123752620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73A77A3A-014D-F49E-D535-528569EA92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6C15C3A" w14:textId="30195CF9" w:rsidR="00A4416C" w:rsidRPr="00A4416C" w:rsidRDefault="00A4416C" w:rsidP="00C23D11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i/>
          <w:iCs/>
          <w:color w:val="161616"/>
          <w:sz w:val="18"/>
          <w:szCs w:val="18"/>
        </w:rPr>
      </w:pPr>
      <w:r w:rsidRPr="00A4416C">
        <w:rPr>
          <w:rFonts w:ascii="Calibri" w:eastAsia="Calibri" w:hAnsi="Calibri" w:cs="Calibri"/>
          <w:bCs/>
          <w:i/>
          <w:iCs/>
          <w:color w:val="161616"/>
          <w:sz w:val="18"/>
          <w:szCs w:val="18"/>
        </w:rPr>
        <w:t>Źródło: badanie Skaner MSP dla BIG InfoMonitor i BIK</w:t>
      </w:r>
    </w:p>
    <w:p w14:paraId="5D245428" w14:textId="77777777" w:rsidR="00A4416C" w:rsidRDefault="00A4416C" w:rsidP="00C23D11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/>
          <w:bCs/>
          <w:color w:val="161616"/>
          <w:sz w:val="23"/>
          <w:szCs w:val="23"/>
        </w:rPr>
      </w:pPr>
    </w:p>
    <w:p w14:paraId="6FB56ED6" w14:textId="1C254713" w:rsidR="00230CFB" w:rsidRPr="00A7681F" w:rsidRDefault="00452744" w:rsidP="00C23D11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/>
          <w:bCs/>
          <w:color w:val="161616"/>
          <w:sz w:val="23"/>
          <w:szCs w:val="23"/>
        </w:rPr>
      </w:pPr>
      <w:r w:rsidRPr="00A7681F">
        <w:rPr>
          <w:rFonts w:ascii="Calibri" w:eastAsia="Calibri" w:hAnsi="Calibri" w:cs="Calibri"/>
          <w:b/>
          <w:bCs/>
          <w:color w:val="161616"/>
          <w:sz w:val="23"/>
          <w:szCs w:val="23"/>
        </w:rPr>
        <w:t>Obecną sytuację gospodarczą i geopolityczną negatywnie ocenia niemal 40 proc. przedsiębiorców</w:t>
      </w:r>
    </w:p>
    <w:p w14:paraId="4383EC49" w14:textId="0CE16268" w:rsidR="002676BA" w:rsidRPr="00A7681F" w:rsidRDefault="002676BA" w:rsidP="00C23D11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Negatywna ocena otoczenia gospodarczego i geopolitycznego deklarowana przez blisko 40 proc. podmiotów, przekłada się na konkretne decyzje o charakterze strategicznym. Przedsiębiorstwa przestały patrzeć na rynek przez pryzmat szans, a </w:t>
      </w:r>
      <w:r w:rsidR="00C56107"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coraz </w:t>
      </w:r>
      <w:r w:rsidR="00230CFB" w:rsidRPr="00A7681F">
        <w:rPr>
          <w:rFonts w:ascii="Calibri" w:eastAsia="Calibri" w:hAnsi="Calibri" w:cs="Calibri"/>
          <w:bCs/>
          <w:color w:val="161616"/>
          <w:sz w:val="23"/>
          <w:szCs w:val="23"/>
        </w:rPr>
        <w:t>częściej - przez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pryzmat zagrożeń. Efektem tego jest „inwestycyjny hamulec bezpieczeństwa”. Co trzeci przedsiębiorca ogranicza nakłady na modernizację, a</w:t>
      </w:r>
      <w:r w:rsidR="005425E4"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ponad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13 proc. całkowicie je wstrzymuje. </w:t>
      </w:r>
      <w:r w:rsidR="00C56107" w:rsidRPr="00A7681F">
        <w:rPr>
          <w:rFonts w:ascii="Calibri" w:eastAsia="Calibri" w:hAnsi="Calibri" w:cs="Calibri"/>
          <w:bCs/>
          <w:color w:val="161616"/>
          <w:sz w:val="23"/>
          <w:szCs w:val="23"/>
        </w:rPr>
        <w:t>Łącznie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aż 45 proc. badanych przyznaje, że obecny klimat gospodarczy skutecznie zniechęca ich do ekspansji czy otwierania nowych projektów biznesowych.</w:t>
      </w:r>
    </w:p>
    <w:p w14:paraId="5E083ACD" w14:textId="18348156" w:rsidR="00DA5BCB" w:rsidRPr="00A7681F" w:rsidRDefault="002676BA" w:rsidP="00DA5BCB">
      <w:pPr>
        <w:pStyle w:val="NormalnyWeb"/>
        <w:spacing w:before="240" w:after="160" w:line="259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Sytuację </w:t>
      </w:r>
      <w:r w:rsidR="00C56107"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dodatkowo 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>pogarsza</w:t>
      </w:r>
      <w:r w:rsidR="00452744"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ją 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zatory płatnicze. Aż 87 proc. firm przyznaje, że ich kontrahenci spóźniają się z </w:t>
      </w:r>
      <w:r w:rsidR="00C56107" w:rsidRPr="00A7681F">
        <w:rPr>
          <w:rFonts w:ascii="Calibri" w:eastAsia="Calibri" w:hAnsi="Calibri" w:cs="Calibri"/>
          <w:bCs/>
          <w:color w:val="161616"/>
          <w:sz w:val="23"/>
          <w:szCs w:val="23"/>
        </w:rPr>
        <w:t>regulowaniem należności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>. Wśród podmiotów stosujących odroczone terminy płatności, ponad połowa posiada należności przeterminowane o ponad miesiąc, a niemal 29 proc. czeka na zapłatę ponad dwa miesiące. Dla blisko 74 proc. badanych jest to czynnik bezpośrednio wpływający na kondycję ich biznesu, co w</w:t>
      </w:r>
      <w:r w:rsidR="00DA5BCB"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warunkach utrzymującej </w:t>
      </w:r>
      <w:r w:rsidR="00230CFB" w:rsidRPr="00A7681F">
        <w:rPr>
          <w:rFonts w:ascii="Calibri" w:eastAsia="Calibri" w:hAnsi="Calibri" w:cs="Calibri"/>
          <w:bCs/>
          <w:color w:val="161616"/>
          <w:sz w:val="23"/>
          <w:szCs w:val="23"/>
        </w:rPr>
        <w:t>się drożyzny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DA5BCB" w:rsidRPr="00A7681F">
        <w:rPr>
          <w:rFonts w:asciiTheme="minorHAnsi" w:hAnsiTheme="minorHAnsi" w:cstheme="minorHAnsi"/>
          <w:bCs/>
          <w:sz w:val="23"/>
          <w:szCs w:val="23"/>
        </w:rPr>
        <w:t>skłania przedsiębiorców do coraz bardziej zachowawczych, a często również radykalnych decyzji operacyjnych.</w:t>
      </w:r>
    </w:p>
    <w:p w14:paraId="020C43E2" w14:textId="3FDACCCE" w:rsidR="002676BA" w:rsidRPr="00A7681F" w:rsidRDefault="002676BA" w:rsidP="00C23D11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color w:val="161616"/>
          <w:sz w:val="23"/>
          <w:szCs w:val="23"/>
        </w:rPr>
      </w:pP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- </w:t>
      </w:r>
      <w:r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Zaufanie w obrocie gospodarczym uległo wyraźnemu nadszarpnięciu, co </w:t>
      </w:r>
      <w:r w:rsidR="00230CFB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zmusza firmy</w:t>
      </w:r>
      <w:r w:rsidR="00381266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do podejmowania zdecydowanych</w:t>
      </w:r>
      <w:r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krok</w:t>
      </w:r>
      <w:r w:rsidR="00381266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ów</w:t>
      </w:r>
      <w:r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prewencyjn</w:t>
      </w:r>
      <w:r w:rsidR="00381266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ych</w:t>
      </w:r>
      <w:r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. Przedsiębiorcy coraz częściej stawiają na twarde warunki współpracy</w:t>
      </w:r>
      <w:r w:rsidR="00381266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, takie jak</w:t>
      </w:r>
      <w:r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: systemy przedpłat, które planuje wprowadzić 19 proc. firm, </w:t>
      </w:r>
      <w:r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lastRenderedPageBreak/>
        <w:t>czy wnikliw</w:t>
      </w:r>
      <w:r w:rsidR="00381266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a</w:t>
      </w:r>
      <w:r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weryfikacj</w:t>
      </w:r>
      <w:r w:rsidR="00381266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a</w:t>
      </w:r>
      <w:r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partnerów przed podpisaniem kontraktu. W 2026 roku aż 76 proc. przedsiębiorców planuje podjąć aktywne działania</w:t>
      </w:r>
      <w:r w:rsidR="00381266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ograniczające ryzyko</w:t>
      </w:r>
      <w:r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zator</w:t>
      </w:r>
      <w:r w:rsidR="00381266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ów</w:t>
      </w:r>
      <w:r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płatnicz</w:t>
      </w:r>
      <w:r w:rsidR="00381266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ych</w:t>
      </w:r>
      <w:r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. W </w:t>
      </w:r>
      <w:r w:rsidR="00381266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warunkach</w:t>
      </w:r>
      <w:r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miliardowego zadłużenia całego sektora, informacja o wiarygodności płatniczej kontrahenta staje się</w:t>
      </w:r>
      <w:r w:rsidR="00381266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</w:t>
      </w:r>
      <w:r w:rsidR="00230CFB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dziś </w:t>
      </w:r>
      <w:r w:rsidR="00230CFB" w:rsidRPr="00A7681F">
        <w:rPr>
          <w:rFonts w:ascii="Calibri" w:hAnsi="Calibri" w:cs="Calibri"/>
          <w:bCs/>
          <w:i/>
          <w:iCs/>
          <w:sz w:val="23"/>
          <w:szCs w:val="23"/>
        </w:rPr>
        <w:t>nie</w:t>
      </w:r>
      <w:r w:rsidR="00381266" w:rsidRPr="00A7681F">
        <w:rPr>
          <w:rFonts w:ascii="Calibri" w:hAnsi="Calibri" w:cs="Calibri"/>
          <w:bCs/>
          <w:i/>
          <w:iCs/>
          <w:sz w:val="23"/>
          <w:szCs w:val="23"/>
        </w:rPr>
        <w:t xml:space="preserve"> tylko narzędziem zarządzania ryzykiem, </w:t>
      </w:r>
      <w:r w:rsidR="00230CFB" w:rsidRPr="00A7681F">
        <w:rPr>
          <w:rFonts w:ascii="Calibri" w:hAnsi="Calibri" w:cs="Calibri"/>
          <w:bCs/>
          <w:i/>
          <w:iCs/>
          <w:sz w:val="23"/>
          <w:szCs w:val="23"/>
        </w:rPr>
        <w:t xml:space="preserve">ale </w:t>
      </w:r>
      <w:r w:rsidR="00230CFB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istotnym</w:t>
      </w:r>
      <w:r w:rsidR="006B4237"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</w:t>
      </w:r>
      <w:r w:rsidRPr="00A7681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elementem strategii przetrwania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- podkreśla </w:t>
      </w:r>
      <w:r w:rsidRPr="00A7681F">
        <w:rPr>
          <w:rFonts w:ascii="Calibri" w:eastAsia="Calibri" w:hAnsi="Calibri" w:cs="Calibri"/>
          <w:b/>
          <w:color w:val="161616"/>
          <w:sz w:val="23"/>
          <w:szCs w:val="23"/>
        </w:rPr>
        <w:t xml:space="preserve">Paweł Szarkowski, prezes BIG InfoMonitor. </w:t>
      </w:r>
    </w:p>
    <w:p w14:paraId="1939DA74" w14:textId="7695E8F4" w:rsidR="002676BA" w:rsidRDefault="002676BA" w:rsidP="00C23D11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>Aktualna sytuacja przedsiębiorstw wymaga od zarządzających dużej zwinności</w:t>
      </w:r>
      <w:r w:rsidR="00DC79CF"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i elastyczności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operacyjnej</w:t>
      </w:r>
      <w:r w:rsidR="00BD16E3" w:rsidRPr="00A7681F">
        <w:rPr>
          <w:rFonts w:ascii="Calibri" w:eastAsia="Calibri" w:hAnsi="Calibri" w:cs="Calibri"/>
          <w:bCs/>
          <w:color w:val="161616"/>
          <w:sz w:val="23"/>
          <w:szCs w:val="23"/>
        </w:rPr>
        <w:t>, w tym</w:t>
      </w:r>
      <w:r w:rsidRPr="00A7681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odejścia od tradycyjnych modeli planowania. Kumulacja wysokich kosztów stałych oraz obciążeń fiskalnych sprawia, że priorytetem staje się efektywne zarządzanie kapitałem obrotowym. Bez ustabilizowania dyscypliny płatniczej i wyhamowania dynamiki wzrostu wydatków, skłonność firm do podejmowania nowych projektów inwestycyjnych pozostanie na poziomie, który może utrudnić szybką modernizację polskiego biznesu i wdrażanie nowoczesnych technologii w nadchodzących miesiącach.</w:t>
      </w:r>
    </w:p>
    <w:p w14:paraId="6BB461D1" w14:textId="77777777" w:rsidR="00A7681F" w:rsidRPr="00A7681F" w:rsidRDefault="00A7681F" w:rsidP="00C23D11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</w:p>
    <w:p w14:paraId="3C870E6E" w14:textId="259C0E22" w:rsidR="006B4237" w:rsidRPr="006B4237" w:rsidRDefault="0017723A" w:rsidP="006B4237">
      <w:pPr>
        <w:pStyle w:val="NormalnyWeb"/>
        <w:spacing w:before="240" w:beforeAutospacing="0" w:after="160" w:afterAutospacing="0" w:line="259" w:lineRule="auto"/>
        <w:rPr>
          <w:rFonts w:ascii="Calibri" w:eastAsia="Calibri" w:hAnsi="Calibri" w:cs="Calibri"/>
          <w:bCs/>
          <w:color w:val="161616"/>
          <w:sz w:val="18"/>
        </w:rPr>
      </w:pPr>
      <w:r w:rsidRPr="0017723A">
        <w:rPr>
          <w:rFonts w:ascii="Calibri" w:eastAsia="Calibri" w:hAnsi="Calibri" w:cs="Calibri"/>
          <w:bCs/>
          <w:color w:val="161616"/>
          <w:sz w:val="18"/>
        </w:rPr>
        <w:t xml:space="preserve">Badanie „Skaner MSP” realizowane wśród mikro, małych i średnich firm, przeprowadzone przez Instytut Badań i Rozwiązań B2B </w:t>
      </w:r>
      <w:proofErr w:type="spellStart"/>
      <w:r w:rsidRPr="0017723A">
        <w:rPr>
          <w:rFonts w:ascii="Calibri" w:eastAsia="Calibri" w:hAnsi="Calibri" w:cs="Calibri"/>
          <w:bCs/>
          <w:color w:val="161616"/>
          <w:sz w:val="18"/>
        </w:rPr>
        <w:t>Keralla</w:t>
      </w:r>
      <w:proofErr w:type="spellEnd"/>
      <w:r w:rsidRPr="0017723A">
        <w:rPr>
          <w:rFonts w:ascii="Calibri" w:eastAsia="Calibri" w:hAnsi="Calibri" w:cs="Calibri"/>
          <w:bCs/>
          <w:color w:val="161616"/>
          <w:sz w:val="18"/>
        </w:rPr>
        <w:t xml:space="preserve"> </w:t>
      </w:r>
      <w:proofErr w:type="spellStart"/>
      <w:r w:rsidRPr="0017723A">
        <w:rPr>
          <w:rFonts w:ascii="Calibri" w:eastAsia="Calibri" w:hAnsi="Calibri" w:cs="Calibri"/>
          <w:bCs/>
          <w:color w:val="161616"/>
          <w:sz w:val="18"/>
        </w:rPr>
        <w:t>Research</w:t>
      </w:r>
      <w:proofErr w:type="spellEnd"/>
      <w:r w:rsidRPr="0017723A">
        <w:rPr>
          <w:rFonts w:ascii="Calibri" w:eastAsia="Calibri" w:hAnsi="Calibri" w:cs="Calibri"/>
          <w:bCs/>
          <w:color w:val="161616"/>
          <w:sz w:val="18"/>
        </w:rPr>
        <w:t xml:space="preserve">, na próbie 500 firm sprzedających z odroczonym terminem płatności, techniką wywiadów telefonicznych, </w:t>
      </w:r>
      <w:r>
        <w:rPr>
          <w:rFonts w:ascii="Calibri" w:eastAsia="Calibri" w:hAnsi="Calibri" w:cs="Calibri"/>
          <w:bCs/>
          <w:color w:val="161616"/>
          <w:sz w:val="18"/>
        </w:rPr>
        <w:t>2Q2026.</w:t>
      </w:r>
    </w:p>
    <w:p w14:paraId="401C8BFD" w14:textId="0892F37B" w:rsidR="00AF0982" w:rsidRPr="00205A27" w:rsidRDefault="00AF0982" w:rsidP="00C23D11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18"/>
          <w:szCs w:val="18"/>
        </w:rPr>
      </w:pPr>
      <w:r w:rsidRPr="00205A27">
        <w:rPr>
          <w:rFonts w:ascii="Calibri" w:eastAsia="Calibri" w:hAnsi="Calibri" w:cs="Calibri"/>
          <w:b/>
          <w:bCs/>
          <w:color w:val="161616"/>
          <w:sz w:val="18"/>
          <w:szCs w:val="18"/>
        </w:rPr>
        <w:t>BIG InfoMonitor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, spółka z Grupy BIK, już od 2</w:t>
      </w:r>
      <w:r w:rsidR="00EC3FA2" w:rsidRPr="00205A27">
        <w:rPr>
          <w:rFonts w:ascii="Calibri" w:eastAsia="Calibri" w:hAnsi="Calibri" w:cs="Calibri"/>
          <w:bCs/>
          <w:color w:val="161616"/>
          <w:sz w:val="18"/>
          <w:szCs w:val="18"/>
        </w:rPr>
        <w:t>1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lat dostarcza rynkowi wiarygodne informacje o zadłużeniu osób fizycznych i firm. Pomaga w ten sposób w przeciwdziałaniu zatorom płatniczym i odzyskiwaniu należności. Spółka prowadzi Rejestr Dłużników, do którego na warunkach określonych w Ustawie o BIG, każdy może wpisać dłużnika – firmę lub konsumenta zalegającego z płatnościami. Oprócz długów BIG InfoMonitor gromadzi i udostępnia pozytywne informacje gospodarcze, czyli dane o terminowych płatnościach. Raporty z BIG </w:t>
      </w:r>
      <w:r w:rsidR="00230CFB"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 zawierają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wiarygodne informacje o kondycji finansowej osób i firm i wspierają podmioty gospodarcze w dbaniu o płynność finansową.  BIG InfoMonitor posiada jedną z największych baz dłużników – zasoby rejestru obejmują ponad 100 mln informacji gospodarczych. Od początku działalności do rejestru dłużników BIG InfoMonitor wpisano blisko 33 mln zaległych zobowiązań o wartości ponad 347 mld zł. Banki, firmy pożyczkowe i inne instytucje sektora finansowego chętnie korzystają z raportów z BIG InfoMonitor w swoich procesach kredytowych. </w:t>
      </w:r>
      <w:r w:rsidR="00230CFB" w:rsidRPr="00205A27">
        <w:rPr>
          <w:rFonts w:ascii="Calibri" w:eastAsia="Calibri" w:hAnsi="Calibri" w:cs="Calibri"/>
          <w:bCs/>
          <w:color w:val="161616"/>
          <w:sz w:val="18"/>
          <w:szCs w:val="18"/>
        </w:rPr>
        <w:t>Badają w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ten sposób wiarygodność płatniczą swoich klientów. Od początku działania BIG InfoMonitor udostępnił 303 mln raportów o wiarygodności płatniczej osób i firm.</w:t>
      </w:r>
    </w:p>
    <w:p w14:paraId="22332F32" w14:textId="77777777" w:rsidR="00AF0982" w:rsidRPr="003301AE" w:rsidRDefault="00AF0982" w:rsidP="00AF0982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>Informacje o dłużnikach przekazują do BIG InfoMonitor m.in. dostawcy energii elektrycznej, gazu, wody i inne przedsiębiorstwa użyteczności publicznej, banki, firmy pożyczkowe, operatorzy telefonii stacjonarnej i komórkowej, firmy ubezpieczeniowe, faktoringowe, leasingowe, sektor MŚP i inne duże firmy, zarządcy nieruchomości, transport publiczny, sądy, gminy i urzędy miasta, a także osoby fizyczne.</w:t>
      </w:r>
    </w:p>
    <w:p w14:paraId="242940CF" w14:textId="6ED6F71B" w:rsidR="009278F9" w:rsidRPr="009278F9" w:rsidRDefault="00AF0982" w:rsidP="009278F9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 xml:space="preserve">BIG InfoMonitor umożliwia dostęp do baz: Biura Informacji Kredytowej i Związku Banków Polskich, dzięki czemu stanowi platformę wymiany informacji pomiędzy sektorem bankowym i pozostałymi sektorami gospodarki. Głównym akcjonariuszem BIG InfoMonitor jest Biuro Informacji Kredytowej. Więcej na  </w:t>
      </w:r>
      <w:hyperlink r:id="rId9">
        <w:r w:rsidRPr="003301AE">
          <w:rPr>
            <w:bCs/>
            <w:color w:val="467886"/>
            <w:sz w:val="18"/>
            <w:szCs w:val="18"/>
            <w:u w:val="single"/>
          </w:rPr>
          <w:t>www.big.pl</w:t>
        </w:r>
      </w:hyperlink>
      <w:bookmarkEnd w:id="0"/>
    </w:p>
    <w:p w14:paraId="3C5E74BC" w14:textId="25262714" w:rsidR="00354293" w:rsidRDefault="00354293" w:rsidP="00354293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tbl>
      <w:tblPr>
        <w:tblW w:w="10460" w:type="dxa"/>
        <w:tblLayout w:type="fixed"/>
        <w:tblLook w:val="0400" w:firstRow="0" w:lastRow="0" w:firstColumn="0" w:lastColumn="0" w:noHBand="0" w:noVBand="1"/>
      </w:tblPr>
      <w:tblGrid>
        <w:gridCol w:w="3780"/>
        <w:gridCol w:w="3340"/>
        <w:gridCol w:w="3340"/>
      </w:tblGrid>
      <w:tr w:rsidR="00354293" w14:paraId="567159BC" w14:textId="77777777" w:rsidTr="00766A20">
        <w:trPr>
          <w:trHeight w:val="1440"/>
        </w:trPr>
        <w:tc>
          <w:tcPr>
            <w:tcW w:w="3780" w:type="dxa"/>
          </w:tcPr>
          <w:p w14:paraId="0EB120EC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Diana Borowiecka</w:t>
            </w:r>
          </w:p>
          <w:p w14:paraId="3C48C24B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PR i Komunikacji</w:t>
            </w:r>
          </w:p>
          <w:p w14:paraId="4E5298CD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+48 22 486 56 46</w:t>
            </w:r>
          </w:p>
          <w:p w14:paraId="51BCDD58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kom.: + 48 607 146 583</w:t>
            </w:r>
          </w:p>
          <w:p w14:paraId="55844FE2" w14:textId="77777777" w:rsidR="00354293" w:rsidRDefault="00354293" w:rsidP="00766A20">
            <w:pPr>
              <w:spacing w:line="240" w:lineRule="auto"/>
              <w:ind w:left="-108"/>
              <w:jc w:val="both"/>
            </w:pPr>
            <w:r>
              <w:rPr>
                <w:sz w:val="18"/>
                <w:szCs w:val="18"/>
              </w:rPr>
              <w:t>diana.borowiecka@big.pl</w:t>
            </w:r>
          </w:p>
        </w:tc>
        <w:tc>
          <w:tcPr>
            <w:tcW w:w="3340" w:type="dxa"/>
          </w:tcPr>
          <w:p w14:paraId="4FF985EA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</w:tcPr>
          <w:p w14:paraId="329342AB" w14:textId="77777777" w:rsidR="00354293" w:rsidRDefault="00354293" w:rsidP="00766A20">
            <w:pPr>
              <w:spacing w:line="240" w:lineRule="auto"/>
              <w:jc w:val="both"/>
            </w:pPr>
          </w:p>
        </w:tc>
      </w:tr>
    </w:tbl>
    <w:p w14:paraId="1F85B970" w14:textId="5009D305" w:rsidR="005E5173" w:rsidRPr="006450DE" w:rsidRDefault="005E5173" w:rsidP="009278F9"/>
    <w:sectPr w:rsidR="005E5173" w:rsidRPr="006450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41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9B39" w14:textId="77777777" w:rsidR="00412638" w:rsidRDefault="00412638" w:rsidP="006450DE">
      <w:pPr>
        <w:spacing w:line="240" w:lineRule="auto"/>
      </w:pPr>
      <w:r>
        <w:separator/>
      </w:r>
    </w:p>
  </w:endnote>
  <w:endnote w:type="continuationSeparator" w:id="0">
    <w:p w14:paraId="10B80752" w14:textId="77777777" w:rsidR="00412638" w:rsidRDefault="00412638" w:rsidP="00645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F075" w14:textId="60913532" w:rsidR="005415ED" w:rsidRDefault="005415ED"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3DB2964E" wp14:editId="3E7F7B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36676922" name="Pole tekstowe 2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AB952" w14:textId="24B4563B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296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formacje Jawne" style="position:absolute;margin-left:-16.25pt;margin-top:0;width:34.95pt;height:34.95pt;z-index:2516817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434AB952" w14:textId="24B4563B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228275" w14:textId="77777777" w:rsidR="005415ED" w:rsidRDefault="005415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BB26" w14:textId="719AA025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53FEA413" wp14:editId="3EDB6F73">
              <wp:simplePos x="900430" y="1000887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65188240" name="Pole tekstowe 3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FAD47" w14:textId="52973B48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EA41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formacje Jawne" style="position:absolute;margin-left:-16.25pt;margin-top:0;width:34.95pt;height:34.95pt;z-index:2516828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34AFAD47" w14:textId="52973B48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2DE80C2B" wp14:editId="3A278DE9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52" name="Prostokąt 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2FA016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31D319A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E80C2B" id="Prostokąt 352" o:spid="_x0000_s1028" style="position:absolute;margin-left:-7pt;margin-top:.6pt;width:369pt;height:118.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" stroked="f">
              <v:textbox inset="2.53958mm,1.2694mm,2.53958mm,1.2694mm">
                <w:txbxContent>
                  <w:p w14:paraId="292FA016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31D319A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A7BF7A4" wp14:editId="20D819CF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54" name="Prostokąt 35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5F3A1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7BF7A4" id="Prostokąt 354" o:spid="_x0000_s1029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8pt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c5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ILwKLmc72570n4PhO4cgnBmHPPO62&#10;oGTCfbcUfhyZF5ToLwYFvS+qEhmGFCATn5yyrvIco+41zQwfLN5PR8nF/RTSNV0wfjwGK1Xic8Nw&#10;BYsLTDSvxxYv5Nc4Vd1+ie1PAA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B+SKc5wQEAAFo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7905F3A1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D62DBC4" wp14:editId="74959F34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56" name="Prostokąt 356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FDF1D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62DBC4" id="Prostokąt 356" o:spid="_x0000_s1030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05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NNwQEAAFoDAAAOAAAAZHJzL2Uyb0RvYy54bWysU9tu2zAMfR+wfxD0vvgSO2mNKMWwIsOA&#10;YgvQ9QNkWYoF2JImKrHz96OUtNnlbdgLTVIEec4hvXmYx4GcpAdtDaPFIqdEGmE7bQ6Mvnzf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rSKwmGltd957Ak7sNI584hD23ONu&#10;C0om3Dej8OPIvaRk+GJQ0PuiKpFhSAEy8ckp6yrPMWpf09yI3uL9tJRc3E8hXdMF48djsEonPjcM&#10;V7C4wETzemzxQn6NU9Xtl9j+B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4qCjTcEBAABa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31CFDF1D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B098627" wp14:editId="276C4E2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3" name="Prostokąt 343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1F3FE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098627" id="Prostokąt 343" o:spid="_x0000_s1031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7pt;width:601.3pt;height:2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STwAEAAFo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" filled="f" stroked="f">
              <v:textbox inset="2.53958mm,0,20pt,0">
                <w:txbxContent>
                  <w:p w14:paraId="72C1F3FE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00FFDD2F" wp14:editId="72D4F677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1" name="Prostokąt 351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008FC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FFDD2F" id="Prostokąt 351" o:spid="_x0000_s1032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8pt;width:600.55pt;height:2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0rwgEAAFo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TX0CoAC5nWdKedI2D5VuHIJwZ+xxzu&#10;NqNkwn03FH4dmBOUDN80CnqXFTky9DFAJi46eVmkKUbta5pp3hu8n5aSs/vg4zWdMX45eCNV5HPF&#10;cAGLC4w0L8cWLuR9HKuuv8TmN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PFR3SvCAQAAWg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270008FC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6F001B61" wp14:editId="7227500C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48" name="Prostokąt 34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46BA6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001B61" id="Prostokąt 348" o:spid="_x0000_s1033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9pt;width:599.8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r1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WIJAKLmc72570n4PhO4cgnBmHPPO62&#10;oGTCfbcUfhyZF5ToLwYFvS+qEhmGFCATn5yyrvIco+41zQwfLN5PR8nF/RTSNV0wfjwGK1Xic8Nw&#10;BYsLTDSvxxYv5Nc4Vd1+ie1PAA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WKpa9cEBAABa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1B146BA6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6936C748" wp14:editId="7587F6C9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0" name="Prostokąt 34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520BA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36C748" id="Prostokąt 340" o:spid="_x0000_s1034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0pt;width:599.05pt;height:2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" filled="f" stroked="f">
              <v:textbox inset="2.53958mm,0,20pt,0">
                <w:txbxContent>
                  <w:p w14:paraId="3B2520BA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7C1370DB" wp14:editId="10DD7ADF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58" name="Prostokąt 35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19A48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1370DB" id="Prostokąt 358" o:spid="_x0000_s1035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1pt;width:598.3pt;height:2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MdwQEAAFoDAAAOAAAAZHJzL2Uyb0RvYy54bWysU9tu2zAMfR+wfxD0vvgSO2mNKMWwIsOA&#10;YgvQ7gNkWYoF2JImKrHz96OUtNnlbdgLTVIEec4hvXmYx4GcpAdtDaPFIqdEGmE7bQ6Mfn/Z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vY/AYqa13XnvCTix0zjyiUPYc4+7&#10;LSiZcN+Mwo8j95KS4YtBQe+LqkSGIQXIxCenrKs8x6h9TXMjeov301JycT+FdE0XjB+PwSqd+Nww&#10;XMHiAhPN67HFC/k1TlW3X2L7Ew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ge1MdwQEAAFo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3DE19A48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1BBF737D" wp14:editId="1ABE37E9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0" name="Prostokąt 35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9B008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BF737D" id="Prostokąt 350" o:spid="_x0000_s1036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3pt;width:596.8pt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+r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ENQ6eU41rz3tg6OXO0MwngWEvgJab&#10;cTbSwmuOP44CFGf9F0uK3mdFThRDDIgKRCcvizSlqHlNCys7RwfUcHZxP4V4TheQH4/BaRMJ3TBc&#10;0dIGI8/rtc0n8mscq27/xPYnAA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0zK+r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F39B008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0E73B3A6" wp14:editId="07BF9E28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9" name="Prostokąt 349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4171C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73B3A6" id="Prostokąt 349" o:spid="_x0000_s1037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4pt;width:596.05pt;height:2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h1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G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XTcodc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5394171C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2B846C55" w14:textId="123FE81D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AE0A83">
      <w:rPr>
        <w:noProof/>
        <w:color w:val="44546A"/>
      </w:rPr>
      <w:t>2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AE0A83">
      <w:rPr>
        <w:noProof/>
        <w:color w:val="44546A"/>
      </w:rPr>
      <w:t>3</w:t>
    </w:r>
    <w:r>
      <w:rPr>
        <w:color w:val="44546A"/>
      </w:rPr>
      <w:fldChar w:fldCharType="end"/>
    </w:r>
  </w:p>
  <w:p w14:paraId="123CD651" w14:textId="77777777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393A" w14:textId="1E7DFA82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62001C6D" wp14:editId="2AF1E8B8">
              <wp:simplePos x="901700" y="100076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95713004" name="Pole tekstowe 1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1CA25" w14:textId="0794942F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01C6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8" type="#_x0000_t202" alt="Informacje Jawne" style="position:absolute;margin-left:-16.25pt;margin-top:0;width:34.95pt;height:34.95pt;z-index:2516807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pdEA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j8bx99DdcatHPSEe8s3DfbeMh9emEOGcRFUbXjG&#10;QypoSwqDRUkN7sff/DEfgccoJS0qpqQGJU2J+maQkCiu0XDJmC3meY7ufbpN7/JFvJmjfgAU4xTf&#10;heXJRK8LajSlA/2Gol7HbhhihmPPku5H8yH0+sVHwcV6nZJQTJaFrdlZHktH0CKir90bc3aAPSBf&#10;TzBqihXv0O9z45/ero8BOUjURIB7NAfcUYiJ3OHRRKX/ek9Z16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O946XRACAAAi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961CA25" w14:textId="0794942F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hidden="0" allowOverlap="1" wp14:anchorId="35199AA2" wp14:editId="324DFF96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42" name="Prostokąt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A8E8D6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2F92665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99AA2" id="Prostokąt 342" o:spid="_x0000_s1039" style="position:absolute;margin-left:-7pt;margin-top:.6pt;width:369pt;height:118.1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" stroked="f">
              <v:textbox inset="2.53958mm,1.2694mm,2.53958mm,1.2694mm">
                <w:txbxContent>
                  <w:p w14:paraId="18A8E8D6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2F92665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hidden="0" allowOverlap="1" wp14:anchorId="7552E2F3" wp14:editId="07D96CBB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44" name="Prostokąt 344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5411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52E2F3" id="Prostokąt 344" o:spid="_x0000_s1040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8pt;height:2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Jn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WRxVRn+/MeiHd8p3DmE/NhzwCX&#10;W1Ay4cJb6n8cGQhK9BeDit4XVYkUQwqQCiSnrKs8x6h7TTPDB4sH1FFycT+FdE4XkB+PwUqVCN0w&#10;XNHiBhPP67XFE/k1TlW3f2L7Ew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DSLlJnwQEAAFs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5B55411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3B2CFD81" wp14:editId="480600D9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39" name="Prostokąt 339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44D67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2CFD81" id="Prostokąt 339" o:spid="_x0000_s1041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05pt;height:2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W5wQEAAFs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RakQWU53tz3tPwPGdwplPDMKeeVxu&#10;QcmEC28p/DgyLyjRXwwqel9UJVIMKUAqPjllXeU5Rt1rmhk+WDygjpKL+ymkc7qA/HgMVqpE6Ibh&#10;ihY3mHhery2eyK9xqrr9E9ufA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e9XVucEBAABb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18144D67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295B6D82" wp14:editId="3384E48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5" name="Prostokąt 34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9E67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5B6D82" id="Prostokąt 345" o:spid="_x0000_s1042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7pt;width:601.3pt;height:2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wBwgEAAFs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" filled="f" stroked="f">
              <v:textbox inset="2.53958mm,0,20pt,0">
                <w:txbxContent>
                  <w:p w14:paraId="7A39E67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C40C447" wp14:editId="2BB67D1C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3" name="Prostokąt 353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540FD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40C447" id="Prostokąt 353" o:spid="_x0000_s1043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8pt;width:600.55pt;height:2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vfwg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joii6nO9uc9EO/4TuHMJ+bDngEu&#10;t6BkwoW31P84MhCU6C8GFb0vqhIphhQgFUhOWVd5jlH3mmaGDxYPqKPk4n4K6ZwuID8eg5UqEbph&#10;uKLFDSae12uLJ/JrnKpu/8T2J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Ggkq9/CAQAAWw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6D8540FD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hidden="0" allowOverlap="1" wp14:anchorId="12EA602F" wp14:editId="4478A9B7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55" name="Prostokąt 35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75DA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EA602F" id="Prostokąt 355" o:spid="_x0000_s1044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9pt;width:599.8pt;height:2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+Q4l6cEBAABb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27A75DA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hidden="0" allowOverlap="1" wp14:anchorId="6413A5A0" wp14:editId="60C5C44A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1" name="Prostokąt 341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46AC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13A5A0" id="Prostokąt 341" o:spid="_x0000_s1045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0pt;width:599.05pt;height:2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I3wgEAAFsDAAAOAAAAZHJzL2Uyb0RvYy54bWysU9tu2zAMfR+wfxD0vvgSO2mNOMWwIsOA&#10;YgvQ7gNkWYoFyJJGKbHz96OUtNnlbdgLTVIEec4hvXmYR01OAryypqXFIqdEGG57ZQ4t/f6y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" filled="f" stroked="f">
              <v:textbox inset="2.53958mm,0,20pt,0">
                <w:txbxContent>
                  <w:p w14:paraId="40446AC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1E082A92" wp14:editId="3A55D4CB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47" name="Prostokąt 34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7F57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082A92" id="Prostokąt 347" o:spid="_x0000_s1046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1pt;width:598.3pt;height:2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OA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0PA6eU41rz3tg6OXO0MwngWEvgJab&#10;cTbSwmuOP44CFGf9F0uK3mdFThRDDIgKRCcvizSlqHlNCys7RwfUcHZxP4V4TheQH4/BaRMJ3TBc&#10;0dIGI8/rtc0n8mscq27/xPYnAA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sb6OAwQEAAFs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7437F57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hidden="0" allowOverlap="1" wp14:anchorId="09D13A9A" wp14:editId="3AC1EB08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7" name="Prostokąt 35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56450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D13A9A" id="Prostokąt 357" o:spid="_x0000_s1047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3pt;width:596.8pt;height:2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Re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GRxVRn+/MeiHd8p3DmE/NhzwCX&#10;W1Ay4cJb6n8cGQhK9BeDit4XVYkUQwqQCiSnrKs8x6h7TTPDB4sH1FFycT+FdE4XkB+PwUqVCN0w&#10;XNHiBhPP67XFE/k1TlW3f2L7Ew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FlCRe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8656450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3C625784" wp14:editId="23C432FB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6" name="Prostokąt 346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61C97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625784" id="Prostokąt 346" o:spid="_x0000_s1048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4pt;width:596.05pt;height:2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3m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m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f57d5s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26061C97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15C760CE" w14:textId="037CBA0B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6B4237">
      <w:rPr>
        <w:noProof/>
        <w:color w:val="44546A"/>
      </w:rPr>
      <w:t>1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6B4237">
      <w:rPr>
        <w:noProof/>
        <w:color w:val="44546A"/>
      </w:rPr>
      <w:t>3</w:t>
    </w:r>
    <w:r>
      <w:rPr>
        <w:color w:val="44546A"/>
      </w:rPr>
      <w:fldChar w:fldCharType="end"/>
    </w:r>
  </w:p>
  <w:p w14:paraId="1CD9868B" w14:textId="77777777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EFEF4" w14:textId="77777777" w:rsidR="00412638" w:rsidRDefault="00412638" w:rsidP="006450DE">
      <w:pPr>
        <w:spacing w:line="240" w:lineRule="auto"/>
      </w:pPr>
      <w:r>
        <w:separator/>
      </w:r>
    </w:p>
  </w:footnote>
  <w:footnote w:type="continuationSeparator" w:id="0">
    <w:p w14:paraId="73D20D1F" w14:textId="77777777" w:rsidR="00412638" w:rsidRDefault="00412638" w:rsidP="006450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213A" w14:textId="77777777" w:rsidR="005415ED" w:rsidRDefault="005415ED"/>
  <w:p w14:paraId="4492AB5A" w14:textId="77777777" w:rsidR="005415ED" w:rsidRDefault="005415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EE1A" w14:textId="77777777" w:rsidR="005415ED" w:rsidRDefault="005415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B219" w14:textId="77777777" w:rsidR="005415ED" w:rsidRDefault="005415ED">
    <w:r>
      <w:rPr>
        <w:noProof/>
      </w:rPr>
      <w:drawing>
        <wp:anchor distT="0" distB="0" distL="0" distR="0" simplePos="0" relativeHeight="251659264" behindDoc="1" locked="0" layoutInCell="1" hidden="0" allowOverlap="1" wp14:anchorId="5D231682" wp14:editId="262358FD">
          <wp:simplePos x="0" y="0"/>
          <wp:positionH relativeFrom="column">
            <wp:posOffset>-438138</wp:posOffset>
          </wp:positionH>
          <wp:positionV relativeFrom="paragraph">
            <wp:posOffset>8890</wp:posOffset>
          </wp:positionV>
          <wp:extent cx="2266950" cy="1197584"/>
          <wp:effectExtent l="0" t="0" r="0" b="0"/>
          <wp:wrapNone/>
          <wp:docPr id="3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F422EE" w14:textId="77777777" w:rsidR="005415ED" w:rsidRDefault="005415ED"/>
  <w:p w14:paraId="2DECC0A1" w14:textId="77777777" w:rsidR="005415ED" w:rsidRDefault="005415ED"/>
  <w:p w14:paraId="6EA6B4DB" w14:textId="77777777" w:rsidR="005415ED" w:rsidRDefault="005415ED"/>
  <w:p w14:paraId="0C7523A2" w14:textId="77777777" w:rsidR="005415ED" w:rsidRDefault="005415ED">
    <w:pPr>
      <w:ind w:firstLine="708"/>
    </w:pPr>
  </w:p>
  <w:p w14:paraId="04E4AAE3" w14:textId="77777777" w:rsidR="005415ED" w:rsidRDefault="005415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926"/>
    <w:multiLevelType w:val="hybridMultilevel"/>
    <w:tmpl w:val="8848D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3481"/>
    <w:multiLevelType w:val="hybridMultilevel"/>
    <w:tmpl w:val="D832B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454C"/>
    <w:multiLevelType w:val="hybridMultilevel"/>
    <w:tmpl w:val="7BFA9F5E"/>
    <w:lvl w:ilvl="0" w:tplc="425AF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85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0CAE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49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25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EE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7A3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4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2C3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1F1B3E"/>
    <w:multiLevelType w:val="hybridMultilevel"/>
    <w:tmpl w:val="8ADEFF18"/>
    <w:lvl w:ilvl="0" w:tplc="BEE4E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EB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DACD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608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8E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D8D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C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68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A8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FB216E1"/>
    <w:multiLevelType w:val="hybridMultilevel"/>
    <w:tmpl w:val="D8AE3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276F9"/>
    <w:multiLevelType w:val="hybridMultilevel"/>
    <w:tmpl w:val="DF426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04E7E"/>
    <w:multiLevelType w:val="multilevel"/>
    <w:tmpl w:val="F490E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6E30EF"/>
    <w:multiLevelType w:val="hybridMultilevel"/>
    <w:tmpl w:val="11BA9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E155F"/>
    <w:multiLevelType w:val="hybridMultilevel"/>
    <w:tmpl w:val="3B28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906A4"/>
    <w:multiLevelType w:val="multilevel"/>
    <w:tmpl w:val="F6B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AB510E"/>
    <w:multiLevelType w:val="hybridMultilevel"/>
    <w:tmpl w:val="BECE8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149873">
    <w:abstractNumId w:val="2"/>
  </w:num>
  <w:num w:numId="2" w16cid:durableId="361708014">
    <w:abstractNumId w:val="3"/>
  </w:num>
  <w:num w:numId="3" w16cid:durableId="316422671">
    <w:abstractNumId w:val="9"/>
  </w:num>
  <w:num w:numId="4" w16cid:durableId="1616405299">
    <w:abstractNumId w:val="0"/>
  </w:num>
  <w:num w:numId="5" w16cid:durableId="1545480613">
    <w:abstractNumId w:val="10"/>
  </w:num>
  <w:num w:numId="6" w16cid:durableId="1996644167">
    <w:abstractNumId w:val="1"/>
  </w:num>
  <w:num w:numId="7" w16cid:durableId="741560271">
    <w:abstractNumId w:val="8"/>
  </w:num>
  <w:num w:numId="8" w16cid:durableId="1162356388">
    <w:abstractNumId w:val="6"/>
  </w:num>
  <w:num w:numId="9" w16cid:durableId="138960475">
    <w:abstractNumId w:val="5"/>
  </w:num>
  <w:num w:numId="10" w16cid:durableId="497379368">
    <w:abstractNumId w:val="7"/>
  </w:num>
  <w:num w:numId="11" w16cid:durableId="1664701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DE"/>
    <w:rsid w:val="00001AE5"/>
    <w:rsid w:val="0000243D"/>
    <w:rsid w:val="00004806"/>
    <w:rsid w:val="0000538E"/>
    <w:rsid w:val="00012174"/>
    <w:rsid w:val="00012383"/>
    <w:rsid w:val="00012390"/>
    <w:rsid w:val="00012640"/>
    <w:rsid w:val="000141FE"/>
    <w:rsid w:val="000146AA"/>
    <w:rsid w:val="00021322"/>
    <w:rsid w:val="00022382"/>
    <w:rsid w:val="00022EF6"/>
    <w:rsid w:val="000232F8"/>
    <w:rsid w:val="0002491D"/>
    <w:rsid w:val="00024F16"/>
    <w:rsid w:val="0002647D"/>
    <w:rsid w:val="000316B0"/>
    <w:rsid w:val="00031A9B"/>
    <w:rsid w:val="00032190"/>
    <w:rsid w:val="0003337F"/>
    <w:rsid w:val="00033ED2"/>
    <w:rsid w:val="00037D7C"/>
    <w:rsid w:val="0004007B"/>
    <w:rsid w:val="00040390"/>
    <w:rsid w:val="0004052A"/>
    <w:rsid w:val="000427B2"/>
    <w:rsid w:val="00051D77"/>
    <w:rsid w:val="0005480C"/>
    <w:rsid w:val="00057C8D"/>
    <w:rsid w:val="00075B45"/>
    <w:rsid w:val="000760FC"/>
    <w:rsid w:val="000810E1"/>
    <w:rsid w:val="00081C21"/>
    <w:rsid w:val="00083FD4"/>
    <w:rsid w:val="000861D3"/>
    <w:rsid w:val="00086D5B"/>
    <w:rsid w:val="000926B6"/>
    <w:rsid w:val="00096F05"/>
    <w:rsid w:val="0009733C"/>
    <w:rsid w:val="00097820"/>
    <w:rsid w:val="000A12C4"/>
    <w:rsid w:val="000A23D9"/>
    <w:rsid w:val="000A3215"/>
    <w:rsid w:val="000A41ED"/>
    <w:rsid w:val="000A5755"/>
    <w:rsid w:val="000A6B66"/>
    <w:rsid w:val="000A73FF"/>
    <w:rsid w:val="000A7C45"/>
    <w:rsid w:val="000B1B3B"/>
    <w:rsid w:val="000B2347"/>
    <w:rsid w:val="000B3355"/>
    <w:rsid w:val="000B37E2"/>
    <w:rsid w:val="000B4828"/>
    <w:rsid w:val="000B6FA9"/>
    <w:rsid w:val="000C105E"/>
    <w:rsid w:val="000C1585"/>
    <w:rsid w:val="000C5797"/>
    <w:rsid w:val="000C5C51"/>
    <w:rsid w:val="000C7F5D"/>
    <w:rsid w:val="000D29CE"/>
    <w:rsid w:val="000D42E1"/>
    <w:rsid w:val="000D784F"/>
    <w:rsid w:val="000E43E2"/>
    <w:rsid w:val="000E5685"/>
    <w:rsid w:val="000E64E9"/>
    <w:rsid w:val="000E6D1E"/>
    <w:rsid w:val="000E7A3D"/>
    <w:rsid w:val="000F24FD"/>
    <w:rsid w:val="000F4006"/>
    <w:rsid w:val="000F794A"/>
    <w:rsid w:val="001043B4"/>
    <w:rsid w:val="00105503"/>
    <w:rsid w:val="00105EB9"/>
    <w:rsid w:val="001072DD"/>
    <w:rsid w:val="00107317"/>
    <w:rsid w:val="00112EF4"/>
    <w:rsid w:val="00113867"/>
    <w:rsid w:val="001138B1"/>
    <w:rsid w:val="001143D2"/>
    <w:rsid w:val="001201B2"/>
    <w:rsid w:val="00120ADA"/>
    <w:rsid w:val="00121D7B"/>
    <w:rsid w:val="001221A3"/>
    <w:rsid w:val="0012425E"/>
    <w:rsid w:val="00124D83"/>
    <w:rsid w:val="001275A0"/>
    <w:rsid w:val="00133DBF"/>
    <w:rsid w:val="00142C6B"/>
    <w:rsid w:val="00144ADB"/>
    <w:rsid w:val="00154F4C"/>
    <w:rsid w:val="0015504E"/>
    <w:rsid w:val="00155CA9"/>
    <w:rsid w:val="001561B5"/>
    <w:rsid w:val="0015646A"/>
    <w:rsid w:val="00156FE9"/>
    <w:rsid w:val="00160A39"/>
    <w:rsid w:val="001630B2"/>
    <w:rsid w:val="001634B3"/>
    <w:rsid w:val="001635C0"/>
    <w:rsid w:val="00163ACA"/>
    <w:rsid w:val="00163D43"/>
    <w:rsid w:val="00164DBA"/>
    <w:rsid w:val="00170DCC"/>
    <w:rsid w:val="001742E4"/>
    <w:rsid w:val="001746C9"/>
    <w:rsid w:val="0017723A"/>
    <w:rsid w:val="001802A7"/>
    <w:rsid w:val="00185775"/>
    <w:rsid w:val="00187034"/>
    <w:rsid w:val="001910BE"/>
    <w:rsid w:val="0019504D"/>
    <w:rsid w:val="001974D2"/>
    <w:rsid w:val="00197A37"/>
    <w:rsid w:val="001A034E"/>
    <w:rsid w:val="001A0CA3"/>
    <w:rsid w:val="001A123D"/>
    <w:rsid w:val="001A17F6"/>
    <w:rsid w:val="001A1AD3"/>
    <w:rsid w:val="001A1E13"/>
    <w:rsid w:val="001A3955"/>
    <w:rsid w:val="001A5502"/>
    <w:rsid w:val="001A690B"/>
    <w:rsid w:val="001A6AE9"/>
    <w:rsid w:val="001A6F8B"/>
    <w:rsid w:val="001A72C5"/>
    <w:rsid w:val="001A7CB7"/>
    <w:rsid w:val="001B07AD"/>
    <w:rsid w:val="001B0A10"/>
    <w:rsid w:val="001B25F1"/>
    <w:rsid w:val="001B38B2"/>
    <w:rsid w:val="001B43C8"/>
    <w:rsid w:val="001C0349"/>
    <w:rsid w:val="001C35E4"/>
    <w:rsid w:val="001C6CC9"/>
    <w:rsid w:val="001D0393"/>
    <w:rsid w:val="001D15F1"/>
    <w:rsid w:val="001D1724"/>
    <w:rsid w:val="001D28B7"/>
    <w:rsid w:val="001D2CCF"/>
    <w:rsid w:val="001D4572"/>
    <w:rsid w:val="001D69F3"/>
    <w:rsid w:val="001E13F1"/>
    <w:rsid w:val="001E1FB1"/>
    <w:rsid w:val="001E2B71"/>
    <w:rsid w:val="001F3503"/>
    <w:rsid w:val="001F39F2"/>
    <w:rsid w:val="001F4856"/>
    <w:rsid w:val="001F4ED5"/>
    <w:rsid w:val="001F53ED"/>
    <w:rsid w:val="001F5A50"/>
    <w:rsid w:val="00202E27"/>
    <w:rsid w:val="002041AB"/>
    <w:rsid w:val="0020467F"/>
    <w:rsid w:val="00205A27"/>
    <w:rsid w:val="00205CE0"/>
    <w:rsid w:val="002100E1"/>
    <w:rsid w:val="0021086A"/>
    <w:rsid w:val="00212659"/>
    <w:rsid w:val="002135FF"/>
    <w:rsid w:val="002136D8"/>
    <w:rsid w:val="00216E44"/>
    <w:rsid w:val="00217A25"/>
    <w:rsid w:val="00227F7D"/>
    <w:rsid w:val="00230CFB"/>
    <w:rsid w:val="002333CC"/>
    <w:rsid w:val="0023391F"/>
    <w:rsid w:val="002339C6"/>
    <w:rsid w:val="0023419F"/>
    <w:rsid w:val="00234368"/>
    <w:rsid w:val="00240A17"/>
    <w:rsid w:val="00242288"/>
    <w:rsid w:val="0024258B"/>
    <w:rsid w:val="00243F4B"/>
    <w:rsid w:val="00244BE8"/>
    <w:rsid w:val="00244C5B"/>
    <w:rsid w:val="00245827"/>
    <w:rsid w:val="00246BD2"/>
    <w:rsid w:val="00250B23"/>
    <w:rsid w:val="00250D31"/>
    <w:rsid w:val="00253341"/>
    <w:rsid w:val="00254F6B"/>
    <w:rsid w:val="00257A4E"/>
    <w:rsid w:val="00260694"/>
    <w:rsid w:val="0026249A"/>
    <w:rsid w:val="00264613"/>
    <w:rsid w:val="002676BA"/>
    <w:rsid w:val="002726E8"/>
    <w:rsid w:val="00273C34"/>
    <w:rsid w:val="002764C8"/>
    <w:rsid w:val="002774FE"/>
    <w:rsid w:val="0028132F"/>
    <w:rsid w:val="002843E6"/>
    <w:rsid w:val="00284C0A"/>
    <w:rsid w:val="002869EB"/>
    <w:rsid w:val="00291955"/>
    <w:rsid w:val="00292F08"/>
    <w:rsid w:val="00293B98"/>
    <w:rsid w:val="0029429C"/>
    <w:rsid w:val="00295B3D"/>
    <w:rsid w:val="00296E30"/>
    <w:rsid w:val="00296F5B"/>
    <w:rsid w:val="002A0550"/>
    <w:rsid w:val="002A079D"/>
    <w:rsid w:val="002A1256"/>
    <w:rsid w:val="002A39B5"/>
    <w:rsid w:val="002B3CC5"/>
    <w:rsid w:val="002B5777"/>
    <w:rsid w:val="002B72C5"/>
    <w:rsid w:val="002C05C9"/>
    <w:rsid w:val="002C0BE5"/>
    <w:rsid w:val="002C45B9"/>
    <w:rsid w:val="002C4CE6"/>
    <w:rsid w:val="002C4DA7"/>
    <w:rsid w:val="002C557C"/>
    <w:rsid w:val="002C6DCB"/>
    <w:rsid w:val="002C798F"/>
    <w:rsid w:val="002D34D1"/>
    <w:rsid w:val="002D3DFA"/>
    <w:rsid w:val="002D5A94"/>
    <w:rsid w:val="002D6F91"/>
    <w:rsid w:val="002E1E05"/>
    <w:rsid w:val="002E3929"/>
    <w:rsid w:val="002E4793"/>
    <w:rsid w:val="002E4D41"/>
    <w:rsid w:val="002F208D"/>
    <w:rsid w:val="002F2A9B"/>
    <w:rsid w:val="00303870"/>
    <w:rsid w:val="003059C6"/>
    <w:rsid w:val="003121F7"/>
    <w:rsid w:val="00313A16"/>
    <w:rsid w:val="00314134"/>
    <w:rsid w:val="00314806"/>
    <w:rsid w:val="00315BBF"/>
    <w:rsid w:val="00320D9E"/>
    <w:rsid w:val="00320EEB"/>
    <w:rsid w:val="00322989"/>
    <w:rsid w:val="00325142"/>
    <w:rsid w:val="00325BBB"/>
    <w:rsid w:val="003301AE"/>
    <w:rsid w:val="00330433"/>
    <w:rsid w:val="00331955"/>
    <w:rsid w:val="00335027"/>
    <w:rsid w:val="003358DD"/>
    <w:rsid w:val="003363ED"/>
    <w:rsid w:val="00337416"/>
    <w:rsid w:val="00337F75"/>
    <w:rsid w:val="00342868"/>
    <w:rsid w:val="003452A3"/>
    <w:rsid w:val="00345491"/>
    <w:rsid w:val="00345CA5"/>
    <w:rsid w:val="00346A3D"/>
    <w:rsid w:val="00350873"/>
    <w:rsid w:val="00352421"/>
    <w:rsid w:val="003531AA"/>
    <w:rsid w:val="00354293"/>
    <w:rsid w:val="003556B7"/>
    <w:rsid w:val="003609CE"/>
    <w:rsid w:val="00362574"/>
    <w:rsid w:val="00362DE0"/>
    <w:rsid w:val="00364F6E"/>
    <w:rsid w:val="00365CCF"/>
    <w:rsid w:val="00366836"/>
    <w:rsid w:val="00366A00"/>
    <w:rsid w:val="00370D64"/>
    <w:rsid w:val="00373BBA"/>
    <w:rsid w:val="0037539D"/>
    <w:rsid w:val="003774CC"/>
    <w:rsid w:val="00381266"/>
    <w:rsid w:val="00381BA3"/>
    <w:rsid w:val="00382EDF"/>
    <w:rsid w:val="00384616"/>
    <w:rsid w:val="0038572E"/>
    <w:rsid w:val="003857A9"/>
    <w:rsid w:val="00385A44"/>
    <w:rsid w:val="00386B5D"/>
    <w:rsid w:val="0039080D"/>
    <w:rsid w:val="00390C9B"/>
    <w:rsid w:val="0039205C"/>
    <w:rsid w:val="0039634F"/>
    <w:rsid w:val="00396A1A"/>
    <w:rsid w:val="003A52E4"/>
    <w:rsid w:val="003B3AA2"/>
    <w:rsid w:val="003B688E"/>
    <w:rsid w:val="003C040B"/>
    <w:rsid w:val="003C08E8"/>
    <w:rsid w:val="003C09FB"/>
    <w:rsid w:val="003C1087"/>
    <w:rsid w:val="003C1D58"/>
    <w:rsid w:val="003C26BB"/>
    <w:rsid w:val="003D0360"/>
    <w:rsid w:val="003D0440"/>
    <w:rsid w:val="003D0774"/>
    <w:rsid w:val="003D4EC9"/>
    <w:rsid w:val="003D51A2"/>
    <w:rsid w:val="003D7814"/>
    <w:rsid w:val="003D7F53"/>
    <w:rsid w:val="003E0028"/>
    <w:rsid w:val="003E1145"/>
    <w:rsid w:val="003E4D23"/>
    <w:rsid w:val="003E55C9"/>
    <w:rsid w:val="003F07F9"/>
    <w:rsid w:val="003F159B"/>
    <w:rsid w:val="003F27B2"/>
    <w:rsid w:val="003F51AE"/>
    <w:rsid w:val="003F7616"/>
    <w:rsid w:val="00400CD6"/>
    <w:rsid w:val="00401D4D"/>
    <w:rsid w:val="0040323B"/>
    <w:rsid w:val="00405732"/>
    <w:rsid w:val="004115D8"/>
    <w:rsid w:val="00411654"/>
    <w:rsid w:val="00412638"/>
    <w:rsid w:val="00421962"/>
    <w:rsid w:val="00422CD7"/>
    <w:rsid w:val="00424BD1"/>
    <w:rsid w:val="0043014F"/>
    <w:rsid w:val="00430FCE"/>
    <w:rsid w:val="004317BB"/>
    <w:rsid w:val="004342B9"/>
    <w:rsid w:val="00435E60"/>
    <w:rsid w:val="0043615D"/>
    <w:rsid w:val="0043617A"/>
    <w:rsid w:val="00437929"/>
    <w:rsid w:val="004428AE"/>
    <w:rsid w:val="00443D1A"/>
    <w:rsid w:val="00446FC9"/>
    <w:rsid w:val="00451188"/>
    <w:rsid w:val="00452744"/>
    <w:rsid w:val="00453FBB"/>
    <w:rsid w:val="00455652"/>
    <w:rsid w:val="00463564"/>
    <w:rsid w:val="0046435C"/>
    <w:rsid w:val="004653DE"/>
    <w:rsid w:val="00473BB0"/>
    <w:rsid w:val="0047656E"/>
    <w:rsid w:val="0048427F"/>
    <w:rsid w:val="004854FE"/>
    <w:rsid w:val="0048748C"/>
    <w:rsid w:val="00487C23"/>
    <w:rsid w:val="0049043F"/>
    <w:rsid w:val="00490A38"/>
    <w:rsid w:val="00493AD2"/>
    <w:rsid w:val="004978FF"/>
    <w:rsid w:val="004A0E38"/>
    <w:rsid w:val="004A1C4E"/>
    <w:rsid w:val="004A3386"/>
    <w:rsid w:val="004A34A2"/>
    <w:rsid w:val="004A43F6"/>
    <w:rsid w:val="004B07F9"/>
    <w:rsid w:val="004B5D29"/>
    <w:rsid w:val="004C4CDE"/>
    <w:rsid w:val="004C6135"/>
    <w:rsid w:val="004C7466"/>
    <w:rsid w:val="004C79DA"/>
    <w:rsid w:val="004D072C"/>
    <w:rsid w:val="004D7EAE"/>
    <w:rsid w:val="004E6AFF"/>
    <w:rsid w:val="004F1214"/>
    <w:rsid w:val="004F3068"/>
    <w:rsid w:val="004F527C"/>
    <w:rsid w:val="004F6A89"/>
    <w:rsid w:val="00505255"/>
    <w:rsid w:val="0050605E"/>
    <w:rsid w:val="005077A8"/>
    <w:rsid w:val="005079F6"/>
    <w:rsid w:val="0051030A"/>
    <w:rsid w:val="00521C3E"/>
    <w:rsid w:val="00523B1D"/>
    <w:rsid w:val="00526CD9"/>
    <w:rsid w:val="00526D41"/>
    <w:rsid w:val="00532EFE"/>
    <w:rsid w:val="005338AB"/>
    <w:rsid w:val="00535AE3"/>
    <w:rsid w:val="0053660B"/>
    <w:rsid w:val="005415ED"/>
    <w:rsid w:val="005425E4"/>
    <w:rsid w:val="00543289"/>
    <w:rsid w:val="0054356A"/>
    <w:rsid w:val="005436B4"/>
    <w:rsid w:val="00543F82"/>
    <w:rsid w:val="00545567"/>
    <w:rsid w:val="00547B18"/>
    <w:rsid w:val="00550ED0"/>
    <w:rsid w:val="00552CEB"/>
    <w:rsid w:val="00555F44"/>
    <w:rsid w:val="00556503"/>
    <w:rsid w:val="005669F5"/>
    <w:rsid w:val="00566C5F"/>
    <w:rsid w:val="00566D83"/>
    <w:rsid w:val="00567EF3"/>
    <w:rsid w:val="00570060"/>
    <w:rsid w:val="005726C2"/>
    <w:rsid w:val="00572764"/>
    <w:rsid w:val="00574805"/>
    <w:rsid w:val="00575A0D"/>
    <w:rsid w:val="00576432"/>
    <w:rsid w:val="00576FCF"/>
    <w:rsid w:val="00577E9B"/>
    <w:rsid w:val="00581252"/>
    <w:rsid w:val="00582705"/>
    <w:rsid w:val="00583D97"/>
    <w:rsid w:val="005842F9"/>
    <w:rsid w:val="005845B3"/>
    <w:rsid w:val="00587D97"/>
    <w:rsid w:val="005903A9"/>
    <w:rsid w:val="005930ED"/>
    <w:rsid w:val="00593AEF"/>
    <w:rsid w:val="0059527E"/>
    <w:rsid w:val="00595DCA"/>
    <w:rsid w:val="00596E53"/>
    <w:rsid w:val="00597AC0"/>
    <w:rsid w:val="005A094B"/>
    <w:rsid w:val="005A0E5D"/>
    <w:rsid w:val="005A6C2E"/>
    <w:rsid w:val="005A6C80"/>
    <w:rsid w:val="005A73FE"/>
    <w:rsid w:val="005B1E5C"/>
    <w:rsid w:val="005B293B"/>
    <w:rsid w:val="005B4D24"/>
    <w:rsid w:val="005B54D3"/>
    <w:rsid w:val="005B6674"/>
    <w:rsid w:val="005B778C"/>
    <w:rsid w:val="005C0161"/>
    <w:rsid w:val="005C1042"/>
    <w:rsid w:val="005C137C"/>
    <w:rsid w:val="005C262F"/>
    <w:rsid w:val="005C483A"/>
    <w:rsid w:val="005C5079"/>
    <w:rsid w:val="005C777A"/>
    <w:rsid w:val="005D361B"/>
    <w:rsid w:val="005D3856"/>
    <w:rsid w:val="005D41DB"/>
    <w:rsid w:val="005D67B8"/>
    <w:rsid w:val="005E209C"/>
    <w:rsid w:val="005E5173"/>
    <w:rsid w:val="005E5C70"/>
    <w:rsid w:val="005E5F8B"/>
    <w:rsid w:val="005E6A20"/>
    <w:rsid w:val="005E6B56"/>
    <w:rsid w:val="005E739F"/>
    <w:rsid w:val="005F3C0A"/>
    <w:rsid w:val="005F4463"/>
    <w:rsid w:val="005F5FE7"/>
    <w:rsid w:val="00604859"/>
    <w:rsid w:val="00606578"/>
    <w:rsid w:val="00606FCF"/>
    <w:rsid w:val="00607928"/>
    <w:rsid w:val="006132FF"/>
    <w:rsid w:val="0061376A"/>
    <w:rsid w:val="00614C55"/>
    <w:rsid w:val="00617D90"/>
    <w:rsid w:val="00620D91"/>
    <w:rsid w:val="0062230D"/>
    <w:rsid w:val="0063070D"/>
    <w:rsid w:val="00631716"/>
    <w:rsid w:val="0063270F"/>
    <w:rsid w:val="0063737E"/>
    <w:rsid w:val="006404CE"/>
    <w:rsid w:val="00643EE0"/>
    <w:rsid w:val="006450DE"/>
    <w:rsid w:val="006505E2"/>
    <w:rsid w:val="006519C3"/>
    <w:rsid w:val="0065453E"/>
    <w:rsid w:val="006565FF"/>
    <w:rsid w:val="00663103"/>
    <w:rsid w:val="0066484F"/>
    <w:rsid w:val="00664D3A"/>
    <w:rsid w:val="00670CFD"/>
    <w:rsid w:val="00677986"/>
    <w:rsid w:val="006811E5"/>
    <w:rsid w:val="0068782E"/>
    <w:rsid w:val="00687CC2"/>
    <w:rsid w:val="00687D24"/>
    <w:rsid w:val="00687EF4"/>
    <w:rsid w:val="00690608"/>
    <w:rsid w:val="006907B3"/>
    <w:rsid w:val="00692136"/>
    <w:rsid w:val="006924EF"/>
    <w:rsid w:val="006925A9"/>
    <w:rsid w:val="00694A09"/>
    <w:rsid w:val="00694F31"/>
    <w:rsid w:val="006A0130"/>
    <w:rsid w:val="006A0FA7"/>
    <w:rsid w:val="006A27B2"/>
    <w:rsid w:val="006A66D8"/>
    <w:rsid w:val="006A6D79"/>
    <w:rsid w:val="006B4237"/>
    <w:rsid w:val="006C7091"/>
    <w:rsid w:val="006D137B"/>
    <w:rsid w:val="006D2124"/>
    <w:rsid w:val="006D3D81"/>
    <w:rsid w:val="006D6965"/>
    <w:rsid w:val="006E0CF9"/>
    <w:rsid w:val="006E1378"/>
    <w:rsid w:val="006E4635"/>
    <w:rsid w:val="006E4771"/>
    <w:rsid w:val="006E4E42"/>
    <w:rsid w:val="006E781D"/>
    <w:rsid w:val="006E7FFC"/>
    <w:rsid w:val="006F30BB"/>
    <w:rsid w:val="006F4303"/>
    <w:rsid w:val="006F562F"/>
    <w:rsid w:val="006F5DA9"/>
    <w:rsid w:val="006F7789"/>
    <w:rsid w:val="00704FE6"/>
    <w:rsid w:val="0071142C"/>
    <w:rsid w:val="00713A1E"/>
    <w:rsid w:val="00714DA0"/>
    <w:rsid w:val="00723FE5"/>
    <w:rsid w:val="00725BB4"/>
    <w:rsid w:val="007268D1"/>
    <w:rsid w:val="0072717F"/>
    <w:rsid w:val="00733CD1"/>
    <w:rsid w:val="00733E97"/>
    <w:rsid w:val="0073426F"/>
    <w:rsid w:val="00734307"/>
    <w:rsid w:val="0073476E"/>
    <w:rsid w:val="00736D45"/>
    <w:rsid w:val="00743313"/>
    <w:rsid w:val="007447F3"/>
    <w:rsid w:val="0074539A"/>
    <w:rsid w:val="00746362"/>
    <w:rsid w:val="00746BDC"/>
    <w:rsid w:val="00751A22"/>
    <w:rsid w:val="00754520"/>
    <w:rsid w:val="00755866"/>
    <w:rsid w:val="00761918"/>
    <w:rsid w:val="00761FC0"/>
    <w:rsid w:val="00764B81"/>
    <w:rsid w:val="00765660"/>
    <w:rsid w:val="007667B5"/>
    <w:rsid w:val="00766A20"/>
    <w:rsid w:val="00767D9B"/>
    <w:rsid w:val="00772575"/>
    <w:rsid w:val="00772E56"/>
    <w:rsid w:val="00774EF7"/>
    <w:rsid w:val="00780B28"/>
    <w:rsid w:val="00780C81"/>
    <w:rsid w:val="00781058"/>
    <w:rsid w:val="0078273F"/>
    <w:rsid w:val="007867F3"/>
    <w:rsid w:val="007874DA"/>
    <w:rsid w:val="00787C34"/>
    <w:rsid w:val="00787E97"/>
    <w:rsid w:val="007916A7"/>
    <w:rsid w:val="00791CA9"/>
    <w:rsid w:val="007A0B34"/>
    <w:rsid w:val="007A103D"/>
    <w:rsid w:val="007A1C5E"/>
    <w:rsid w:val="007A47BA"/>
    <w:rsid w:val="007A77CD"/>
    <w:rsid w:val="007B0EC3"/>
    <w:rsid w:val="007B134B"/>
    <w:rsid w:val="007B1E6A"/>
    <w:rsid w:val="007B3DD5"/>
    <w:rsid w:val="007B6ADB"/>
    <w:rsid w:val="007B6B74"/>
    <w:rsid w:val="007B6D3E"/>
    <w:rsid w:val="007B79C9"/>
    <w:rsid w:val="007B7C98"/>
    <w:rsid w:val="007C16F3"/>
    <w:rsid w:val="007C260E"/>
    <w:rsid w:val="007C2BBE"/>
    <w:rsid w:val="007D01C2"/>
    <w:rsid w:val="007D1D79"/>
    <w:rsid w:val="007D460A"/>
    <w:rsid w:val="007D466C"/>
    <w:rsid w:val="007D6417"/>
    <w:rsid w:val="007D75FE"/>
    <w:rsid w:val="007E000D"/>
    <w:rsid w:val="007E370A"/>
    <w:rsid w:val="007E4449"/>
    <w:rsid w:val="007E4EED"/>
    <w:rsid w:val="007E5B38"/>
    <w:rsid w:val="007F0106"/>
    <w:rsid w:val="007F21BD"/>
    <w:rsid w:val="00811D1F"/>
    <w:rsid w:val="00814299"/>
    <w:rsid w:val="00814566"/>
    <w:rsid w:val="00816BBD"/>
    <w:rsid w:val="008202AE"/>
    <w:rsid w:val="00821EBB"/>
    <w:rsid w:val="0082251E"/>
    <w:rsid w:val="0082313B"/>
    <w:rsid w:val="008232EA"/>
    <w:rsid w:val="00825476"/>
    <w:rsid w:val="00826456"/>
    <w:rsid w:val="00826FEE"/>
    <w:rsid w:val="00827148"/>
    <w:rsid w:val="00827953"/>
    <w:rsid w:val="008315AA"/>
    <w:rsid w:val="00832960"/>
    <w:rsid w:val="00840B12"/>
    <w:rsid w:val="00841131"/>
    <w:rsid w:val="008411E4"/>
    <w:rsid w:val="00850FDA"/>
    <w:rsid w:val="008513F2"/>
    <w:rsid w:val="008519FD"/>
    <w:rsid w:val="00854C84"/>
    <w:rsid w:val="00860963"/>
    <w:rsid w:val="0086341C"/>
    <w:rsid w:val="00866E66"/>
    <w:rsid w:val="00867EA9"/>
    <w:rsid w:val="00871392"/>
    <w:rsid w:val="00872A14"/>
    <w:rsid w:val="00873293"/>
    <w:rsid w:val="00875F86"/>
    <w:rsid w:val="00881ED0"/>
    <w:rsid w:val="00882B4A"/>
    <w:rsid w:val="0088453A"/>
    <w:rsid w:val="00884550"/>
    <w:rsid w:val="008866C4"/>
    <w:rsid w:val="00894536"/>
    <w:rsid w:val="0089669F"/>
    <w:rsid w:val="008A19A8"/>
    <w:rsid w:val="008A298D"/>
    <w:rsid w:val="008A4960"/>
    <w:rsid w:val="008A5E82"/>
    <w:rsid w:val="008A7870"/>
    <w:rsid w:val="008B17BA"/>
    <w:rsid w:val="008B632F"/>
    <w:rsid w:val="008C1EB2"/>
    <w:rsid w:val="008C2D82"/>
    <w:rsid w:val="008D58E1"/>
    <w:rsid w:val="008E10A7"/>
    <w:rsid w:val="008E13DF"/>
    <w:rsid w:val="008E3BE3"/>
    <w:rsid w:val="008E3BE7"/>
    <w:rsid w:val="008E639D"/>
    <w:rsid w:val="008F5D00"/>
    <w:rsid w:val="008F6EB2"/>
    <w:rsid w:val="00901C6C"/>
    <w:rsid w:val="00902ECF"/>
    <w:rsid w:val="00912F78"/>
    <w:rsid w:val="009134FE"/>
    <w:rsid w:val="0092016F"/>
    <w:rsid w:val="0092527D"/>
    <w:rsid w:val="009278F9"/>
    <w:rsid w:val="009308BC"/>
    <w:rsid w:val="00932056"/>
    <w:rsid w:val="009379C0"/>
    <w:rsid w:val="00942460"/>
    <w:rsid w:val="00951E39"/>
    <w:rsid w:val="009548B5"/>
    <w:rsid w:val="00954CCA"/>
    <w:rsid w:val="00955079"/>
    <w:rsid w:val="009619A1"/>
    <w:rsid w:val="0096358A"/>
    <w:rsid w:val="009655E2"/>
    <w:rsid w:val="00970C78"/>
    <w:rsid w:val="00971785"/>
    <w:rsid w:val="009770A2"/>
    <w:rsid w:val="009816C3"/>
    <w:rsid w:val="00985A8D"/>
    <w:rsid w:val="0099716A"/>
    <w:rsid w:val="009971FE"/>
    <w:rsid w:val="009B0D44"/>
    <w:rsid w:val="009B7308"/>
    <w:rsid w:val="009C169E"/>
    <w:rsid w:val="009C185E"/>
    <w:rsid w:val="009C69D0"/>
    <w:rsid w:val="009C7D7D"/>
    <w:rsid w:val="009D416F"/>
    <w:rsid w:val="009D4BAC"/>
    <w:rsid w:val="009D4FFD"/>
    <w:rsid w:val="009D5787"/>
    <w:rsid w:val="009D58CD"/>
    <w:rsid w:val="009D7806"/>
    <w:rsid w:val="009D7C39"/>
    <w:rsid w:val="009E0672"/>
    <w:rsid w:val="009E297B"/>
    <w:rsid w:val="009E4BBC"/>
    <w:rsid w:val="009F06E8"/>
    <w:rsid w:val="009F1A14"/>
    <w:rsid w:val="009F1A25"/>
    <w:rsid w:val="009F68AD"/>
    <w:rsid w:val="009F73AA"/>
    <w:rsid w:val="009F7E6E"/>
    <w:rsid w:val="00A014A4"/>
    <w:rsid w:val="00A01EB0"/>
    <w:rsid w:val="00A045E5"/>
    <w:rsid w:val="00A0748D"/>
    <w:rsid w:val="00A13207"/>
    <w:rsid w:val="00A15EE1"/>
    <w:rsid w:val="00A16B3D"/>
    <w:rsid w:val="00A226A8"/>
    <w:rsid w:val="00A2361D"/>
    <w:rsid w:val="00A24CF1"/>
    <w:rsid w:val="00A251A9"/>
    <w:rsid w:val="00A252F1"/>
    <w:rsid w:val="00A366F9"/>
    <w:rsid w:val="00A375A6"/>
    <w:rsid w:val="00A3771D"/>
    <w:rsid w:val="00A4107E"/>
    <w:rsid w:val="00A42906"/>
    <w:rsid w:val="00A42BB8"/>
    <w:rsid w:val="00A42C00"/>
    <w:rsid w:val="00A43A94"/>
    <w:rsid w:val="00A43CB4"/>
    <w:rsid w:val="00A4416C"/>
    <w:rsid w:val="00A446A4"/>
    <w:rsid w:val="00A50868"/>
    <w:rsid w:val="00A52036"/>
    <w:rsid w:val="00A52B95"/>
    <w:rsid w:val="00A5599C"/>
    <w:rsid w:val="00A567D8"/>
    <w:rsid w:val="00A569AA"/>
    <w:rsid w:val="00A60890"/>
    <w:rsid w:val="00A60E64"/>
    <w:rsid w:val="00A642F7"/>
    <w:rsid w:val="00A644F1"/>
    <w:rsid w:val="00A716BA"/>
    <w:rsid w:val="00A7277B"/>
    <w:rsid w:val="00A74E89"/>
    <w:rsid w:val="00A7578F"/>
    <w:rsid w:val="00A7681F"/>
    <w:rsid w:val="00A81E1C"/>
    <w:rsid w:val="00A82DE8"/>
    <w:rsid w:val="00A868CB"/>
    <w:rsid w:val="00A91182"/>
    <w:rsid w:val="00A914D7"/>
    <w:rsid w:val="00AA218D"/>
    <w:rsid w:val="00AA4A3E"/>
    <w:rsid w:val="00AA4FB0"/>
    <w:rsid w:val="00AA7539"/>
    <w:rsid w:val="00AB0FE6"/>
    <w:rsid w:val="00AB161D"/>
    <w:rsid w:val="00AB3FA9"/>
    <w:rsid w:val="00AB4214"/>
    <w:rsid w:val="00AB4305"/>
    <w:rsid w:val="00AB6734"/>
    <w:rsid w:val="00AC01EC"/>
    <w:rsid w:val="00AC2966"/>
    <w:rsid w:val="00AC4209"/>
    <w:rsid w:val="00AC734B"/>
    <w:rsid w:val="00AC7562"/>
    <w:rsid w:val="00AC794D"/>
    <w:rsid w:val="00AD048A"/>
    <w:rsid w:val="00AD1ED7"/>
    <w:rsid w:val="00AD404E"/>
    <w:rsid w:val="00AD5452"/>
    <w:rsid w:val="00AD60C7"/>
    <w:rsid w:val="00AD62B5"/>
    <w:rsid w:val="00AD66B4"/>
    <w:rsid w:val="00AE02A1"/>
    <w:rsid w:val="00AE07FE"/>
    <w:rsid w:val="00AE0A83"/>
    <w:rsid w:val="00AE2285"/>
    <w:rsid w:val="00AE45DC"/>
    <w:rsid w:val="00AF0982"/>
    <w:rsid w:val="00AF1770"/>
    <w:rsid w:val="00AF3804"/>
    <w:rsid w:val="00AF4390"/>
    <w:rsid w:val="00AF459B"/>
    <w:rsid w:val="00AF4CCE"/>
    <w:rsid w:val="00B00B94"/>
    <w:rsid w:val="00B02273"/>
    <w:rsid w:val="00B0391B"/>
    <w:rsid w:val="00B04FCF"/>
    <w:rsid w:val="00B0575C"/>
    <w:rsid w:val="00B06607"/>
    <w:rsid w:val="00B171D8"/>
    <w:rsid w:val="00B200FF"/>
    <w:rsid w:val="00B20824"/>
    <w:rsid w:val="00B226C0"/>
    <w:rsid w:val="00B25A86"/>
    <w:rsid w:val="00B3696D"/>
    <w:rsid w:val="00B438F1"/>
    <w:rsid w:val="00B45B5A"/>
    <w:rsid w:val="00B47436"/>
    <w:rsid w:val="00B478F7"/>
    <w:rsid w:val="00B50768"/>
    <w:rsid w:val="00B520A5"/>
    <w:rsid w:val="00B55517"/>
    <w:rsid w:val="00B61EDD"/>
    <w:rsid w:val="00B625DA"/>
    <w:rsid w:val="00B637B2"/>
    <w:rsid w:val="00B70B3C"/>
    <w:rsid w:val="00B752E5"/>
    <w:rsid w:val="00B763DB"/>
    <w:rsid w:val="00B770B7"/>
    <w:rsid w:val="00B80592"/>
    <w:rsid w:val="00B82A86"/>
    <w:rsid w:val="00B862A9"/>
    <w:rsid w:val="00B93944"/>
    <w:rsid w:val="00B95457"/>
    <w:rsid w:val="00B9615E"/>
    <w:rsid w:val="00B962B8"/>
    <w:rsid w:val="00BA2439"/>
    <w:rsid w:val="00BA28C0"/>
    <w:rsid w:val="00BA55E4"/>
    <w:rsid w:val="00BB1377"/>
    <w:rsid w:val="00BB2336"/>
    <w:rsid w:val="00BB2CB6"/>
    <w:rsid w:val="00BB4F91"/>
    <w:rsid w:val="00BB54D9"/>
    <w:rsid w:val="00BC22B9"/>
    <w:rsid w:val="00BC4366"/>
    <w:rsid w:val="00BC57F9"/>
    <w:rsid w:val="00BD16E3"/>
    <w:rsid w:val="00BD2C7B"/>
    <w:rsid w:val="00BD4685"/>
    <w:rsid w:val="00BD651D"/>
    <w:rsid w:val="00BE0934"/>
    <w:rsid w:val="00BE1D0F"/>
    <w:rsid w:val="00BE321D"/>
    <w:rsid w:val="00BE5B92"/>
    <w:rsid w:val="00BF1EF7"/>
    <w:rsid w:val="00C00EC7"/>
    <w:rsid w:val="00C03AE1"/>
    <w:rsid w:val="00C04BDD"/>
    <w:rsid w:val="00C05B96"/>
    <w:rsid w:val="00C061E6"/>
    <w:rsid w:val="00C07066"/>
    <w:rsid w:val="00C106F9"/>
    <w:rsid w:val="00C12D82"/>
    <w:rsid w:val="00C13C94"/>
    <w:rsid w:val="00C21307"/>
    <w:rsid w:val="00C225A5"/>
    <w:rsid w:val="00C23D11"/>
    <w:rsid w:val="00C26931"/>
    <w:rsid w:val="00C3084B"/>
    <w:rsid w:val="00C31A41"/>
    <w:rsid w:val="00C32FFD"/>
    <w:rsid w:val="00C34C94"/>
    <w:rsid w:val="00C36B67"/>
    <w:rsid w:val="00C36F9D"/>
    <w:rsid w:val="00C44FE3"/>
    <w:rsid w:val="00C4500F"/>
    <w:rsid w:val="00C46483"/>
    <w:rsid w:val="00C473FB"/>
    <w:rsid w:val="00C47CDD"/>
    <w:rsid w:val="00C52150"/>
    <w:rsid w:val="00C52205"/>
    <w:rsid w:val="00C56107"/>
    <w:rsid w:val="00C6089A"/>
    <w:rsid w:val="00C61CC7"/>
    <w:rsid w:val="00C63E83"/>
    <w:rsid w:val="00C6620E"/>
    <w:rsid w:val="00C71287"/>
    <w:rsid w:val="00C72CB7"/>
    <w:rsid w:val="00C738E2"/>
    <w:rsid w:val="00C76143"/>
    <w:rsid w:val="00C76B8D"/>
    <w:rsid w:val="00C80D1F"/>
    <w:rsid w:val="00C84DDC"/>
    <w:rsid w:val="00C86BC3"/>
    <w:rsid w:val="00C911C6"/>
    <w:rsid w:val="00C91D86"/>
    <w:rsid w:val="00C92166"/>
    <w:rsid w:val="00C93089"/>
    <w:rsid w:val="00C93312"/>
    <w:rsid w:val="00CA030F"/>
    <w:rsid w:val="00CA3603"/>
    <w:rsid w:val="00CA41EC"/>
    <w:rsid w:val="00CA4EF5"/>
    <w:rsid w:val="00CA571E"/>
    <w:rsid w:val="00CA6DE8"/>
    <w:rsid w:val="00CB5CA9"/>
    <w:rsid w:val="00CC0887"/>
    <w:rsid w:val="00CC6D2F"/>
    <w:rsid w:val="00CC7FAE"/>
    <w:rsid w:val="00CD2C7A"/>
    <w:rsid w:val="00CD3295"/>
    <w:rsid w:val="00CE0428"/>
    <w:rsid w:val="00CE2F2F"/>
    <w:rsid w:val="00CE5513"/>
    <w:rsid w:val="00CE6AB6"/>
    <w:rsid w:val="00CF0FF7"/>
    <w:rsid w:val="00CF3BF0"/>
    <w:rsid w:val="00CF4BED"/>
    <w:rsid w:val="00CF53AA"/>
    <w:rsid w:val="00CF5DE5"/>
    <w:rsid w:val="00D0067D"/>
    <w:rsid w:val="00D006C9"/>
    <w:rsid w:val="00D01AB8"/>
    <w:rsid w:val="00D0260A"/>
    <w:rsid w:val="00D02BA1"/>
    <w:rsid w:val="00D02F72"/>
    <w:rsid w:val="00D05A24"/>
    <w:rsid w:val="00D0675F"/>
    <w:rsid w:val="00D16E18"/>
    <w:rsid w:val="00D173A4"/>
    <w:rsid w:val="00D266A1"/>
    <w:rsid w:val="00D300C1"/>
    <w:rsid w:val="00D30B78"/>
    <w:rsid w:val="00D31D19"/>
    <w:rsid w:val="00D32F89"/>
    <w:rsid w:val="00D343D0"/>
    <w:rsid w:val="00D364A9"/>
    <w:rsid w:val="00D4412A"/>
    <w:rsid w:val="00D45BA5"/>
    <w:rsid w:val="00D45CF6"/>
    <w:rsid w:val="00D470A4"/>
    <w:rsid w:val="00D500AD"/>
    <w:rsid w:val="00D53541"/>
    <w:rsid w:val="00D53FA9"/>
    <w:rsid w:val="00D56FDF"/>
    <w:rsid w:val="00D62B2F"/>
    <w:rsid w:val="00D63D13"/>
    <w:rsid w:val="00D67597"/>
    <w:rsid w:val="00D71BA4"/>
    <w:rsid w:val="00D72580"/>
    <w:rsid w:val="00D725D9"/>
    <w:rsid w:val="00D7584B"/>
    <w:rsid w:val="00D81B26"/>
    <w:rsid w:val="00D821D6"/>
    <w:rsid w:val="00D82C7A"/>
    <w:rsid w:val="00D84BCC"/>
    <w:rsid w:val="00D8727E"/>
    <w:rsid w:val="00D90120"/>
    <w:rsid w:val="00D965D8"/>
    <w:rsid w:val="00D966CA"/>
    <w:rsid w:val="00D97D34"/>
    <w:rsid w:val="00DA2ACD"/>
    <w:rsid w:val="00DA2D61"/>
    <w:rsid w:val="00DA44BE"/>
    <w:rsid w:val="00DA4896"/>
    <w:rsid w:val="00DA5BCB"/>
    <w:rsid w:val="00DA6425"/>
    <w:rsid w:val="00DB053E"/>
    <w:rsid w:val="00DB09C4"/>
    <w:rsid w:val="00DB12AA"/>
    <w:rsid w:val="00DB1B14"/>
    <w:rsid w:val="00DB2D6A"/>
    <w:rsid w:val="00DB4F74"/>
    <w:rsid w:val="00DB56F9"/>
    <w:rsid w:val="00DC2E62"/>
    <w:rsid w:val="00DC333C"/>
    <w:rsid w:val="00DC3F91"/>
    <w:rsid w:val="00DC79CF"/>
    <w:rsid w:val="00DD0560"/>
    <w:rsid w:val="00DD6514"/>
    <w:rsid w:val="00DE157A"/>
    <w:rsid w:val="00DE2663"/>
    <w:rsid w:val="00DE3820"/>
    <w:rsid w:val="00DF0474"/>
    <w:rsid w:val="00DF6119"/>
    <w:rsid w:val="00E017E5"/>
    <w:rsid w:val="00E0526C"/>
    <w:rsid w:val="00E056FE"/>
    <w:rsid w:val="00E06AE3"/>
    <w:rsid w:val="00E06EC0"/>
    <w:rsid w:val="00E10CC0"/>
    <w:rsid w:val="00E13097"/>
    <w:rsid w:val="00E15447"/>
    <w:rsid w:val="00E1604C"/>
    <w:rsid w:val="00E219D6"/>
    <w:rsid w:val="00E24862"/>
    <w:rsid w:val="00E2495D"/>
    <w:rsid w:val="00E275E4"/>
    <w:rsid w:val="00E31681"/>
    <w:rsid w:val="00E34D26"/>
    <w:rsid w:val="00E3545A"/>
    <w:rsid w:val="00E41C65"/>
    <w:rsid w:val="00E4348A"/>
    <w:rsid w:val="00E46A38"/>
    <w:rsid w:val="00E46E10"/>
    <w:rsid w:val="00E4755A"/>
    <w:rsid w:val="00E532AD"/>
    <w:rsid w:val="00E53585"/>
    <w:rsid w:val="00E62333"/>
    <w:rsid w:val="00E6539C"/>
    <w:rsid w:val="00E65BAE"/>
    <w:rsid w:val="00E661F7"/>
    <w:rsid w:val="00E6754F"/>
    <w:rsid w:val="00E703A7"/>
    <w:rsid w:val="00E72DDF"/>
    <w:rsid w:val="00E73D71"/>
    <w:rsid w:val="00E744A3"/>
    <w:rsid w:val="00E74B8D"/>
    <w:rsid w:val="00E7562F"/>
    <w:rsid w:val="00E801E5"/>
    <w:rsid w:val="00E81B70"/>
    <w:rsid w:val="00E93171"/>
    <w:rsid w:val="00E94205"/>
    <w:rsid w:val="00E95435"/>
    <w:rsid w:val="00E954F4"/>
    <w:rsid w:val="00E97754"/>
    <w:rsid w:val="00EA0D6E"/>
    <w:rsid w:val="00EA2431"/>
    <w:rsid w:val="00EA54EB"/>
    <w:rsid w:val="00EB018A"/>
    <w:rsid w:val="00EB27B8"/>
    <w:rsid w:val="00EC3FA2"/>
    <w:rsid w:val="00ED06E1"/>
    <w:rsid w:val="00ED3757"/>
    <w:rsid w:val="00ED4059"/>
    <w:rsid w:val="00ED419D"/>
    <w:rsid w:val="00ED6A71"/>
    <w:rsid w:val="00EE3A2A"/>
    <w:rsid w:val="00EE3C67"/>
    <w:rsid w:val="00EE5E48"/>
    <w:rsid w:val="00EE7F08"/>
    <w:rsid w:val="00EF0FF2"/>
    <w:rsid w:val="00EF44C7"/>
    <w:rsid w:val="00EF4DC0"/>
    <w:rsid w:val="00EF5736"/>
    <w:rsid w:val="00F042D6"/>
    <w:rsid w:val="00F06D84"/>
    <w:rsid w:val="00F1155B"/>
    <w:rsid w:val="00F11E14"/>
    <w:rsid w:val="00F1217C"/>
    <w:rsid w:val="00F150F7"/>
    <w:rsid w:val="00F15482"/>
    <w:rsid w:val="00F1793A"/>
    <w:rsid w:val="00F17F99"/>
    <w:rsid w:val="00F24DBB"/>
    <w:rsid w:val="00F27C7A"/>
    <w:rsid w:val="00F31960"/>
    <w:rsid w:val="00F31F09"/>
    <w:rsid w:val="00F32510"/>
    <w:rsid w:val="00F32A14"/>
    <w:rsid w:val="00F3460C"/>
    <w:rsid w:val="00F347CB"/>
    <w:rsid w:val="00F368DE"/>
    <w:rsid w:val="00F368FA"/>
    <w:rsid w:val="00F3714F"/>
    <w:rsid w:val="00F41AC5"/>
    <w:rsid w:val="00F427D2"/>
    <w:rsid w:val="00F523A0"/>
    <w:rsid w:val="00F52617"/>
    <w:rsid w:val="00F53050"/>
    <w:rsid w:val="00F539B2"/>
    <w:rsid w:val="00F57C22"/>
    <w:rsid w:val="00F57F18"/>
    <w:rsid w:val="00F626E0"/>
    <w:rsid w:val="00F65073"/>
    <w:rsid w:val="00F6566C"/>
    <w:rsid w:val="00F66DDC"/>
    <w:rsid w:val="00F67441"/>
    <w:rsid w:val="00F7096A"/>
    <w:rsid w:val="00F7101B"/>
    <w:rsid w:val="00F71713"/>
    <w:rsid w:val="00F736A3"/>
    <w:rsid w:val="00F77A40"/>
    <w:rsid w:val="00F77AD9"/>
    <w:rsid w:val="00F80D8C"/>
    <w:rsid w:val="00F841F7"/>
    <w:rsid w:val="00F858AA"/>
    <w:rsid w:val="00F86D53"/>
    <w:rsid w:val="00F86DEA"/>
    <w:rsid w:val="00F92D7F"/>
    <w:rsid w:val="00F9402F"/>
    <w:rsid w:val="00F9411B"/>
    <w:rsid w:val="00F96E60"/>
    <w:rsid w:val="00FA0161"/>
    <w:rsid w:val="00FA124C"/>
    <w:rsid w:val="00FA5D49"/>
    <w:rsid w:val="00FA7708"/>
    <w:rsid w:val="00FB72AB"/>
    <w:rsid w:val="00FC0C0D"/>
    <w:rsid w:val="00FC38DB"/>
    <w:rsid w:val="00FC4202"/>
    <w:rsid w:val="00FC4817"/>
    <w:rsid w:val="00FC7CF2"/>
    <w:rsid w:val="00FD1D3C"/>
    <w:rsid w:val="00FD64B9"/>
    <w:rsid w:val="00FE1CCA"/>
    <w:rsid w:val="00FE2690"/>
    <w:rsid w:val="00FE4BF9"/>
    <w:rsid w:val="00FF017B"/>
    <w:rsid w:val="00FF305B"/>
    <w:rsid w:val="00FF3FB4"/>
    <w:rsid w:val="00FF442F"/>
    <w:rsid w:val="00FF55BA"/>
    <w:rsid w:val="00FF63ED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CF8C"/>
  <w15:chartTrackingRefBased/>
  <w15:docId w15:val="{8FF9761F-DCE0-4309-AEC2-137E11FF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0DE"/>
    <w:pPr>
      <w:spacing w:after="0" w:line="300" w:lineRule="exact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1E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0B3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50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787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2F08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2F08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2F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4BE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4BE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4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DA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DA9"/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DA9"/>
    <w:rPr>
      <w:rFonts w:ascii="Calibri" w:eastAsia="Calibri" w:hAnsi="Calibri" w:cs="Calibri"/>
      <w:b/>
      <w:bCs/>
      <w:color w:val="161616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DA9"/>
    <w:rPr>
      <w:rFonts w:ascii="Segoe UI" w:eastAsia="Calibri" w:hAnsi="Segoe UI" w:cs="Segoe UI"/>
      <w:color w:val="161616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34D26"/>
    <w:pPr>
      <w:spacing w:after="0" w:line="240" w:lineRule="auto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039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B37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90C9B"/>
    <w:rPr>
      <w:b/>
      <w:bCs/>
    </w:rPr>
  </w:style>
  <w:style w:type="table" w:styleId="Zwykatabela1">
    <w:name w:val="Plain Table 1"/>
    <w:basedOn w:val="Standardowy"/>
    <w:uiPriority w:val="41"/>
    <w:rsid w:val="009F7E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wydatnienie">
    <w:name w:val="Emphasis"/>
    <w:basedOn w:val="Domylnaczcionkaakapitu"/>
    <w:uiPriority w:val="20"/>
    <w:qFormat/>
    <w:rsid w:val="00D45CF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D1E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0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0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04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51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4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40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g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Czego aktualnie najbardziej obawiają się firmy?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FF2-4FDA-9F31-0DA534C584D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Arkusz1!$A$2:$A$15</c:f>
              <c:strCache>
                <c:ptCount val="14"/>
                <c:pt idx="0">
                  <c:v>Inne (ksef; recesja, brak pracy)</c:v>
                </c:pt>
                <c:pt idx="1">
                  <c:v>Nie wiem, trudno powiedzieć</c:v>
                </c:pt>
                <c:pt idx="2">
                  <c:v>Żadne z powyższych – niczego</c:v>
                </c:pt>
                <c:pt idx="3">
                  <c:v>Upadłości</c:v>
                </c:pt>
                <c:pt idx="4">
                  <c:v>Niepewności otoczenia prawnego</c:v>
                </c:pt>
                <c:pt idx="5">
                  <c:v>Trudności z pozyskaniem źródeł finansowania np. kredytów, leasingów</c:v>
                </c:pt>
                <c:pt idx="6">
                  <c:v>Problemów ze znalezieniem pracowników</c:v>
                </c:pt>
                <c:pt idx="7">
                  <c:v>Wzrostu kosztów obsługi posiadanych kredytów, leasingów</c:v>
                </c:pt>
                <c:pt idx="8">
                  <c:v>Niepewności otoczenia geopolitycznego</c:v>
                </c:pt>
                <c:pt idx="9">
                  <c:v>Wzrostu kosztów zatrudnienia – wzrostu płacy minimalnej</c:v>
                </c:pt>
                <c:pt idx="10">
                  <c:v>Opóźnień płatności od odbiorców/klientów</c:v>
                </c:pt>
                <c:pt idx="11">
                  <c:v>Podwyżek składek ZUS dla prowadzących działalność</c:v>
                </c:pt>
                <c:pt idx="12">
                  <c:v>Niekorzystnych zmian podatkowych</c:v>
                </c:pt>
                <c:pt idx="13">
                  <c:v>Wzrost kosztów funkcjonowania firmy w tym energii, gazu i paliw</c:v>
                </c:pt>
              </c:strCache>
            </c:strRef>
          </c:cat>
          <c:val>
            <c:numRef>
              <c:f>Arkusz1!$B$2:$B$15</c:f>
              <c:numCache>
                <c:formatCode>0%</c:formatCode>
                <c:ptCount val="14"/>
                <c:pt idx="0">
                  <c:v>0.01</c:v>
                </c:pt>
                <c:pt idx="1">
                  <c:v>0.01</c:v>
                </c:pt>
                <c:pt idx="2">
                  <c:v>0.04</c:v>
                </c:pt>
                <c:pt idx="3">
                  <c:v>0.1</c:v>
                </c:pt>
                <c:pt idx="4">
                  <c:v>0.13</c:v>
                </c:pt>
                <c:pt idx="5">
                  <c:v>0.16</c:v>
                </c:pt>
                <c:pt idx="6">
                  <c:v>0.17</c:v>
                </c:pt>
                <c:pt idx="7">
                  <c:v>0.17</c:v>
                </c:pt>
                <c:pt idx="8">
                  <c:v>0.19</c:v>
                </c:pt>
                <c:pt idx="9">
                  <c:v>0.2</c:v>
                </c:pt>
                <c:pt idx="10">
                  <c:v>0.21</c:v>
                </c:pt>
                <c:pt idx="11">
                  <c:v>0.22</c:v>
                </c:pt>
                <c:pt idx="12">
                  <c:v>0.23</c:v>
                </c:pt>
                <c:pt idx="13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F2-4FDA-9F31-0DA534C584D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41097568"/>
        <c:axId val="841121568"/>
      </c:barChart>
      <c:catAx>
        <c:axId val="841097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41121568"/>
        <c:crosses val="autoZero"/>
        <c:auto val="1"/>
        <c:lblAlgn val="ctr"/>
        <c:lblOffset val="100"/>
        <c:noMultiLvlLbl val="0"/>
      </c:catAx>
      <c:valAx>
        <c:axId val="841121568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841097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A408B-1CB2-48AE-AA83-71A4B3B7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1423</Words>
  <Characters>8540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Kochalska Halina</dc:creator>
  <cp:keywords/>
  <dc:description/>
  <cp:lastModifiedBy>Borowiecka Diana</cp:lastModifiedBy>
  <cp:revision>17</cp:revision>
  <dcterms:created xsi:type="dcterms:W3CDTF">2026-04-24T14:23:00Z</dcterms:created>
  <dcterms:modified xsi:type="dcterms:W3CDTF">2026-04-29T13:19:00Z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4d3b02ec,1ffd0a3a,1bba3590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Informacje Jawne</vt:lpwstr>
  </property>
  <property fmtid="{D5CDD505-2E9C-101B-9397-08002B2CF9AE}" pid="5" name="MSIP_Label_1391a466-f120-4668-a5e5-7af4d8a99d82_Enabled">
    <vt:lpwstr>true</vt:lpwstr>
  </property>
  <property fmtid="{D5CDD505-2E9C-101B-9397-08002B2CF9AE}" pid="6" name="MSIP_Label_1391a466-f120-4668-a5e5-7af4d8a99d82_SetDate">
    <vt:lpwstr>2023-11-30T22:50:52Z</vt:lpwstr>
  </property>
  <property fmtid="{D5CDD505-2E9C-101B-9397-08002B2CF9AE}" pid="7" name="MSIP_Label_1391a466-f120-4668-a5e5-7af4d8a99d82_Method">
    <vt:lpwstr>Privileged</vt:lpwstr>
  </property>
  <property fmtid="{D5CDD505-2E9C-101B-9397-08002B2CF9AE}" pid="8" name="MSIP_Label_1391a466-f120-4668-a5e5-7af4d8a99d82_Name">
    <vt:lpwstr>Grupa BIK-Jawne</vt:lpwstr>
  </property>
  <property fmtid="{D5CDD505-2E9C-101B-9397-08002B2CF9AE}" pid="9" name="MSIP_Label_1391a466-f120-4668-a5e5-7af4d8a99d82_SiteId">
    <vt:lpwstr>f2871815-01ea-45c0-a64b-82e189df602c</vt:lpwstr>
  </property>
  <property fmtid="{D5CDD505-2E9C-101B-9397-08002B2CF9AE}" pid="10" name="MSIP_Label_1391a466-f120-4668-a5e5-7af4d8a99d82_ActionId">
    <vt:lpwstr>efca1cbd-500e-4a04-bf70-2db71337dd38</vt:lpwstr>
  </property>
  <property fmtid="{D5CDD505-2E9C-101B-9397-08002B2CF9AE}" pid="11" name="MSIP_Label_1391a466-f120-4668-a5e5-7af4d8a99d82_ContentBits">
    <vt:lpwstr>2</vt:lpwstr>
  </property>
</Properties>
</file>