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E0" w:rsidRDefault="007214E0"/>
    <w:p w:rsidR="007214E0" w:rsidRDefault="00D55AD6">
      <w:pPr>
        <w:jc w:val="right"/>
      </w:pPr>
      <w:r>
        <w:t xml:space="preserve">Informacja prasowa </w:t>
      </w:r>
      <w:r w:rsidR="00182A22">
        <w:t>3</w:t>
      </w:r>
      <w:r>
        <w:t>0</w:t>
      </w:r>
      <w:bookmarkStart w:id="0" w:name="_GoBack"/>
      <w:bookmarkEnd w:id="0"/>
      <w:r w:rsidR="00182A22">
        <w:t>.04.2026</w:t>
      </w:r>
    </w:p>
    <w:p w:rsidR="007214E0" w:rsidRDefault="007214E0">
      <w:pPr>
        <w:ind w:right="276"/>
        <w:rPr>
          <w:b/>
          <w:bCs/>
          <w:sz w:val="32"/>
          <w:szCs w:val="32"/>
        </w:rPr>
      </w:pPr>
    </w:p>
    <w:p w:rsidR="007214E0" w:rsidRDefault="00182A22">
      <w:pPr>
        <w:ind w:left="284" w:right="276"/>
        <w:jc w:val="center"/>
        <w:rPr>
          <w:b/>
          <w:bCs/>
          <w:sz w:val="32"/>
          <w:szCs w:val="32"/>
        </w:rPr>
      </w:pPr>
      <w:proofErr w:type="spellStart"/>
      <w:r>
        <w:rPr>
          <w:b/>
          <w:bCs/>
          <w:sz w:val="32"/>
          <w:szCs w:val="32"/>
        </w:rPr>
        <w:t>Aftermarket</w:t>
      </w:r>
      <w:proofErr w:type="spellEnd"/>
      <w:r>
        <w:rPr>
          <w:b/>
          <w:bCs/>
          <w:sz w:val="32"/>
          <w:szCs w:val="32"/>
        </w:rPr>
        <w:t xml:space="preserve"> receptą na dłuższe życie samochodu</w:t>
      </w:r>
    </w:p>
    <w:p w:rsidR="007214E0" w:rsidRDefault="007214E0">
      <w:pPr>
        <w:ind w:left="284" w:right="276"/>
        <w:jc w:val="center"/>
        <w:rPr>
          <w:b/>
          <w:bCs/>
          <w:sz w:val="32"/>
          <w:szCs w:val="32"/>
        </w:rPr>
      </w:pPr>
    </w:p>
    <w:p w:rsidR="007214E0" w:rsidRDefault="00182A22">
      <w:pPr>
        <w:ind w:left="284" w:right="276"/>
        <w:jc w:val="both"/>
        <w:rPr>
          <w:b/>
          <w:bCs/>
        </w:rPr>
      </w:pPr>
      <w:r>
        <w:rPr>
          <w:b/>
          <w:bCs/>
        </w:rPr>
        <w:t>Średni wiek samochodu w Polsce przekracza już 15 lat</w:t>
      </w:r>
      <w:r>
        <w:rPr>
          <w:b/>
          <w:bCs/>
          <w:vertAlign w:val="superscript"/>
        </w:rPr>
        <w:footnoteReference w:id="1"/>
      </w:r>
      <w:r>
        <w:rPr>
          <w:b/>
          <w:bCs/>
        </w:rPr>
        <w:t>, co w połączeniu z obserwowanym trendem dalszego starzenia się parku pojazdów wyraźnie pokazuje, że cykl życia aut systematycznie się wydłuża. Nie dzieje się to jednak samoistnie. Kluczowe znaczenie ma właściwa eksploatacja oraz dostęp do zaplecza serwiso</w:t>
      </w:r>
      <w:r>
        <w:rPr>
          <w:b/>
          <w:bCs/>
        </w:rPr>
        <w:t xml:space="preserve">wego. Istotną rolę odgrywa tu rozwinięty rynek </w:t>
      </w:r>
      <w:proofErr w:type="spellStart"/>
      <w:r>
        <w:rPr>
          <w:b/>
          <w:bCs/>
        </w:rPr>
        <w:t>aftermarket</w:t>
      </w:r>
      <w:proofErr w:type="spellEnd"/>
      <w:r>
        <w:rPr>
          <w:b/>
          <w:bCs/>
        </w:rPr>
        <w:t>, który wspiera utrzymanie samochodów w dobrej kondycji technicznej przez wiele lat. Dzięki regularnemu serwisowaniu, odpowiedniej pielęgnacji i dostępności części zamiennych pojazdy mogą być użytko</w:t>
      </w:r>
      <w:r>
        <w:rPr>
          <w:b/>
          <w:bCs/>
        </w:rPr>
        <w:t xml:space="preserve">wane znacznie dłużej, bez istotnego pogorszenia komfortu czy bezpieczeństwa jazdy. </w:t>
      </w:r>
    </w:p>
    <w:p w:rsidR="007214E0" w:rsidRDefault="007214E0">
      <w:pPr>
        <w:ind w:right="276"/>
        <w:jc w:val="both"/>
        <w:rPr>
          <w:b/>
          <w:bCs/>
        </w:rPr>
      </w:pPr>
    </w:p>
    <w:p w:rsidR="007214E0" w:rsidRDefault="00182A22">
      <w:pPr>
        <w:ind w:left="284" w:right="276"/>
        <w:jc w:val="both"/>
      </w:pPr>
      <w:r>
        <w:t xml:space="preserve">- </w:t>
      </w:r>
      <w:r>
        <w:rPr>
          <w:i/>
          <w:iCs/>
        </w:rPr>
        <w:t>Dla wielu kierowców samochód to inwestycja oraz element codzienności, z którym wiążą się konkretne doświadczenia i przywiązanie. Widać to szczególnie w przypadku właścic</w:t>
      </w:r>
      <w:r>
        <w:rPr>
          <w:i/>
          <w:iCs/>
        </w:rPr>
        <w:t xml:space="preserve">ieli starszych modeli czy kolekcjonerów, dla których możliwość utrzymania auta w sprawności ma nie tylko wymiar praktyczny, ale również emocjonalny. W tym kontekście dostęp do części zamiennych i usług serwisowych staje się kluczowy pomagając w zachowaniu </w:t>
      </w:r>
      <w:r>
        <w:rPr>
          <w:i/>
          <w:iCs/>
        </w:rPr>
        <w:t>sprawności pojazdu niezależnie od jego wieku czy historii</w:t>
      </w:r>
      <w:r>
        <w:t xml:space="preserve"> - mówi </w:t>
      </w:r>
      <w:r w:rsidR="00D55AD6" w:rsidRPr="00D55AD6">
        <w:t xml:space="preserve">Michał Wasilewski, Dyrektor ds. sprzedaży </w:t>
      </w:r>
      <w:proofErr w:type="spellStart"/>
      <w:r w:rsidR="00D55AD6" w:rsidRPr="00D55AD6">
        <w:t>Denckermann</w:t>
      </w:r>
      <w:proofErr w:type="spellEnd"/>
      <w:r w:rsidR="00D55AD6" w:rsidRPr="00D55AD6">
        <w:t>.</w:t>
      </w:r>
    </w:p>
    <w:p w:rsidR="00D55AD6" w:rsidRDefault="00D55AD6">
      <w:pPr>
        <w:ind w:left="284" w:right="276"/>
        <w:jc w:val="both"/>
      </w:pPr>
    </w:p>
    <w:p w:rsidR="007214E0" w:rsidRDefault="00182A22">
      <w:pPr>
        <w:ind w:left="284" w:right="276"/>
        <w:jc w:val="both"/>
        <w:rPr>
          <w:b/>
          <w:bCs/>
        </w:rPr>
      </w:pPr>
      <w:proofErr w:type="spellStart"/>
      <w:r>
        <w:rPr>
          <w:b/>
          <w:bCs/>
        </w:rPr>
        <w:t>Aftermarket</w:t>
      </w:r>
      <w:proofErr w:type="spellEnd"/>
      <w:r>
        <w:rPr>
          <w:b/>
          <w:bCs/>
        </w:rPr>
        <w:t xml:space="preserve"> - zaplecze dla długowieczności pojazdów</w:t>
      </w:r>
    </w:p>
    <w:p w:rsidR="007214E0" w:rsidRDefault="00182A22">
      <w:pPr>
        <w:ind w:left="284" w:right="276"/>
        <w:jc w:val="both"/>
      </w:pPr>
      <w:r>
        <w:t>W odpowiedzi na te potrzeby oraz zmieniające się podejście do użytkowania samochodów rośnie znaczenie całego ekosystemu w</w:t>
      </w:r>
      <w:r>
        <w:t xml:space="preserve">spierającego ich utrzymanie. Rynek </w:t>
      </w:r>
      <w:proofErr w:type="spellStart"/>
      <w:r>
        <w:t>aftermarket</w:t>
      </w:r>
      <w:proofErr w:type="spellEnd"/>
      <w:r>
        <w:t xml:space="preserve"> obejmuje szeroki zakres produktów i usług związanych z eksploatacją pojazdów po ich sprzedaży. Zaczynając od części zamiennych, przez naprawy, po kompleksową obsługę serwisową. To właśnie on tworzy zaplecze, d</w:t>
      </w:r>
      <w:r>
        <w:t>zięki któremu samochody mogą być użytkowane znacznie dłużej.</w:t>
      </w:r>
    </w:p>
    <w:p w:rsidR="007214E0" w:rsidRDefault="007214E0">
      <w:pPr>
        <w:ind w:left="284" w:right="276"/>
        <w:jc w:val="both"/>
      </w:pPr>
    </w:p>
    <w:p w:rsidR="007214E0" w:rsidRDefault="00182A22">
      <w:pPr>
        <w:ind w:left="284" w:right="276"/>
        <w:jc w:val="both"/>
      </w:pPr>
      <w:r>
        <w:t xml:space="preserve">- </w:t>
      </w:r>
      <w:r>
        <w:rPr>
          <w:i/>
          <w:iCs/>
        </w:rPr>
        <w:t xml:space="preserve">Kluczowe znaczenie ma tu dostępność różnorodnych komponentów, zarówno oryginalnych, jak i wysokiej jakości zamienników, co pozwala właścicielom aut zarządzać kosztami napraw bez kompromisów w </w:t>
      </w:r>
      <w:r>
        <w:rPr>
          <w:i/>
          <w:iCs/>
        </w:rPr>
        <w:t xml:space="preserve">zakresie bezpieczeństwa. Istotną rolę odgrywa także rozwinięta sieć niezależnych warsztatów, które odpowiadają na rosnące potrzeby kierowców, oferując coraz wyższy poziom specjalizacji i jakości usług </w:t>
      </w:r>
      <w:r>
        <w:t xml:space="preserve">- dodaje </w:t>
      </w:r>
      <w:r w:rsidR="00D55AD6" w:rsidRPr="00D55AD6">
        <w:t>Michał Wasilewski</w:t>
      </w:r>
    </w:p>
    <w:p w:rsidR="007214E0" w:rsidRDefault="007214E0">
      <w:pPr>
        <w:ind w:left="284" w:right="276"/>
        <w:jc w:val="both"/>
      </w:pPr>
    </w:p>
    <w:p w:rsidR="007214E0" w:rsidRDefault="00182A22">
      <w:pPr>
        <w:ind w:left="284" w:right="276"/>
        <w:jc w:val="both"/>
      </w:pPr>
      <w:r>
        <w:t>Kierowcy nie zawsze posiadal</w:t>
      </w:r>
      <w:r>
        <w:t>i takie możliwości jak teraz. Dawniej serwisowanie czy wymianę poszczególnych części ograniczała gwarancja. Wszystko zmienił regulacje unijne, w tym dyrektywa GVO (MV BER), która otworzyła rynek serwisowania i części zamiennych na większą konkurencję. Dzię</w:t>
      </w:r>
      <w:r>
        <w:t xml:space="preserve">ki niej kierowcy zyskali swobodę wyboru warsztatu oraz dostęp do różnych kategorii części, od oryginalnych po zamienniki o porównywalnej jakości. Regulacje te zobowiązały również producentów do udostępniania niezależnym warsztatom informacji technicznych, </w:t>
      </w:r>
      <w:r>
        <w:t xml:space="preserve">co pozwala im wykonywać naprawy na wysokim poziomie. W efekcie </w:t>
      </w:r>
      <w:proofErr w:type="spellStart"/>
      <w:r>
        <w:t>aftermarket</w:t>
      </w:r>
      <w:proofErr w:type="spellEnd"/>
      <w:r>
        <w:t xml:space="preserve"> stał się równorzędnym elementem rynku motoryzacyjnego, realnie wpływając na wydłużenie życia pojazdów.</w:t>
      </w:r>
    </w:p>
    <w:p w:rsidR="007214E0" w:rsidRDefault="007214E0">
      <w:pPr>
        <w:ind w:left="284" w:right="276"/>
        <w:jc w:val="both"/>
      </w:pPr>
    </w:p>
    <w:p w:rsidR="007214E0" w:rsidRDefault="00182A22">
      <w:pPr>
        <w:ind w:left="284" w:right="276"/>
        <w:jc w:val="both"/>
      </w:pPr>
      <w:proofErr w:type="spellStart"/>
      <w:r>
        <w:t>Aftermarket</w:t>
      </w:r>
      <w:proofErr w:type="spellEnd"/>
      <w:r>
        <w:t xml:space="preserve"> dynamicznie rozwija się także pod względem technologicznym i komp</w:t>
      </w:r>
      <w:r>
        <w:t xml:space="preserve">etencyjnym. Warsztaty inwestują w nowoczesne narzędzia diagnostyczne, oprogramowanie oraz rozwój umiejętności </w:t>
      </w:r>
      <w:r>
        <w:lastRenderedPageBreak/>
        <w:t>mechaników, co pozwala skutecznie obsługiwać nawet zaawansowane systemy stosowane we współczesnych pojazdach. Coraz większą rolę odgrywają również</w:t>
      </w:r>
      <w:r>
        <w:t xml:space="preserve"> rozwiązania cyfrowe takie jak dostęp do historii napraw czy platformy wspierające dobór części, które zwiększają przejrzystość i efektywność procesu serwisowego. W związku z tym </w:t>
      </w:r>
      <w:proofErr w:type="spellStart"/>
      <w:r>
        <w:t>aftermarket</w:t>
      </w:r>
      <w:proofErr w:type="spellEnd"/>
      <w:r>
        <w:t xml:space="preserve"> to dziś nie tylko zaplecze techniczne, ale również źródło wiedzy </w:t>
      </w:r>
      <w:r>
        <w:t>i innowacji wspierających długoterminowe utrzymanie pojazdów w dobrej kondycji.</w:t>
      </w:r>
    </w:p>
    <w:p w:rsidR="007214E0" w:rsidRDefault="007214E0">
      <w:pPr>
        <w:ind w:right="276"/>
        <w:jc w:val="both"/>
      </w:pPr>
    </w:p>
    <w:p w:rsidR="007214E0" w:rsidRDefault="00182A22">
      <w:pPr>
        <w:ind w:left="284" w:right="276"/>
        <w:jc w:val="both"/>
        <w:rPr>
          <w:b/>
          <w:bCs/>
        </w:rPr>
      </w:pPr>
      <w:r>
        <w:rPr>
          <w:b/>
          <w:bCs/>
        </w:rPr>
        <w:t>Realne korzyści dla kierowców</w:t>
      </w:r>
    </w:p>
    <w:p w:rsidR="007214E0" w:rsidRDefault="00182A22">
      <w:pPr>
        <w:ind w:left="284" w:right="276"/>
        <w:jc w:val="both"/>
      </w:pPr>
      <w:r>
        <w:t xml:space="preserve">Z perspektywy kierowcy </w:t>
      </w:r>
      <w:proofErr w:type="spellStart"/>
      <w:r>
        <w:t>aftermarket</w:t>
      </w:r>
      <w:proofErr w:type="spellEnd"/>
      <w:r>
        <w:t xml:space="preserve"> oznacza przede wszystkim możliwość długoterminowego utrzymania samochodu w dobrej kondycji zarówno pod względe</w:t>
      </w:r>
      <w:r>
        <w:t>m technicznym, jak i ekonomicznym Szeroki wybór części i usług pozwala elastycznie zarządzać kosztami eksploatacji oraz dopasować zakres napraw do indywidualnych potrzeb.</w:t>
      </w:r>
    </w:p>
    <w:p w:rsidR="007214E0" w:rsidRDefault="007214E0">
      <w:pPr>
        <w:ind w:left="284" w:right="276"/>
        <w:jc w:val="both"/>
      </w:pPr>
    </w:p>
    <w:p w:rsidR="007214E0" w:rsidRDefault="00182A22">
      <w:pPr>
        <w:ind w:left="284" w:right="276"/>
        <w:jc w:val="both"/>
      </w:pPr>
      <w:r>
        <w:t xml:space="preserve">- </w:t>
      </w:r>
      <w:r>
        <w:rPr>
          <w:i/>
          <w:iCs/>
        </w:rPr>
        <w:t xml:space="preserve">Rola </w:t>
      </w:r>
      <w:proofErr w:type="spellStart"/>
      <w:r>
        <w:rPr>
          <w:i/>
          <w:iCs/>
        </w:rPr>
        <w:t>aftermarketu</w:t>
      </w:r>
      <w:proofErr w:type="spellEnd"/>
      <w:r>
        <w:rPr>
          <w:i/>
          <w:iCs/>
        </w:rPr>
        <w:t xml:space="preserve"> widoczna jest na każdym etapie użytkowania pojazdu. Zaczynając o</w:t>
      </w:r>
      <w:r>
        <w:rPr>
          <w:i/>
          <w:iCs/>
        </w:rPr>
        <w:t>d bieżącej eksploatacji, przez naprawy, aż po utrzymanie starszych aut w pełnej sprawności. To właśnie dostęp do części, technologii i wiedzy sprawia, że samochody mogą być użytkowane dłużej, bez kompromisów w zakresie bezpieczeństwa. W efekcie nawet kilku</w:t>
      </w:r>
      <w:r>
        <w:rPr>
          <w:i/>
          <w:iCs/>
        </w:rPr>
        <w:t xml:space="preserve"> czy kilkunastoletnie pojazdy mogą pozostawać w pełni funkcjonalne i bezpieczne, a ich dalsze użytkowanie staje się racjonalną alter</w:t>
      </w:r>
      <w:r w:rsidR="00D55AD6">
        <w:rPr>
          <w:i/>
          <w:iCs/>
        </w:rPr>
        <w:t>natywą wobec zakupu nowego auta</w:t>
      </w:r>
      <w:r>
        <w:t xml:space="preserve"> - </w:t>
      </w:r>
      <w:r w:rsidR="00D55AD6" w:rsidRPr="00D55AD6">
        <w:t xml:space="preserve">Michał Wasilewski, Dyrektor ds. sprzedaży </w:t>
      </w:r>
      <w:proofErr w:type="spellStart"/>
      <w:r w:rsidR="00D55AD6" w:rsidRPr="00D55AD6">
        <w:t>Denckermann</w:t>
      </w:r>
      <w:proofErr w:type="spellEnd"/>
    </w:p>
    <w:p w:rsidR="007214E0" w:rsidRDefault="007214E0">
      <w:pPr>
        <w:ind w:left="284" w:right="276"/>
        <w:jc w:val="both"/>
      </w:pPr>
    </w:p>
    <w:p w:rsidR="007214E0" w:rsidRDefault="00182A22">
      <w:pPr>
        <w:ind w:left="284" w:right="276"/>
        <w:jc w:val="both"/>
      </w:pPr>
      <w:r>
        <w:t xml:space="preserve">Wydłużanie życia pojazdów wiąże się jednak z odpowiedzialnością. Kluczowe </w:t>
      </w:r>
      <w:r>
        <w:t>znaczenie ma stosowanie sprawdzonych, certyfikowanych części oraz korzystanie z usług profesjonalnych warsztatów. Istotna pozostaje również rosnąca świadomość kierowców, którzy coraz częściej zwracają uwagę na jakość komponentów i regularność przeglądów. T</w:t>
      </w:r>
      <w:r>
        <w:t>ylko przy spełnieniu tych warunków możliwe jest utrzymanie samochodu w dobrej kondycji przez wiele lat.</w:t>
      </w:r>
    </w:p>
    <w:p w:rsidR="007214E0" w:rsidRDefault="007214E0">
      <w:pPr>
        <w:ind w:left="284" w:right="276"/>
        <w:jc w:val="both"/>
      </w:pPr>
    </w:p>
    <w:p w:rsidR="007214E0" w:rsidRDefault="00182A22">
      <w:pPr>
        <w:ind w:left="284" w:right="276"/>
        <w:jc w:val="both"/>
        <w:rPr>
          <w:b/>
          <w:bCs/>
        </w:rPr>
      </w:pPr>
      <w:r>
        <w:rPr>
          <w:b/>
          <w:bCs/>
        </w:rPr>
        <w:t>Dłuższe życie auta jako świadomy wybór</w:t>
      </w:r>
    </w:p>
    <w:p w:rsidR="007214E0" w:rsidRDefault="007214E0">
      <w:pPr>
        <w:ind w:right="276"/>
        <w:jc w:val="both"/>
      </w:pPr>
    </w:p>
    <w:p w:rsidR="007214E0" w:rsidRDefault="00182A22">
      <w:pPr>
        <w:ind w:left="284" w:right="276"/>
        <w:jc w:val="both"/>
      </w:pPr>
      <w:r>
        <w:t>Zmieniające się podejście do użytkowania samochodów pokazuje, że ich wartość nie jest ograniczona czasem czy wiekiem. Dzięki rozwiniętemu rynkowi części zamiennych i usług serwisowych możliwe jest znaczące wydłużenie cyklu życia pojazdów. To rozwiązanie ko</w:t>
      </w:r>
      <w:r>
        <w:t xml:space="preserve">rzystne nie tylko dla kierowców, ale również dla środowiska i całej gospodarki. Dłuższe życie auta przestaje być koniecznością wynikającą z ograniczeń, a staje się świadomym wyborem, wspieranym przez dostęp do technologii, wiedzy i szerokiej oferty </w:t>
      </w:r>
      <w:proofErr w:type="spellStart"/>
      <w:r>
        <w:t>afterma</w:t>
      </w:r>
      <w:r>
        <w:t>rketu</w:t>
      </w:r>
      <w:proofErr w:type="spellEnd"/>
      <w:r>
        <w:t>.</w:t>
      </w:r>
    </w:p>
    <w:p w:rsidR="007214E0" w:rsidRDefault="007214E0">
      <w:pPr>
        <w:ind w:left="284" w:right="276"/>
        <w:jc w:val="both"/>
      </w:pPr>
      <w:bookmarkStart w:id="1" w:name="_heading=h.uncwfpi458pp" w:colFirst="0" w:colLast="0"/>
      <w:bookmarkEnd w:id="1"/>
    </w:p>
    <w:p w:rsidR="007214E0" w:rsidRDefault="00182A22">
      <w:pPr>
        <w:ind w:left="284" w:right="276"/>
        <w:rPr>
          <w:sz w:val="20"/>
          <w:szCs w:val="20"/>
        </w:rPr>
      </w:pPr>
      <w:r>
        <w:rPr>
          <w:sz w:val="20"/>
          <w:szCs w:val="20"/>
        </w:rPr>
        <w:t>***</w:t>
      </w:r>
    </w:p>
    <w:p w:rsidR="007214E0" w:rsidRDefault="00182A22">
      <w:pPr>
        <w:ind w:left="284" w:right="276"/>
        <w:jc w:val="both"/>
        <w:rPr>
          <w:rFonts w:ascii="Raleway" w:eastAsia="Raleway" w:hAnsi="Raleway" w:cs="Raleway"/>
          <w:b/>
          <w:bCs/>
          <w:i/>
          <w:iCs/>
        </w:rPr>
      </w:pPr>
      <w:proofErr w:type="spellStart"/>
      <w:r>
        <w:rPr>
          <w:b/>
          <w:bCs/>
          <w:sz w:val="18"/>
          <w:szCs w:val="18"/>
        </w:rPr>
        <w:t>Denckermann</w:t>
      </w:r>
      <w:proofErr w:type="spellEnd"/>
      <w:r>
        <w:rPr>
          <w:sz w:val="18"/>
          <w:szCs w:val="18"/>
        </w:rPr>
        <w:t xml:space="preserve"> to producent części samochodowych, znany przede wszystkim z szerokiej gamy filtrów – oleju, powietrza, paliwa i kabinowych. Oprócz filtracji, w ofercie znajdują się także elementy układu hamulcowego, zawieszenia, chłodzenia, przenie</w:t>
      </w:r>
      <w:r>
        <w:rPr>
          <w:sz w:val="18"/>
          <w:szCs w:val="18"/>
        </w:rPr>
        <w:t xml:space="preserve">sienia napędu i wiele innych komponentów do różnych marek i modeli pojazdów. Firma dostarcza solidne i dobrze dopasowane części w rozsądnych cenach, dzięki czemu cieszy się zaufaniem warsztatów i kierowców. </w:t>
      </w:r>
      <w:proofErr w:type="spellStart"/>
      <w:r>
        <w:rPr>
          <w:sz w:val="18"/>
          <w:szCs w:val="18"/>
        </w:rPr>
        <w:t>Denckermann</w:t>
      </w:r>
      <w:proofErr w:type="spellEnd"/>
      <w:r>
        <w:rPr>
          <w:sz w:val="18"/>
          <w:szCs w:val="18"/>
        </w:rPr>
        <w:t xml:space="preserve"> działa na rynkach międzynarodowych, z</w:t>
      </w:r>
      <w:r>
        <w:rPr>
          <w:sz w:val="18"/>
          <w:szCs w:val="18"/>
        </w:rPr>
        <w:t>apewniając sprawdzone rozwiązania do codziennej eksploatacji</w:t>
      </w:r>
    </w:p>
    <w:p w:rsidR="007214E0" w:rsidRDefault="007214E0">
      <w:pPr>
        <w:ind w:left="284" w:right="276"/>
        <w:rPr>
          <w:b/>
          <w:bCs/>
          <w:sz w:val="20"/>
          <w:szCs w:val="20"/>
        </w:rPr>
      </w:pPr>
    </w:p>
    <w:p w:rsidR="007214E0" w:rsidRDefault="00182A22">
      <w:pPr>
        <w:ind w:left="284" w:right="276"/>
        <w:rPr>
          <w:b/>
          <w:bCs/>
          <w:sz w:val="20"/>
          <w:szCs w:val="20"/>
        </w:rPr>
      </w:pPr>
      <w:r>
        <w:rPr>
          <w:b/>
          <w:bCs/>
          <w:sz w:val="20"/>
          <w:szCs w:val="20"/>
        </w:rPr>
        <w:t>Kontakt dla mediów</w:t>
      </w:r>
    </w:p>
    <w:p w:rsidR="007214E0" w:rsidRDefault="007214E0">
      <w:pPr>
        <w:ind w:left="284" w:right="276"/>
        <w:rPr>
          <w:sz w:val="20"/>
          <w:szCs w:val="20"/>
        </w:rPr>
      </w:pPr>
    </w:p>
    <w:p w:rsidR="007214E0" w:rsidRDefault="00182A22">
      <w:pPr>
        <w:ind w:left="284" w:right="276"/>
        <w:rPr>
          <w:sz w:val="20"/>
          <w:szCs w:val="20"/>
        </w:rPr>
      </w:pPr>
      <w:r>
        <w:rPr>
          <w:sz w:val="20"/>
          <w:szCs w:val="20"/>
        </w:rPr>
        <w:t>Paweł Skowron</w:t>
      </w:r>
      <w:r>
        <w:rPr>
          <w:sz w:val="20"/>
          <w:szCs w:val="20"/>
        </w:rPr>
        <w:br/>
      </w:r>
      <w:proofErr w:type="spellStart"/>
      <w:r>
        <w:rPr>
          <w:sz w:val="20"/>
          <w:szCs w:val="20"/>
        </w:rPr>
        <w:t>Account</w:t>
      </w:r>
      <w:proofErr w:type="spellEnd"/>
      <w:r>
        <w:rPr>
          <w:sz w:val="20"/>
          <w:szCs w:val="20"/>
        </w:rPr>
        <w:t xml:space="preserve"> </w:t>
      </w:r>
      <w:proofErr w:type="spellStart"/>
      <w:r>
        <w:rPr>
          <w:sz w:val="20"/>
          <w:szCs w:val="20"/>
        </w:rPr>
        <w:t>Executive</w:t>
      </w:r>
      <w:proofErr w:type="spellEnd"/>
    </w:p>
    <w:p w:rsidR="007214E0" w:rsidRDefault="00182A22">
      <w:pPr>
        <w:ind w:left="284" w:right="276"/>
        <w:rPr>
          <w:sz w:val="20"/>
          <w:szCs w:val="20"/>
        </w:rPr>
      </w:pPr>
      <w:r>
        <w:rPr>
          <w:sz w:val="20"/>
          <w:szCs w:val="20"/>
        </w:rPr>
        <w:t>Tel. + 48 796 699 177</w:t>
      </w:r>
    </w:p>
    <w:p w:rsidR="007214E0" w:rsidRDefault="00182A22">
      <w:pPr>
        <w:ind w:left="284" w:right="276"/>
      </w:pPr>
      <w:r>
        <w:rPr>
          <w:sz w:val="20"/>
          <w:szCs w:val="20"/>
        </w:rPr>
        <w:t>E-mail: pawel.skowron@goodonepr.pl</w:t>
      </w:r>
    </w:p>
    <w:sectPr w:rsidR="007214E0">
      <w:headerReference w:type="default" r:id="rId7"/>
      <w:footerReference w:type="default" r:id="rId8"/>
      <w:pgSz w:w="11900" w:h="16840"/>
      <w:pgMar w:top="567" w:right="567" w:bottom="567" w:left="567"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A22" w:rsidRDefault="00182A22">
      <w:r>
        <w:separator/>
      </w:r>
    </w:p>
  </w:endnote>
  <w:endnote w:type="continuationSeparator" w:id="0">
    <w:p w:rsidR="00182A22" w:rsidRDefault="00182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embedRegular r:id="rId1" w:fontKey="{63C21F07-D021-4588-B9D4-DEB1E05E9BA4}"/>
    <w:embedBold r:id="rId2" w:fontKey="{2EF31A44-AE63-47E6-86FF-07652AD70354}"/>
    <w:embedItalic r:id="rId3" w:fontKey="{F896D250-7C2F-4CCC-99F8-04A6FD7CA0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8F5E49ED-253E-48CC-9A47-F461E66288EA}"/>
  </w:font>
  <w:font w:name="Raleway">
    <w:charset w:val="00"/>
    <w:family w:val="auto"/>
    <w:pitch w:val="default"/>
    <w:embedBoldItalic r:id="rId5" w:fontKey="{040761F8-7898-4E59-A44B-224B2F4E9AE9}"/>
  </w:font>
  <w:font w:name="Cambria">
    <w:panose1 w:val="02040503050406030204"/>
    <w:charset w:val="EE"/>
    <w:family w:val="roman"/>
    <w:pitch w:val="variable"/>
    <w:sig w:usb0="E00006FF" w:usb1="420024FF" w:usb2="02000000" w:usb3="00000000" w:csb0="0000019F" w:csb1="00000000"/>
    <w:embedRegular r:id="rId6" w:fontKey="{1402C36A-48C9-4490-99E1-F038C3489B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E0" w:rsidRDefault="00182A22">
    <w:pPr>
      <w:pBdr>
        <w:top w:val="nil"/>
        <w:left w:val="nil"/>
        <w:bottom w:val="nil"/>
        <w:right w:val="nil"/>
        <w:between w:val="nil"/>
      </w:pBdr>
      <w:tabs>
        <w:tab w:val="center" w:pos="4536"/>
        <w:tab w:val="right" w:pos="9072"/>
      </w:tabs>
      <w:rPr>
        <w:color w:val="000000"/>
      </w:rPr>
    </w:pPr>
    <w:r>
      <w:rPr>
        <w:noProof/>
        <w:color w:val="000000"/>
        <w:lang w:val="pl-PL"/>
      </w:rPr>
      <w:drawing>
        <wp:inline distT="0" distB="0" distL="0" distR="0">
          <wp:extent cx="6836410" cy="595301"/>
          <wp:effectExtent l="0" t="0" r="0" b="0"/>
          <wp:docPr id="2" name="image2.png" descr="wklejony-obrazek.pdf"/>
          <wp:cNvGraphicFramePr/>
          <a:graphic xmlns:a="http://schemas.openxmlformats.org/drawingml/2006/main">
            <a:graphicData uri="http://schemas.openxmlformats.org/drawingml/2006/picture">
              <pic:pic xmlns:pic="http://schemas.openxmlformats.org/drawingml/2006/picture">
                <pic:nvPicPr>
                  <pic:cNvPr id="0" name="image2.png" descr="wklejony-obrazek.pdf"/>
                  <pic:cNvPicPr preferRelativeResize="0"/>
                </pic:nvPicPr>
                <pic:blipFill>
                  <a:blip r:embed="rId1"/>
                  <a:srcRect/>
                  <a:stretch>
                    <a:fillRect/>
                  </a:stretch>
                </pic:blipFill>
                <pic:spPr>
                  <a:xfrm>
                    <a:off x="0" y="0"/>
                    <a:ext cx="6836410" cy="59530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A22" w:rsidRDefault="00182A22">
      <w:r>
        <w:separator/>
      </w:r>
    </w:p>
  </w:footnote>
  <w:footnote w:type="continuationSeparator" w:id="0">
    <w:p w:rsidR="00182A22" w:rsidRDefault="00182A22">
      <w:r>
        <w:continuationSeparator/>
      </w:r>
    </w:p>
  </w:footnote>
  <w:footnote w:id="1">
    <w:p w:rsidR="007214E0" w:rsidRDefault="00182A22">
      <w:pPr>
        <w:rPr>
          <w:sz w:val="20"/>
          <w:szCs w:val="20"/>
        </w:rPr>
      </w:pPr>
      <w:r>
        <w:rPr>
          <w:vertAlign w:val="superscript"/>
        </w:rPr>
        <w:footnoteRef/>
      </w:r>
      <w:r>
        <w:rPr>
          <w:sz w:val="20"/>
          <w:szCs w:val="20"/>
        </w:rPr>
        <w:t xml:space="preserve"> Raport ACEA </w:t>
      </w:r>
      <w:proofErr w:type="spellStart"/>
      <w:r>
        <w:rPr>
          <w:sz w:val="20"/>
          <w:szCs w:val="20"/>
        </w:rPr>
        <w:t>Vehicles</w:t>
      </w:r>
      <w:proofErr w:type="spellEnd"/>
      <w:r>
        <w:rPr>
          <w:sz w:val="20"/>
          <w:szCs w:val="20"/>
        </w:rPr>
        <w:t xml:space="preserve"> on </w:t>
      </w:r>
      <w:proofErr w:type="spellStart"/>
      <w:r>
        <w:rPr>
          <w:sz w:val="20"/>
          <w:szCs w:val="20"/>
        </w:rPr>
        <w:t>European</w:t>
      </w:r>
      <w:proofErr w:type="spellEnd"/>
      <w:r>
        <w:rPr>
          <w:sz w:val="20"/>
          <w:szCs w:val="20"/>
        </w:rPr>
        <w:t xml:space="preserve"> </w:t>
      </w:r>
      <w:proofErr w:type="spellStart"/>
      <w:r>
        <w:rPr>
          <w:sz w:val="20"/>
          <w:szCs w:val="20"/>
        </w:rPr>
        <w:t>roads</w:t>
      </w:r>
      <w:proofErr w:type="spellEnd"/>
      <w:r>
        <w:rPr>
          <w:sz w:val="20"/>
          <w:szCs w:val="20"/>
        </w:rPr>
        <w:t xml:space="preserve"> 2026 </w:t>
      </w:r>
    </w:p>
    <w:p w:rsidR="007214E0" w:rsidRDefault="007214E0">
      <w:pPr>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E0" w:rsidRDefault="00182A22">
    <w:pPr>
      <w:pBdr>
        <w:top w:val="nil"/>
        <w:left w:val="nil"/>
        <w:bottom w:val="nil"/>
        <w:right w:val="nil"/>
        <w:between w:val="nil"/>
      </w:pBdr>
      <w:tabs>
        <w:tab w:val="center" w:pos="4536"/>
        <w:tab w:val="right" w:pos="9072"/>
      </w:tabs>
      <w:rPr>
        <w:color w:val="000000"/>
      </w:rPr>
    </w:pPr>
    <w:r>
      <w:rPr>
        <w:noProof/>
        <w:color w:val="000000"/>
        <w:lang w:val="pl-PL"/>
      </w:rPr>
      <w:drawing>
        <wp:inline distT="0" distB="0" distL="0" distR="0">
          <wp:extent cx="3600006" cy="471714"/>
          <wp:effectExtent l="0" t="0" r="0" b="0"/>
          <wp:docPr id="1" name="image1.png" descr="wklejony-obrazek.pdf"/>
          <wp:cNvGraphicFramePr/>
          <a:graphic xmlns:a="http://schemas.openxmlformats.org/drawingml/2006/main">
            <a:graphicData uri="http://schemas.openxmlformats.org/drawingml/2006/picture">
              <pic:pic xmlns:pic="http://schemas.openxmlformats.org/drawingml/2006/picture">
                <pic:nvPicPr>
                  <pic:cNvPr id="0" name="image1.png" descr="wklejony-obrazek.pdf"/>
                  <pic:cNvPicPr preferRelativeResize="0"/>
                </pic:nvPicPr>
                <pic:blipFill>
                  <a:blip r:embed="rId1"/>
                  <a:srcRect/>
                  <a:stretch>
                    <a:fillRect/>
                  </a:stretch>
                </pic:blipFill>
                <pic:spPr>
                  <a:xfrm>
                    <a:off x="0" y="0"/>
                    <a:ext cx="3600006" cy="47171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E0"/>
    <w:rsid w:val="00182A22"/>
    <w:rsid w:val="007214E0"/>
    <w:rsid w:val="00D55A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F5792"/>
  <w15:docId w15:val="{ADDAE20C-77F1-4F4D-A6D2-D9CCBE68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rPr>
  </w:style>
  <w:style w:type="paragraph" w:styleId="Nagwek5">
    <w:name w:val="heading 5"/>
    <w:basedOn w:val="Normalny"/>
    <w:next w:val="Normalny"/>
    <w:pPr>
      <w:keepNext/>
      <w:keepLines/>
      <w:spacing w:before="220" w:after="40"/>
      <w:outlineLvl w:val="4"/>
    </w:pPr>
    <w:rPr>
      <w:b/>
      <w:bCs/>
      <w:sz w:val="22"/>
      <w:szCs w:val="22"/>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MlVspRkIHDhcW6vNsEkWDB1g==">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879</Words>
  <Characters>5280</Characters>
  <Application>Microsoft Office Word</Application>
  <DocSecurity>0</DocSecurity>
  <Lines>44</Lines>
  <Paragraphs>12</Paragraphs>
  <ScaleCrop>false</ScaleCrop>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PR2024</cp:lastModifiedBy>
  <cp:revision>2</cp:revision>
  <dcterms:created xsi:type="dcterms:W3CDTF">2026-04-29T13:32:00Z</dcterms:created>
  <dcterms:modified xsi:type="dcterms:W3CDTF">2026-04-29T13:37:00Z</dcterms:modified>
</cp:coreProperties>
</file>