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Rosnące standardy i wymogi ESG kształtują fit-out biur w Warszawie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Rynek biurowy wszedł w 2026 rok z bardziej przewidywalnymi harmonogramami realizacji projektów, co może sugerować stopniową stabilizację. Nie oznacza to jednak końca presji kosztowej. Z najnowszego „Przewodnika po kosztach wykończenia biura 2026” dla regionu EMEA, przygotowanego przez Cushman &amp; Wakefield na podstawie danych z 53 miast (w tym Warszawy), wynika, że średni wzrost całkowitych kosztów wykończenia biur („all-in”) wyniósł w ubiegłym roku 3,8%, wyraźnie mniej niż dwa lata wcześniej, gdy dynamika była niemal trzykrotnie wyższa. 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Jednak prognozowane są dalsze podwyżki cen u dostawców, a eskalacja konfliktu na Bliskim Wschodzie pozostaje istotnym czynnikiem ryzyka dla łańcuchów dostaw oraz stabilności cen surowców i materiałów. W tym otoczeniu zmienia się podejście najemców – kluczowe staje się takie lokowanie kapitału, aby przestrzeń nie tylko spełniała rosnące wymogi ESG i standardy technologiczne, ale przede wszystkim budowała swoją wartość oraz długoterminową efektywność operacyjną.</w:t>
      </w:r>
    </w:p>
    <w:p w:rsidR="00000000" w:rsidDel="00000000" w:rsidP="00000000" w:rsidRDefault="00000000" w:rsidRPr="00000000" w14:paraId="00000004">
      <w:pPr>
        <w:spacing w:after="0" w:line="276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Warszawa na tle Europy: konkurencyjność oparta na standardzie</w:t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Warszawa utrzymuje pozycję jednego z najbardziej atrakcyjnych rynków w regionie EMEA pod względem relacji jakości do ceny. Średni koszt wykończenia biura w stolicy Polski wynosi 1 313 EUR/mkw. Jest to niemal połowa stawki panującej w Londynie (2 668 EUR/mkw.) i wyraźnie mniej niż w Monachium (2 432 EUR/mkw.) czy Berlinie (2 333 EUR/mkw.). W porównaniu z Pragą (1 266 EUR/mkw.) czy Bratysławą (1 300 EUR/mkw), Warszawa pozostaje w zbliżonym przedziale kosztowym.</w:t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„Odpowiedź na pytanie dlaczego wykończenie biura w Warszawie potrafi być droższe niż w Hiszpanii czy Włoszech  tkwi w dojrzałości i nowoczesności naszego rynku. Polscy najemcy częściej decydują się na fit-out zaawansowany technologicznie, zorientowany na certyfikację ESG i wysoki komfort akustyczny. Ta świadoma inwestycja w jakość ma na celu nie tylko optymalizację kosztów operacyjnych w przyszłości, ale przede wszystkim stworzenie miejsca pracy, które wygrywa konkurencję o talenty”,</w:t>
      </w:r>
      <w:r w:rsidDel="00000000" w:rsidR="00000000" w:rsidRPr="00000000">
        <w:rPr>
          <w:sz w:val="20"/>
          <w:szCs w:val="20"/>
          <w:rtl w:val="0"/>
        </w:rPr>
        <w:t xml:space="preserve"> wyjaśnia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Michał Kloch, </w:t>
      </w:r>
      <w:r w:rsidDel="00000000" w:rsidR="00000000" w:rsidRPr="00000000">
        <w:rPr>
          <w:b w:val="1"/>
          <w:bCs w:val="1"/>
          <w:color w:val="212b35"/>
          <w:sz w:val="21"/>
          <w:szCs w:val="21"/>
          <w:highlight w:val="white"/>
          <w:rtl w:val="0"/>
        </w:rPr>
        <w:t xml:space="preserve">Associate, Head of Cost Management Poland, Cushman &amp; Wakefield.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br w:type="textWrapping"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Strategiczna optymalizacja zamiast cięcia kosztów</w:t>
        <w:br w:type="textWrapping"/>
      </w:r>
      <w:r w:rsidDel="00000000" w:rsidR="00000000" w:rsidRPr="00000000">
        <w:rPr>
          <w:sz w:val="20"/>
          <w:szCs w:val="20"/>
          <w:rtl w:val="0"/>
        </w:rPr>
        <w:br w:type="textWrapping"/>
        <w:t xml:space="preserve">Same koszty to jednak tylko część obrazu – kluczowe są decyzje najemców. Na polskim rynku obserwujemy wyraźną polaryzację: firmy coraz częściej świadomie rezygnują z metrów kwadratowych na rzecz inwestycji w najwyższą klasę budynków. Dane z raportu dotyczące rynku EMEA, w tym Polski potwierdzają ten trend – podczas gdy wynajem powierzchni w budynkach klasy A wzrósł o 8% r/r, zainteresowanie biurami niższej klasy spadło o 14%. Doprowadziło to do bardzo niskiego poziomu pustostanów w najlepszych obiektach (zaledwie 3,5%). </w:t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Optymalizacja metrażu pozwala przesunąć zaoszczędzone środki na jakość wykończenia oraz rozwiązania wspierające wellbeing i integrację zespołów.</w:t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„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Współczesne biuro jest postrzegane jako narzędzie w walce o talenty i realizację celów ESG. Widzimy, że najemcy wolą wynająć o 20% mniej powierzchni, ale wykończyć ją w wysokim standardzie, inwestując w doskonałą akustykę, inteligentne systemy sterowania czy rozbudowane strefy socjalne. To właśnie te elementy decydują dziś o tym, czy pracownik chętniej porzuci home office na rzecz biura</w:t>
      </w:r>
      <w:r w:rsidDel="00000000" w:rsidR="00000000" w:rsidRPr="00000000">
        <w:rPr>
          <w:sz w:val="20"/>
          <w:szCs w:val="20"/>
          <w:rtl w:val="0"/>
        </w:rPr>
        <w:t xml:space="preserve">”, dodaje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Michał Kloch.</w:t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ESG: od elementu wizerunkowego do fundamentu strategii inwestycyjnej </w:t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 2026 roku standardy ESG przestały być opcją, a stały się głównym motorem decyzji o nakładach kapitałowych na rynku nieruchomości. Jak podkreślają eksperci Cushman &amp; Wakefield w raporcie, najbardziej efektywne miejsca pracy nie są już definiowane wyłącznie przez atrakcyjny design, ale przede wszystkim przez ich wydajność w długim terminie. To, co jeszcze niedawno traktowano głównie jako kwestię wizerunkową lub wymóg zgodności z przepisami, dziś bezpośrednio determinuje realizację celów zrównoważonego rozwoju, w tym dążenia do zeroemisyjności.</w:t>
        <w:br w:type="textWrapping"/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Skuteczna integracja strategii ESG z przestrzenią biurową wymaga wieloetapowego podejścia. Kluczowe decyzje zapadają już na etapie selekcji nieruchomości – świadomi najemcy priorytetyzują dziś budynki o najwyższej efektywności energetycznej, gwarantujące dostęp do odnawialnych źródeł energii oraz minimalizujące długoterminowe ryzyko klimatyczne.</w:t>
      </w:r>
    </w:p>
    <w:p w:rsidR="00000000" w:rsidDel="00000000" w:rsidP="00000000" w:rsidRDefault="00000000" w:rsidRPr="00000000" w14:paraId="00000013">
      <w:pPr>
        <w:spacing w:after="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“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Na etapie samego projektowania i realizacji fit-outu największym wyzwaniem jest właściwe zbilansowanie początkowych nakładów z przyszłymi kosztami eksploatacji. Warto uwzględnić w budżecie wysokiej jakości rozwiązania, które w cyklu życia biura przynoszą realną wartość. Inwestycje w zaawansowane materiały, technologie optymalizujące zużycie energii i redukcję odpadów są niezbędne, aby przestrzeń wspierała firmy w osiąganiu celów ESG wyznaczonych na 2030 rok. Oczywiście jesteśmy w stanie doradzić rozwiązania dopasowane do możliwości klienta</w:t>
      </w:r>
      <w:r w:rsidDel="00000000" w:rsidR="00000000" w:rsidRPr="00000000">
        <w:rPr>
          <w:sz w:val="20"/>
          <w:szCs w:val="20"/>
          <w:rtl w:val="0"/>
        </w:rPr>
        <w:t xml:space="preserve">”, wyjaśnia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Michał Kloch.</w:t>
      </w:r>
    </w:p>
    <w:p w:rsidR="00000000" w:rsidDel="00000000" w:rsidP="00000000" w:rsidRDefault="00000000" w:rsidRPr="00000000" w14:paraId="00000015">
      <w:pPr>
        <w:spacing w:after="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Czas strategicznych decyzji </w:t>
      </w:r>
    </w:p>
    <w:p w:rsidR="00000000" w:rsidDel="00000000" w:rsidP="00000000" w:rsidRDefault="00000000" w:rsidRPr="00000000" w14:paraId="00000017">
      <w:pPr>
        <w:spacing w:after="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 czasach silnej presji kosztowej na rynku materiałów budowlanych, przy jednoczesnym ustabilizowaniu terminów wykonawstwa, kluczem staje się profesjonalne zarządzanie budżetem od najwcześniejszych etapów planowania.</w:t>
      </w:r>
    </w:p>
    <w:p w:rsidR="00000000" w:rsidDel="00000000" w:rsidP="00000000" w:rsidRDefault="00000000" w:rsidRPr="00000000" w14:paraId="00000019">
      <w:pPr>
        <w:spacing w:after="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„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Stabilizacja harmonogramów daje najemcom komfort działania z wyprzedzeniem. Firmy planujące rearanżację w najbliższych dwóch latach powinny działać teraz, by zabezpieczyć obecne stawki i dostępność najlepszych ekip przed prognozowanym na 2027 rok odbiciem popyt</w:t>
      </w:r>
      <w:r w:rsidDel="00000000" w:rsidR="00000000" w:rsidRPr="00000000">
        <w:rPr>
          <w:sz w:val="20"/>
          <w:szCs w:val="20"/>
          <w:rtl w:val="0"/>
        </w:rPr>
        <w:t xml:space="preserve">u”, podsumowuje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Michał Kloch.</w:t>
      </w:r>
    </w:p>
    <w:p w:rsidR="00000000" w:rsidDel="00000000" w:rsidP="00000000" w:rsidRDefault="00000000" w:rsidRPr="00000000" w14:paraId="0000001B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9" w:w="11907" w:orient="portrait"/>
      <w:pgMar w:bottom="2880" w:top="3600" w:left="1224" w:right="1008" w:header="1800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1"/>
      <w:tblW w:w="9000.0" w:type="dxa"/>
      <w:jc w:val="left"/>
      <w:tblLayout w:type="fixed"/>
      <w:tblLook w:val="0400"/>
    </w:tblPr>
    <w:tblGrid>
      <w:gridCol w:w="9000"/>
      <w:tblGridChange w:id="0">
        <w:tblGrid>
          <w:gridCol w:w="9000"/>
        </w:tblGrid>
      </w:tblGridChange>
    </w:tblGrid>
    <w:tr>
      <w:trPr>
        <w:cantSplit w:val="0"/>
        <w:trHeight w:val="630" w:hRule="atLeast"/>
        <w:tblHeader w:val="0"/>
      </w:trPr>
      <w:tc>
        <w:tcPr>
          <w:vAlign w:val="bottom"/>
        </w:tcPr>
        <w:p w:rsidR="00000000" w:rsidDel="00000000" w:rsidP="00000000" w:rsidRDefault="00000000" w:rsidRPr="00000000" w14:paraId="00000023">
          <w:pPr>
            <w:pStyle w:val="Heading2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rtl w:val="0"/>
            </w:rPr>
            <w:t xml:space="preserve">Dodatkowe informacje:</w:t>
          </w:r>
        </w:p>
      </w:tc>
    </w:tr>
    <w:tr>
      <w:trPr>
        <w:cantSplit w:val="0"/>
        <w:trHeight w:val="1260" w:hRule="atLeast"/>
        <w:tblHeader w:val="0"/>
      </w:trPr>
      <w:tc>
        <w:tcPr/>
        <w:p w:rsidR="00000000" w:rsidDel="00000000" w:rsidP="00000000" w:rsidRDefault="00000000" w:rsidRPr="00000000" w14:paraId="00000024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  <w:tbl>
          <w:tblPr>
            <w:tblStyle w:val="Table2"/>
            <w:tblW w:w="7999.0" w:type="dxa"/>
            <w:jc w:val="left"/>
            <w:tblLayout w:type="fixed"/>
            <w:tblLook w:val="04A0"/>
          </w:tblPr>
          <w:tblGrid>
            <w:gridCol w:w="7763"/>
            <w:gridCol w:w="236"/>
            <w:tblGridChange w:id="0">
              <w:tblGrid>
                <w:gridCol w:w="7763"/>
                <w:gridCol w:w="236"/>
              </w:tblGrid>
            </w:tblGridChange>
          </w:tblGrid>
          <w:tr>
            <w:trPr>
              <w:cantSplit w:val="0"/>
              <w:trHeight w:val="1164" w:hRule="atLeast"/>
              <w:tblHeader w:val="0"/>
            </w:trPr>
            <w:tc>
              <w:tcPr/>
              <w:p w:rsidR="00000000" w:rsidDel="00000000" w:rsidP="00000000" w:rsidRDefault="00000000" w:rsidRPr="00000000" w14:paraId="00000025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tbl>
                <w:tblPr>
                  <w:tblStyle w:val="Table3"/>
                  <w:tblW w:w="24344.0" w:type="dxa"/>
                  <w:jc w:val="left"/>
                  <w:tblInd w:w="27.0" w:type="dxa"/>
                  <w:tbl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  <w:insideH w:color="000000" w:space="0" w:sz="0" w:val="nil"/>
                    <w:insideV w:color="000000" w:space="0" w:sz="0" w:val="nil"/>
                  </w:tblBorders>
                  <w:tblLayout w:type="fixed"/>
                  <w:tblLook w:val="0400"/>
                </w:tblPr>
                <w:tblGrid>
                  <w:gridCol w:w="6086"/>
                  <w:gridCol w:w="6086"/>
                  <w:gridCol w:w="6086"/>
                  <w:gridCol w:w="6086"/>
                  <w:tblGridChange w:id="0">
                    <w:tblGrid>
                      <w:gridCol w:w="6086"/>
                      <w:gridCol w:w="6086"/>
                      <w:gridCol w:w="6086"/>
                      <w:gridCol w:w="6086"/>
                    </w:tblGrid>
                  </w:tblGridChange>
                </w:tblGrid>
                <w:tr>
                  <w:trPr>
                    <w:cantSplit w:val="0"/>
                    <w:trHeight w:val="738" w:hRule="atLeast"/>
                    <w:tblHeader w:val="0"/>
                  </w:trPr>
                  <w:tc>
                    <w:tcPr/>
                    <w:p w:rsidR="00000000" w:rsidDel="00000000" w:rsidP="00000000" w:rsidRDefault="00000000" w:rsidRPr="00000000" w14:paraId="00000026">
                      <w:pPr>
                        <w:keepNext w:val="1"/>
                        <w:keepLines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rPr>
                          <w:rFonts w:ascii="Calibri" w:cs="Calibri" w:eastAsia="Calibri" w:hAnsi="Calibri"/>
                          <w:b w:val="1"/>
                          <w:bCs w:val="1"/>
                          <w:color w:val="696b6b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b w:val="1"/>
                          <w:bCs w:val="1"/>
                          <w:color w:val="696b6b"/>
                          <w:sz w:val="18"/>
                          <w:szCs w:val="18"/>
                          <w:rtl w:val="0"/>
                        </w:rPr>
                        <w:t xml:space="preserve">Karolina Samczyńska-Fiślak</w:t>
                      </w:r>
                    </w:p>
                    <w:p w:rsidR="00000000" w:rsidDel="00000000" w:rsidP="00000000" w:rsidRDefault="00000000" w:rsidRPr="00000000" w14:paraId="00000027">
                      <w:pPr>
                        <w:keepNext w:val="1"/>
                        <w:keepLines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rPr>
                          <w:rFonts w:ascii="Calibri" w:cs="Calibri" w:eastAsia="Calibri" w:hAnsi="Calibri"/>
                          <w:color w:val="696b6b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color w:val="696b6b"/>
                          <w:sz w:val="18"/>
                          <w:szCs w:val="18"/>
                          <w:rtl w:val="0"/>
                        </w:rPr>
                        <w:t xml:space="preserve">Cushman &amp; Wakefield </w:t>
                      </w:r>
                    </w:p>
                    <w:p w:rsidR="00000000" w:rsidDel="00000000" w:rsidP="00000000" w:rsidRDefault="00000000" w:rsidRPr="00000000" w14:paraId="00000028">
                      <w:pPr>
                        <w:rPr>
                          <w:rFonts w:ascii="Calibri" w:cs="Calibri" w:eastAsia="Calibri" w:hAnsi="Calibri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color w:val="696b6b"/>
                          <w:sz w:val="18"/>
                          <w:szCs w:val="18"/>
                          <w:rtl w:val="0"/>
                        </w:rPr>
                        <w:t xml:space="preserve">Tel: + 48 22 820 20 20; 691 060 202</w:t>
                      </w:r>
                      <w:r w:rsidDel="00000000" w:rsidR="00000000" w:rsidRPr="00000000">
                        <w:rPr>
                          <w:rtl w:val="0"/>
                        </w:rPr>
                      </w:r>
                    </w:p>
                    <w:p w:rsidR="00000000" w:rsidDel="00000000" w:rsidP="00000000" w:rsidRDefault="00000000" w:rsidRPr="00000000" w14:paraId="00000029">
                      <w:pPr>
                        <w:keepNext w:val="1"/>
                        <w:keepLines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tabs>
                          <w:tab w:val="right" w:leader="none" w:pos="4688"/>
                        </w:tabs>
                        <w:rPr>
                          <w:rFonts w:ascii="Calibri" w:cs="Calibri" w:eastAsia="Calibri" w:hAnsi="Calibri"/>
                          <w:b w:val="1"/>
                          <w:bCs w:val="1"/>
                          <w:color w:val="696b6b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b w:val="1"/>
                          <w:bCs w:val="1"/>
                          <w:color w:val="696b6b"/>
                          <w:sz w:val="18"/>
                          <w:szCs w:val="18"/>
                          <w:rtl w:val="0"/>
                        </w:rPr>
                        <w:t xml:space="preserve">e-mail: Karolina.samczynska@cushwake.com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A">
                      <w:pPr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rPr>
                          <w:rFonts w:ascii="Calibri" w:cs="Calibri" w:eastAsia="Calibri" w:hAnsi="Calibri"/>
                          <w:color w:val="696b6b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B">
                      <w:pPr>
                        <w:keepNext w:val="1"/>
                        <w:keepLines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rPr>
                          <w:rFonts w:ascii="Calibri" w:cs="Calibri" w:eastAsia="Calibri" w:hAnsi="Calibri"/>
                          <w:b w:val="1"/>
                          <w:bCs w:val="1"/>
                          <w:color w:val="696b6b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C">
                      <w:pPr>
                        <w:keepNext w:val="1"/>
                        <w:keepLines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rPr>
                          <w:rFonts w:ascii="Calibri" w:cs="Calibri" w:eastAsia="Calibri" w:hAnsi="Calibri"/>
                          <w:b w:val="1"/>
                          <w:bCs w:val="1"/>
                          <w:color w:val="696b6b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</w:tbl>
              <w:p w:rsidR="00000000" w:rsidDel="00000000" w:rsidP="00000000" w:rsidRDefault="00000000" w:rsidRPr="00000000" w14:paraId="0000002D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>
                    <w:rFonts w:ascii="Calibri" w:cs="Calibri" w:eastAsia="Calibri" w:hAnsi="Calibri"/>
                    <w:color w:val="000000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E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>
                    <w:rFonts w:ascii="Calibri" w:cs="Calibri" w:eastAsia="Calibri" w:hAnsi="Calibri"/>
                    <w:color w:val="000000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F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>
                    <w:rFonts w:ascii="Calibri" w:cs="Calibri" w:eastAsia="Calibri" w:hAnsi="Calibri"/>
                    <w:color w:val="000000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  <w:p w:rsidR="00000000" w:rsidDel="00000000" w:rsidP="00000000" w:rsidRDefault="00000000" w:rsidRPr="00000000" w14:paraId="0000003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rFonts w:ascii="Calibri" w:cs="Calibri" w:eastAsia="Calibri" w:hAnsi="Calibri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4"/>
      <w:tblW w:w="9000.0" w:type="dxa"/>
      <w:jc w:val="left"/>
      <w:tblLayout w:type="fixed"/>
      <w:tblLook w:val="0400"/>
    </w:tblPr>
    <w:tblGrid>
      <w:gridCol w:w="5670"/>
      <w:gridCol w:w="3330"/>
      <w:tblGridChange w:id="0">
        <w:tblGrid>
          <w:gridCol w:w="5670"/>
          <w:gridCol w:w="3330"/>
        </w:tblGrid>
      </w:tblGridChange>
    </w:tblGrid>
    <w:tr>
      <w:trPr>
        <w:cantSplit w:val="0"/>
        <w:trHeight w:val="630" w:hRule="atLeast"/>
        <w:tblHeader w:val="0"/>
      </w:trPr>
      <w:tc>
        <w:tcPr>
          <w:vAlign w:val="bottom"/>
        </w:tcPr>
        <w:p w:rsidR="00000000" w:rsidDel="00000000" w:rsidP="00000000" w:rsidRDefault="00000000" w:rsidRPr="00000000" w14:paraId="00000033">
          <w:pPr>
            <w:pStyle w:val="Heading2"/>
            <w:rPr>
              <w:rFonts w:ascii="Arial" w:cs="Arial" w:eastAsia="Arial" w:hAnsi="Arial"/>
              <w:color w:val="696b6b"/>
            </w:rPr>
          </w:pPr>
          <w:r w:rsidDel="00000000" w:rsidR="00000000" w:rsidRPr="00000000">
            <w:rPr>
              <w:rFonts w:ascii="Arial" w:cs="Arial" w:eastAsia="Arial" w:hAnsi="Arial"/>
              <w:color w:val="696b6b"/>
              <w:rtl w:val="0"/>
            </w:rPr>
            <w:t xml:space="preserve">Media Contact:</w:t>
          </w:r>
        </w:p>
      </w:tc>
      <w:tc>
        <w:tcPr>
          <w:vAlign w:val="bottom"/>
        </w:tcPr>
        <w:p w:rsidR="00000000" w:rsidDel="00000000" w:rsidP="00000000" w:rsidRDefault="00000000" w:rsidRPr="00000000" w14:paraId="00000034">
          <w:pPr>
            <w:spacing w:after="100" w:line="240" w:lineRule="auto"/>
            <w:rPr>
              <w:b w:val="1"/>
              <w:bCs w:val="1"/>
              <w:color w:val="696b6b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260" w:hRule="atLeast"/>
        <w:tblHeader w:val="0"/>
      </w:trPr>
      <w:tc>
        <w:tcPr>
          <w:vAlign w:val="bottom"/>
        </w:tcPr>
        <w:p w:rsidR="00000000" w:rsidDel="00000000" w:rsidP="00000000" w:rsidRDefault="00000000" w:rsidRPr="00000000" w14:paraId="00000035">
          <w:pPr>
            <w:keepNext w:val="1"/>
            <w:keepLines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b w:val="1"/>
              <w:bCs w:val="1"/>
              <w:color w:val="696b6b"/>
              <w:sz w:val="18"/>
              <w:szCs w:val="18"/>
            </w:rPr>
          </w:pPr>
          <w:r w:rsidDel="00000000" w:rsidR="00000000" w:rsidRPr="00000000">
            <w:rPr>
              <w:b w:val="1"/>
              <w:bCs w:val="1"/>
              <w:color w:val="696b6b"/>
              <w:sz w:val="18"/>
              <w:szCs w:val="18"/>
              <w:rtl w:val="0"/>
            </w:rPr>
            <w:t xml:space="preserve">Name</w:t>
          </w:r>
        </w:p>
        <w:p w:rsidR="00000000" w:rsidDel="00000000" w:rsidP="00000000" w:rsidRDefault="00000000" w:rsidRPr="00000000" w14:paraId="0000003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color w:val="696b6b"/>
              <w:sz w:val="18"/>
              <w:szCs w:val="18"/>
            </w:rPr>
          </w:pPr>
          <w:r w:rsidDel="00000000" w:rsidR="00000000" w:rsidRPr="00000000">
            <w:rPr>
              <w:color w:val="696b6b"/>
              <w:sz w:val="18"/>
              <w:szCs w:val="18"/>
              <w:rtl w:val="0"/>
            </w:rPr>
            <w:t xml:space="preserve">Title</w:t>
          </w:r>
        </w:p>
        <w:p w:rsidR="00000000" w:rsidDel="00000000" w:rsidP="00000000" w:rsidRDefault="00000000" w:rsidRPr="00000000" w14:paraId="0000003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color w:val="696b6b"/>
              <w:sz w:val="18"/>
              <w:szCs w:val="18"/>
            </w:rPr>
          </w:pPr>
          <w:r w:rsidDel="00000000" w:rsidR="00000000" w:rsidRPr="00000000">
            <w:rPr>
              <w:color w:val="696b6b"/>
              <w:sz w:val="18"/>
              <w:szCs w:val="18"/>
              <w:rtl w:val="0"/>
            </w:rPr>
            <w:t xml:space="preserve">+1 000 000 0000</w:t>
          </w:r>
        </w:p>
        <w:p w:rsidR="00000000" w:rsidDel="00000000" w:rsidP="00000000" w:rsidRDefault="00000000" w:rsidRPr="00000000" w14:paraId="0000003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color w:val="696b6b"/>
              <w:sz w:val="18"/>
              <w:szCs w:val="18"/>
            </w:rPr>
          </w:pPr>
          <w:hyperlink r:id="rId1">
            <w:r w:rsidDel="00000000" w:rsidR="00000000" w:rsidRPr="00000000">
              <w:rPr>
                <w:color w:val="4472c4"/>
                <w:sz w:val="18"/>
                <w:szCs w:val="18"/>
                <w:u w:val="single"/>
                <w:rtl w:val="0"/>
              </w:rPr>
              <w:t xml:space="preserve">first.last@cushwake.com</w:t>
            </w:r>
          </w:hyperlink>
          <w:r w:rsidDel="00000000" w:rsidR="00000000" w:rsidRPr="00000000">
            <w:rPr>
              <w:color w:val="696b6b"/>
              <w:sz w:val="18"/>
              <w:szCs w:val="18"/>
              <w:rtl w:val="0"/>
            </w:rPr>
            <w:t xml:space="preserve"> </w:t>
          </w:r>
        </w:p>
      </w:tc>
      <w:tc>
        <w:tcPr>
          <w:vAlign w:val="bottom"/>
        </w:tcPr>
        <w:p w:rsidR="00000000" w:rsidDel="00000000" w:rsidP="00000000" w:rsidRDefault="00000000" w:rsidRPr="00000000" w14:paraId="0000003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color w:val="696b6b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43144</wp:posOffset>
          </wp:positionH>
          <wp:positionV relativeFrom="paragraph">
            <wp:posOffset>-154964</wp:posOffset>
          </wp:positionV>
          <wp:extent cx="1933575" cy="407670"/>
          <wp:effectExtent b="0" l="0" r="0" t="0"/>
          <wp:wrapSquare wrapText="bothSides" distB="0" distT="0" distL="114300" distR="114300"/>
          <wp:docPr id="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3821</wp:posOffset>
          </wp:positionH>
          <wp:positionV relativeFrom="paragraph">
            <wp:posOffset>-201282</wp:posOffset>
          </wp:positionV>
          <wp:extent cx="1933575" cy="407670"/>
          <wp:effectExtent b="0" l="0" r="0" t="0"/>
          <wp:wrapSquare wrapText="bothSides" distB="0" distT="0" distL="114300" distR="114300"/>
          <wp:docPr id="2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100" w:lineRule="auto"/>
    </w:pPr>
    <w:rPr>
      <w:rFonts w:ascii="Calibri" w:cs="Calibri" w:eastAsia="Calibri" w:hAnsi="Calibri"/>
      <w:b w:val="1"/>
      <w:bCs w:val="1"/>
      <w:smallCaps w:val="1"/>
      <w:color w:val="008b98"/>
      <w:sz w:val="18"/>
      <w:szCs w:val="1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Nagwek2Znak" w:customStyle="1">
    <w:name w:val="Nagłówek 2 Znak"/>
    <w:basedOn w:val="DefaultParagraphFont"/>
    <w:uiPriority w:val="9"/>
    <w:rsid w:val="00D84A2D"/>
    <w:rPr>
      <w:rFonts w:ascii="Calibri" w:cs="Calibri" w:eastAsia="Calibri" w:hAnsi="Calibri"/>
      <w:b w:val="1"/>
      <w:smallCaps w:val="1"/>
      <w:color w:val="008b98"/>
      <w:sz w:val="18"/>
      <w:szCs w:val="18"/>
      <w:lang w:eastAsia="pl-PL"/>
    </w:rPr>
  </w:style>
  <w:style w:type="paragraph" w:styleId="Footer">
    <w:name w:val="footer"/>
    <w:link w:val="FooterChar"/>
    <w:uiPriority w:val="99"/>
    <w:unhideWhenUsed w:val="1"/>
    <w:rsid w:val="00D84A2D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84A2D"/>
    <w:rPr>
      <w:rFonts w:ascii="Arial" w:cs="Arial" w:eastAsia="Arial" w:hAnsi="Arial"/>
      <w:lang w:eastAsia="pl-PL"/>
    </w:rPr>
  </w:style>
  <w:style w:type="character" w:styleId="Hyperlink">
    <w:name w:val="Hyperlink"/>
    <w:basedOn w:val="DefaultParagraphFont"/>
    <w:unhideWhenUsed w:val="1"/>
    <w:qFormat w:val="1"/>
    <w:rsid w:val="00D84A2D"/>
    <w:rPr>
      <w:color w:val="4472c4" w:themeColor="accent1"/>
      <w:u w:val="single"/>
    </w:rPr>
  </w:style>
  <w:style w:type="table" w:styleId="TableGrid">
    <w:name w:val="Table Grid"/>
    <w:basedOn w:val="TableNormal"/>
    <w:uiPriority w:val="59"/>
    <w:rsid w:val="00D84A2D"/>
    <w:pPr>
      <w:spacing w:after="0" w:line="240" w:lineRule="auto"/>
    </w:pPr>
    <w:rPr>
      <w:rFonts w:eastAsiaTheme="minorEastAsia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ntactName" w:customStyle="1">
    <w:name w:val="ContactName"/>
    <w:qFormat w:val="1"/>
    <w:rsid w:val="00D84A2D"/>
    <w:pPr>
      <w:spacing w:line="216" w:lineRule="atLeast"/>
    </w:pPr>
    <w:rPr>
      <w:rFonts w:ascii="Calibri" w:cs="Times New Roman" w:eastAsia="Times New Roman" w:hAnsi="Calibri"/>
      <w:b w:val="1"/>
      <w:bCs w:val="1"/>
      <w:color w:val="008b98"/>
      <w:sz w:val="18"/>
      <w:lang w:val="en-GB"/>
    </w:rPr>
  </w:style>
  <w:style w:type="paragraph" w:styleId="ContactDetail" w:customStyle="1">
    <w:name w:val="ContactDetail"/>
    <w:rsid w:val="00D84A2D"/>
    <w:pPr>
      <w:spacing w:after="0" w:line="216" w:lineRule="atLeast"/>
    </w:pPr>
    <w:rPr>
      <w:rFonts w:ascii="Calibri" w:cs="Times New Roman" w:eastAsia="Times New Roman" w:hAnsi="Calibri"/>
      <w:color w:val="000000"/>
      <w:sz w:val="18"/>
      <w:szCs w:val="24"/>
      <w:lang w:val="en-GB"/>
    </w:rPr>
  </w:style>
  <w:style w:type="character" w:styleId="Brak" w:customStyle="1">
    <w:name w:val="Brak"/>
    <w:rsid w:val="00D84A2D"/>
  </w:style>
  <w:style w:type="character" w:styleId="Hyperlink0" w:customStyle="1">
    <w:name w:val="Hyperlink.0"/>
    <w:basedOn w:val="Brak"/>
    <w:rsid w:val="00D84A2D"/>
  </w:style>
  <w:style w:type="table" w:styleId="PlainTable41" w:customStyle="1">
    <w:name w:val="Plain Table 41"/>
    <w:basedOn w:val="TableNormal"/>
    <w:uiPriority w:val="44"/>
    <w:rsid w:val="00D84A2D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PlainText">
    <w:name w:val="Plain Text"/>
    <w:link w:val="PlainTextChar"/>
    <w:uiPriority w:val="99"/>
    <w:unhideWhenUsed w:val="1"/>
    <w:rsid w:val="00D84A2D"/>
    <w:pPr>
      <w:spacing w:after="0" w:line="240" w:lineRule="auto"/>
    </w:pPr>
    <w:rPr>
      <w:rFonts w:ascii="Calibri" w:cs="Consolas" w:eastAsia="Times New Roman" w:hAnsi="Calibri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D84A2D"/>
    <w:rPr>
      <w:rFonts w:ascii="Calibri" w:cs="Consolas" w:eastAsia="Times New Roman" w:hAnsi="Calibri"/>
      <w:szCs w:val="21"/>
      <w:lang w:eastAsia="pl-PL"/>
    </w:rPr>
  </w:style>
  <w:style w:type="character" w:styleId="Nagwek3Znak" w:customStyle="1">
    <w:name w:val="Nagłówek 3 Znak"/>
    <w:basedOn w:val="DefaultParagraphFont"/>
    <w:uiPriority w:val="9"/>
    <w:semiHidden w:val="1"/>
    <w:rsid w:val="00D84A2D"/>
    <w:rPr>
      <w:rFonts w:asciiTheme="majorHAnsi" w:cstheme="majorBidi" w:eastAsiaTheme="majorEastAsia" w:hAnsiTheme="majorHAnsi"/>
      <w:color w:val="1f3763" w:themeColor="accent1" w:themeShade="00007F"/>
      <w:sz w:val="24"/>
      <w:szCs w:val="24"/>
      <w:lang w:eastAsia="pl-PL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CB2FB2"/>
    <w:rPr>
      <w:sz w:val="16"/>
      <w:szCs w:val="16"/>
    </w:rPr>
  </w:style>
  <w:style w:type="paragraph" w:styleId="CommentText">
    <w:name w:val="annotation text"/>
    <w:link w:val="CommentTextChar"/>
    <w:uiPriority w:val="99"/>
    <w:unhideWhenUsed w:val="1"/>
    <w:rsid w:val="00CB2FB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B2FB2"/>
    <w:rPr>
      <w:rFonts w:ascii="Arial" w:cs="Arial" w:eastAsia="Arial" w:hAnsi="Arial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CB2FB2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CB2FB2"/>
    <w:rPr>
      <w:rFonts w:ascii="Arial" w:cs="Arial" w:eastAsia="Arial" w:hAnsi="Arial"/>
      <w:b w:val="1"/>
      <w:bCs w:val="1"/>
      <w:sz w:val="20"/>
      <w:szCs w:val="20"/>
      <w:lang w:eastAsia="pl-PL"/>
    </w:rPr>
  </w:style>
  <w:style w:type="paragraph" w:styleId="BalloonText">
    <w:name w:val="Balloon Text"/>
    <w:link w:val="BalloonTextChar"/>
    <w:uiPriority w:val="99"/>
    <w:semiHidden w:val="1"/>
    <w:unhideWhenUsed w:val="1"/>
    <w:rsid w:val="00CB2FB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B2FB2"/>
    <w:rPr>
      <w:rFonts w:ascii="Segoe UI" w:cs="Segoe UI" w:eastAsia="Arial" w:hAnsi="Segoe UI"/>
      <w:sz w:val="18"/>
      <w:szCs w:val="18"/>
      <w:lang w:eastAsia="pl-PL"/>
    </w:rPr>
  </w:style>
  <w:style w:type="paragraph" w:styleId="Revision">
    <w:name w:val="Revision"/>
    <w:hidden w:val="1"/>
    <w:uiPriority w:val="99"/>
    <w:semiHidden w:val="1"/>
    <w:rsid w:val="005323BE"/>
    <w:pPr>
      <w:spacing w:after="0" w:line="240" w:lineRule="auto"/>
    </w:pPr>
    <w:rPr>
      <w:lang w:eastAsia="pl-PL"/>
    </w:rPr>
  </w:style>
  <w:style w:type="paragraph" w:styleId="EndnoteText">
    <w:name w:val="endnote text"/>
    <w:link w:val="EndnoteTextChar"/>
    <w:uiPriority w:val="99"/>
    <w:semiHidden w:val="1"/>
    <w:unhideWhenUsed w:val="1"/>
    <w:rsid w:val="00976C95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976C95"/>
    <w:rPr>
      <w:rFonts w:ascii="Arial" w:cs="Arial" w:eastAsia="Arial" w:hAnsi="Arial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 w:val="1"/>
    <w:unhideWhenUsed w:val="1"/>
    <w:rsid w:val="00976C95"/>
    <w:rPr>
      <w:vertAlign w:val="superscript"/>
    </w:rPr>
  </w:style>
  <w:style w:type="paragraph" w:styleId="Header">
    <w:name w:val="header"/>
    <w:link w:val="HeaderChar"/>
    <w:uiPriority w:val="99"/>
    <w:unhideWhenUsed w:val="1"/>
    <w:rsid w:val="00B77D91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77D91"/>
    <w:rPr>
      <w:rFonts w:ascii="Arial" w:cs="Arial" w:eastAsia="Arial" w:hAnsi="Arial"/>
      <w:lang w:eastAsia="pl-PL"/>
    </w:rPr>
  </w:style>
  <w:style w:type="character" w:styleId="Nierozpoznanawzmianka1" w:customStyle="1">
    <w:name w:val="Nierozpoznana wzmianka1"/>
    <w:basedOn w:val="DefaultParagraphFont"/>
    <w:uiPriority w:val="99"/>
    <w:semiHidden w:val="1"/>
    <w:unhideWhenUsed w:val="1"/>
    <w:rsid w:val="00B77D91"/>
    <w:rPr>
      <w:color w:val="605e5c"/>
      <w:shd w:color="auto" w:fill="e1dfdd" w:val="clear"/>
    </w:rPr>
  </w:style>
  <w:style w:type="character" w:styleId="Nierozpoznanawzmianka2" w:customStyle="1">
    <w:name w:val="Nierozpoznana wzmianka2"/>
    <w:basedOn w:val="DefaultParagraphFont"/>
    <w:uiPriority w:val="99"/>
    <w:semiHidden w:val="1"/>
    <w:unhideWhenUsed w:val="1"/>
    <w:rsid w:val="006B635B"/>
    <w:rPr>
      <w:color w:val="605e5c"/>
      <w:shd w:color="auto" w:fill="e1dfdd" w:val="clear"/>
    </w:rPr>
  </w:style>
  <w:style w:type="paragraph" w:styleId="western" w:customStyle="1">
    <w:name w:val="western"/>
    <w:rsid w:val="00FE3132"/>
    <w:pPr>
      <w:spacing w:after="100" w:afterAutospacing="1" w:before="100" w:beforeAutospacing="1" w:line="240" w:lineRule="auto"/>
    </w:pPr>
    <w:rPr>
      <w:rFonts w:ascii="Calibri" w:cs="Calibri" w:hAnsi="Calibri" w:eastAsiaTheme="minorHAnsi"/>
    </w:rPr>
  </w:style>
  <w:style w:type="character" w:styleId="Strong">
    <w:name w:val="Strong"/>
    <w:basedOn w:val="DefaultParagraphFont"/>
    <w:uiPriority w:val="22"/>
    <w:qFormat w:val="1"/>
    <w:rsid w:val="00FE3132"/>
    <w:rPr>
      <w:b w:val="1"/>
      <w:bCs w:val="1"/>
    </w:rPr>
  </w:style>
  <w:style w:type="character" w:styleId="Nagwek1Znak" w:customStyle="1">
    <w:name w:val="Nagłówek 1 Znak"/>
    <w:basedOn w:val="DefaultParagraphFont"/>
    <w:uiPriority w:val="9"/>
    <w:rsid w:val="00FE3132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eastAsia="pl-PL"/>
    </w:rPr>
  </w:style>
  <w:style w:type="character" w:styleId="Emphasis">
    <w:name w:val="Emphasis"/>
    <w:basedOn w:val="DefaultParagraphFont"/>
    <w:uiPriority w:val="20"/>
    <w:qFormat w:val="1"/>
    <w:rsid w:val="00E909E6"/>
    <w:rPr>
      <w:i w:val="1"/>
      <w:iCs w:val="1"/>
    </w:rPr>
  </w:style>
  <w:style w:type="character" w:styleId="cf01" w:customStyle="1">
    <w:name w:val="cf01"/>
    <w:basedOn w:val="DefaultParagraphFont"/>
    <w:rsid w:val="00167436"/>
    <w:rPr>
      <w:rFonts w:ascii="Segoe UI" w:cs="Segoe UI" w:hAnsi="Segoe UI" w:hint="default"/>
      <w:sz w:val="18"/>
      <w:szCs w:val="18"/>
    </w:rPr>
  </w:style>
  <w:style w:type="character" w:styleId="apple-converted-space" w:customStyle="1">
    <w:name w:val="apple-converted-space"/>
    <w:basedOn w:val="DefaultParagraphFont"/>
    <w:rsid w:val="00775E16"/>
  </w:style>
  <w:style w:type="paragraph" w:styleId="ListParagraph">
    <w:name w:val="List Paragraph"/>
    <w:uiPriority w:val="34"/>
    <w:qFormat w:val="1"/>
    <w:rsid w:val="00AF11EE"/>
    <w:pPr>
      <w:spacing w:after="0" w:line="240" w:lineRule="auto"/>
      <w:ind w:left="720"/>
    </w:pPr>
    <w:rPr>
      <w:rFonts w:ascii="Calibri" w:cs="Calibri" w:hAnsi="Calibri" w:eastAsiaTheme="minorHAnsi"/>
      <w:lang w:val="en-GB"/>
    </w:rPr>
  </w:style>
  <w:style w:type="paragraph" w:styleId="NormalWeb">
    <w:name w:val="Normal (Web)"/>
    <w:uiPriority w:val="99"/>
    <w:unhideWhenUsed w:val="1"/>
    <w:rsid w:val="00AF11E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FootnoteText">
    <w:name w:val="footnote text"/>
    <w:link w:val="FootnoteTextChar"/>
    <w:uiPriority w:val="99"/>
    <w:semiHidden w:val="1"/>
    <w:unhideWhenUsed w:val="1"/>
    <w:rsid w:val="00AF11EE"/>
    <w:pPr>
      <w:spacing w:after="0" w:line="240" w:lineRule="auto"/>
    </w:pPr>
    <w:rPr>
      <w:rFonts w:asciiTheme="minorHAnsi" w:cstheme="minorBidi" w:eastAsiaTheme="minorHAnsi" w:hAnsiTheme="minorHAnsi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AF11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AF11EE"/>
    <w:rPr>
      <w:vertAlign w:val="superscript"/>
    </w:rPr>
  </w:style>
  <w:style w:type="character" w:styleId="normaltextrun" w:customStyle="1">
    <w:name w:val="normaltextrun"/>
    <w:basedOn w:val="DefaultParagraphFont"/>
    <w:rsid w:val="00C0604F"/>
  </w:style>
  <w:style w:type="character" w:styleId="eop" w:customStyle="1">
    <w:name w:val="eop"/>
    <w:basedOn w:val="DefaultParagraphFont"/>
    <w:rsid w:val="00C0604F"/>
  </w:style>
  <w:style w:type="paragraph" w:styleId="pf0" w:customStyle="1">
    <w:name w:val="pf0"/>
    <w:rsid w:val="00A12B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6C62B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70FF6"/>
    <w:rPr>
      <w:color w:val="954f72" w:themeColor="followedHyperlink"/>
      <w:u w:val="single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</w:rPr>
    </w:tblStylePr>
    <w:tblStylePr w:type="lastRow">
      <w:rPr>
        <w:b w:val="1"/>
      </w:r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f2f2f2" w:val="clear"/>
      </w:tcPr>
    </w:tblStylePr>
    <w:tblStylePr w:type="band1Horz">
      <w:tblPr/>
      <w:tcPr>
        <w:shd w:color="auto" w:fill="f2f2f2" w:val="clear"/>
      </w:tcPr>
    </w:tblStyle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c-qt42kz-1" w:customStyle="1">
    <w:name w:val="sc-qt42kz-1"/>
    <w:rsid w:val="002D6B5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a3" w:customStyle="1">
    <w:basedOn w:val="TableNormal6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4" w:customStyle="1">
    <w:basedOn w:val="TableNormal6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</w:rPr>
    </w:tblStylePr>
    <w:tblStylePr w:type="lastRow">
      <w:rPr>
        <w:b w:val="1"/>
      </w:r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f2f2f2" w:val="clear"/>
      </w:tcPr>
    </w:tblStylePr>
    <w:tblStylePr w:type="band1Horz">
      <w:tblPr/>
      <w:tcPr>
        <w:shd w:color="auto" w:fill="f2f2f2" w:val="clear"/>
      </w:tcPr>
    </w:tblStylePr>
  </w:style>
  <w:style w:type="table" w:styleId="a5" w:customStyle="1">
    <w:basedOn w:val="TableNormal6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6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8" w:customStyle="1">
    <w:basedOn w:val="TableNormal6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val="clear"/>
      </w:tcPr>
    </w:tblStylePr>
    <w:tblStylePr w:type="band1Horz">
      <w:tblPr/>
      <w:tcPr>
        <w:shd w:color="auto" w:fill="f2f2f2" w:val="clear"/>
      </w:tcPr>
    </w:tblStylePr>
  </w:style>
  <w:style w:type="table" w:styleId="a9" w:customStyle="1">
    <w:basedOn w:val="TableNormal6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b" w:customStyle="1">
    <w:basedOn w:val="TableNormal6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c" w:customStyle="1">
    <w:basedOn w:val="TableNormal6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val="clear"/>
      </w:tcPr>
    </w:tblStylePr>
    <w:tblStylePr w:type="band1Horz">
      <w:tblPr/>
      <w:tcPr>
        <w:shd w:color="auto" w:fill="f2f2f2" w:val="clear"/>
      </w:tcPr>
    </w:tblStylePr>
  </w:style>
  <w:style w:type="table" w:styleId="ad" w:customStyle="1">
    <w:basedOn w:val="TableNormal6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" w:customStyle="1">
    <w:basedOn w:val="TableNormal6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0" w:customStyle="1">
    <w:basedOn w:val="TableNormal6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val="clear"/>
      </w:tcPr>
    </w:tblStylePr>
    <w:tblStylePr w:type="band1Horz">
      <w:tblPr/>
      <w:tcPr>
        <w:shd w:color="auto" w:fill="f2f2f2" w:val="clear"/>
      </w:tcPr>
    </w:tblStylePr>
  </w:style>
  <w:style w:type="table" w:styleId="af1" w:customStyle="1">
    <w:basedOn w:val="TableNormal6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2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3" w:customStyle="1">
    <w:basedOn w:val="TableNormal6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4" w:customStyle="1">
    <w:basedOn w:val="TableNormal6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val="clear"/>
      </w:tcPr>
    </w:tblStylePr>
    <w:tblStylePr w:type="band1Horz">
      <w:tblPr/>
      <w:tcPr>
        <w:shd w:color="auto" w:fill="f2f2f2" w:val="clear"/>
      </w:tcPr>
    </w:tblStylePr>
  </w:style>
  <w:style w:type="table" w:styleId="af5" w:customStyle="1">
    <w:basedOn w:val="TableNormal6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6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8" w:customStyle="1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val="clear"/>
      </w:tcPr>
    </w:tblStylePr>
    <w:tblStylePr w:type="band1Horz">
      <w:tblPr/>
      <w:tcPr>
        <w:shd w:color="auto" w:fill="f2f2f2" w:val="clear"/>
      </w:tcPr>
    </w:tblStylePr>
  </w:style>
  <w:style w:type="table" w:styleId="af9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c" w:customStyle="1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val="clear"/>
      </w:tcPr>
    </w:tblStylePr>
    <w:tblStylePr w:type="band1Horz">
      <w:tblPr/>
      <w:tcPr>
        <w:shd w:color="auto" w:fill="f2f2f2" w:val="clear"/>
      </w:tcPr>
    </w:tblStylePr>
  </w:style>
  <w:style w:type="table" w:styleId="afd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e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first.last@cushwake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a7XG5v+ccicK/WJpok0Qld3eRg==">CgMxLjA4AHIhMWJ2LWpUUHBuSURlZy05OUNHTXBqMUZuR1JpejVFdnk2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2026-03-25T15:00:00Z</dcterms:created>
  <dc:creator>Natalia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01c4386eb9a1dc9de2fec12738f87015bcc4ef4c8803dccae430c9e60e042de1</vt:lpwstr>
  </property>
</Properties>
</file>