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D54E" w14:textId="5C63C31D" w:rsidR="009634DE" w:rsidRDefault="00897F28" w:rsidP="009634DE">
      <w:pPr>
        <w:jc w:val="both"/>
        <w:rPr>
          <w:sz w:val="18"/>
          <w:szCs w:val="18"/>
        </w:rPr>
      </w:pPr>
      <w:r>
        <w:rPr>
          <w:sz w:val="18"/>
          <w:szCs w:val="18"/>
        </w:rPr>
        <w:t>28.04</w:t>
      </w:r>
      <w:r w:rsidR="00E805D5" w:rsidRPr="00925B6C">
        <w:rPr>
          <w:sz w:val="18"/>
          <w:szCs w:val="18"/>
        </w:rPr>
        <w:t>.2026</w:t>
      </w:r>
    </w:p>
    <w:p w14:paraId="649AE9EA" w14:textId="198E18A6" w:rsidR="00BF1437" w:rsidRPr="009634DE" w:rsidRDefault="00BF1437" w:rsidP="009634DE">
      <w:pPr>
        <w:jc w:val="both"/>
        <w:rPr>
          <w:sz w:val="18"/>
          <w:szCs w:val="18"/>
        </w:rPr>
      </w:pPr>
      <w:r w:rsidRPr="00BF1437">
        <w:rPr>
          <w:rFonts w:ascii="Calibri" w:hAnsi="Calibri" w:cs="Calibri"/>
          <w:b/>
          <w:bCs/>
          <w:sz w:val="30"/>
          <w:szCs w:val="30"/>
        </w:rPr>
        <w:t xml:space="preserve">Morze Wiatru: </w:t>
      </w:r>
      <w:r w:rsidR="009634DE">
        <w:rPr>
          <w:rFonts w:ascii="Calibri" w:hAnsi="Calibri" w:cs="Calibri"/>
          <w:b/>
          <w:bCs/>
          <w:sz w:val="30"/>
          <w:szCs w:val="30"/>
        </w:rPr>
        <w:t>K</w:t>
      </w:r>
      <w:r w:rsidRPr="00BF1437">
        <w:rPr>
          <w:rFonts w:ascii="Calibri" w:hAnsi="Calibri" w:cs="Calibri"/>
          <w:b/>
          <w:bCs/>
          <w:sz w:val="30"/>
          <w:szCs w:val="30"/>
        </w:rPr>
        <w:t xml:space="preserve">ampania </w:t>
      </w:r>
      <w:r>
        <w:rPr>
          <w:rFonts w:ascii="Calibri" w:hAnsi="Calibri" w:cs="Calibri"/>
          <w:b/>
          <w:bCs/>
          <w:sz w:val="30"/>
          <w:szCs w:val="30"/>
        </w:rPr>
        <w:t>PSEW</w:t>
      </w:r>
      <w:r w:rsidRPr="00BF1437">
        <w:rPr>
          <w:rFonts w:ascii="Calibri" w:hAnsi="Calibri" w:cs="Calibri"/>
          <w:b/>
          <w:bCs/>
          <w:sz w:val="30"/>
          <w:szCs w:val="30"/>
        </w:rPr>
        <w:t xml:space="preserve"> i Fundacj</w:t>
      </w:r>
      <w:r>
        <w:rPr>
          <w:rFonts w:ascii="Calibri" w:hAnsi="Calibri" w:cs="Calibri"/>
          <w:b/>
          <w:bCs/>
          <w:sz w:val="30"/>
          <w:szCs w:val="30"/>
        </w:rPr>
        <w:t>i</w:t>
      </w:r>
      <w:r w:rsidRPr="00BF1437">
        <w:rPr>
          <w:rFonts w:ascii="Calibri" w:hAnsi="Calibri" w:cs="Calibri"/>
          <w:b/>
          <w:bCs/>
          <w:sz w:val="30"/>
          <w:szCs w:val="30"/>
        </w:rPr>
        <w:t xml:space="preserve"> ORLEN rozprawia się z mitami</w:t>
      </w:r>
    </w:p>
    <w:p w14:paraId="6B7A8AF3" w14:textId="45E7CA7E" w:rsidR="009634DE" w:rsidRDefault="00897F28" w:rsidP="00B10D3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Polska 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>wchodzi w przełomową fazę transformacji – opartą o własne, przewidywalne i suwerenne źródła energii, takie jak morska energetyka wiatrowa na Bałtyku. Rok 2026 ma wymiar historyczny – to moment uruchomienia pierwsz</w:t>
      </w:r>
      <w:r w:rsidR="00600040">
        <w:rPr>
          <w:rFonts w:ascii="Calibri" w:hAnsi="Calibri" w:cs="Calibri"/>
          <w:b/>
          <w:bCs/>
          <w:sz w:val="24"/>
          <w:szCs w:val="24"/>
        </w:rPr>
        <w:t>ej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 xml:space="preserve"> polski</w:t>
      </w:r>
      <w:r w:rsidR="00600040">
        <w:rPr>
          <w:rFonts w:ascii="Calibri" w:hAnsi="Calibri" w:cs="Calibri"/>
          <w:b/>
          <w:bCs/>
          <w:sz w:val="24"/>
          <w:szCs w:val="24"/>
        </w:rPr>
        <w:t>ej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 xml:space="preserve"> farm</w:t>
      </w:r>
      <w:r w:rsidR="00600040">
        <w:rPr>
          <w:rFonts w:ascii="Calibri" w:hAnsi="Calibri" w:cs="Calibri"/>
          <w:b/>
          <w:bCs/>
          <w:sz w:val="24"/>
          <w:szCs w:val="24"/>
        </w:rPr>
        <w:t>y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 xml:space="preserve"> wiatrow</w:t>
      </w:r>
      <w:r w:rsidR="00600040">
        <w:rPr>
          <w:rFonts w:ascii="Calibri" w:hAnsi="Calibri" w:cs="Calibri"/>
          <w:b/>
          <w:bCs/>
          <w:sz w:val="24"/>
          <w:szCs w:val="24"/>
        </w:rPr>
        <w:t>ej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D2A27">
        <w:rPr>
          <w:rFonts w:ascii="Calibri" w:hAnsi="Calibri" w:cs="Calibri"/>
          <w:b/>
          <w:bCs/>
          <w:sz w:val="24"/>
          <w:szCs w:val="24"/>
        </w:rPr>
        <w:t>na morzu</w:t>
      </w:r>
      <w:r w:rsidR="009634DE">
        <w:rPr>
          <w:rFonts w:ascii="Calibri" w:hAnsi="Calibri" w:cs="Calibri"/>
          <w:b/>
          <w:bCs/>
          <w:sz w:val="24"/>
          <w:szCs w:val="24"/>
        </w:rPr>
        <w:t xml:space="preserve">. Ten kluczowy sektor poddawany jest dezinformacji, która szerzy narrację 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>podważając</w:t>
      </w:r>
      <w:r w:rsidR="009634DE">
        <w:rPr>
          <w:rFonts w:ascii="Calibri" w:hAnsi="Calibri" w:cs="Calibri"/>
          <w:b/>
          <w:bCs/>
          <w:sz w:val="24"/>
          <w:szCs w:val="24"/>
        </w:rPr>
        <w:t xml:space="preserve">ą 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>sens inwestycji</w:t>
      </w:r>
      <w:r w:rsidR="009634DE">
        <w:rPr>
          <w:rFonts w:ascii="Calibri" w:hAnsi="Calibri" w:cs="Calibri"/>
          <w:b/>
          <w:bCs/>
          <w:sz w:val="24"/>
          <w:szCs w:val="24"/>
        </w:rPr>
        <w:t xml:space="preserve"> w morską energetykę wiatrową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 xml:space="preserve">. W odpowiedzi na te wyzwania </w:t>
      </w:r>
      <w:r w:rsidR="009634DE">
        <w:rPr>
          <w:rFonts w:ascii="Calibri" w:hAnsi="Calibri" w:cs="Calibri"/>
          <w:b/>
          <w:bCs/>
          <w:sz w:val="24"/>
          <w:szCs w:val="24"/>
        </w:rPr>
        <w:t xml:space="preserve">trwa 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 xml:space="preserve">kampania „Morze Wiatru”, realizowana przez PSEW i Fundację ORLEN, </w:t>
      </w:r>
      <w:r w:rsidR="009634DE">
        <w:rPr>
          <w:rFonts w:ascii="Calibri" w:hAnsi="Calibri" w:cs="Calibri"/>
          <w:b/>
          <w:bCs/>
          <w:sz w:val="24"/>
          <w:szCs w:val="24"/>
        </w:rPr>
        <w:t xml:space="preserve">która </w:t>
      </w:r>
      <w:r w:rsidR="009634DE" w:rsidRPr="009634DE">
        <w:rPr>
          <w:rFonts w:ascii="Calibri" w:hAnsi="Calibri" w:cs="Calibri"/>
          <w:b/>
          <w:bCs/>
          <w:sz w:val="24"/>
          <w:szCs w:val="24"/>
        </w:rPr>
        <w:t>ma na celu uporządkowanie debaty publicznej i oparcie jej na danych, a nie mitach.</w:t>
      </w:r>
    </w:p>
    <w:p w14:paraId="6634C926" w14:textId="77777777" w:rsidR="00897F28" w:rsidRDefault="00973811" w:rsidP="00B10D3C">
      <w:pPr>
        <w:jc w:val="both"/>
        <w:rPr>
          <w:rFonts w:ascii="Calibri" w:hAnsi="Calibri" w:cs="Calibri"/>
          <w:sz w:val="24"/>
          <w:szCs w:val="24"/>
        </w:rPr>
      </w:pPr>
      <w:r w:rsidRPr="00973811">
        <w:rPr>
          <w:rFonts w:ascii="Calibri" w:hAnsi="Calibri" w:cs="Calibri"/>
          <w:sz w:val="24"/>
          <w:szCs w:val="24"/>
        </w:rPr>
        <w:t xml:space="preserve">Polska znajduje się dziś w kluczowym momencie rozwoju jednego z filarów bezpieczeństwa energetycznego i nowoczesnej gospodarki. </w:t>
      </w:r>
      <w:r w:rsidR="0028300D">
        <w:rPr>
          <w:rFonts w:ascii="Calibri" w:hAnsi="Calibri" w:cs="Calibri"/>
          <w:sz w:val="24"/>
          <w:szCs w:val="24"/>
        </w:rPr>
        <w:t>M</w:t>
      </w:r>
      <w:r w:rsidR="00BD2A27">
        <w:rPr>
          <w:rFonts w:ascii="Calibri" w:hAnsi="Calibri" w:cs="Calibri"/>
          <w:sz w:val="24"/>
          <w:szCs w:val="24"/>
        </w:rPr>
        <w:t xml:space="preserve">orska energetyka wiatrowa </w:t>
      </w:r>
      <w:r w:rsidRPr="00973811">
        <w:rPr>
          <w:rFonts w:ascii="Calibri" w:hAnsi="Calibri" w:cs="Calibri"/>
          <w:sz w:val="24"/>
          <w:szCs w:val="24"/>
        </w:rPr>
        <w:t>to jedno z największych przedsięwzięć infrastrukturalnych w powojennej historii kraju</w:t>
      </w:r>
      <w:r w:rsidR="00916026">
        <w:rPr>
          <w:rFonts w:ascii="Calibri" w:hAnsi="Calibri" w:cs="Calibri"/>
          <w:sz w:val="24"/>
          <w:szCs w:val="24"/>
        </w:rPr>
        <w:t>.</w:t>
      </w:r>
      <w:r w:rsidRPr="00973811">
        <w:rPr>
          <w:rFonts w:ascii="Calibri" w:hAnsi="Calibri" w:cs="Calibri"/>
          <w:sz w:val="24"/>
          <w:szCs w:val="24"/>
        </w:rPr>
        <w:t xml:space="preserve"> </w:t>
      </w:r>
    </w:p>
    <w:p w14:paraId="0F009756" w14:textId="7D7116BC" w:rsidR="004C17B7" w:rsidRDefault="00897F28" w:rsidP="00B10D3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- </w:t>
      </w:r>
      <w:r w:rsidR="004C17B7" w:rsidRPr="004C17B7">
        <w:rPr>
          <w:rFonts w:ascii="Calibri" w:hAnsi="Calibri" w:cs="Calibri"/>
          <w:i/>
          <w:iCs/>
          <w:sz w:val="24"/>
          <w:szCs w:val="24"/>
        </w:rPr>
        <w:t xml:space="preserve">Polska, dzięki inwestycjom w porty, produkcję i kompetencje, </w:t>
      </w:r>
      <w:r w:rsidR="004C17B7">
        <w:rPr>
          <w:rFonts w:ascii="Calibri" w:hAnsi="Calibri" w:cs="Calibri"/>
          <w:i/>
          <w:iCs/>
          <w:sz w:val="24"/>
          <w:szCs w:val="24"/>
        </w:rPr>
        <w:t>nie tylko ma</w:t>
      </w:r>
      <w:r w:rsidR="004C17B7" w:rsidRPr="004C17B7">
        <w:rPr>
          <w:rFonts w:ascii="Calibri" w:hAnsi="Calibri" w:cs="Calibri"/>
          <w:i/>
          <w:iCs/>
          <w:sz w:val="24"/>
          <w:szCs w:val="24"/>
        </w:rPr>
        <w:t xml:space="preserve"> realną szansę</w:t>
      </w:r>
      <w:r w:rsidR="004C17B7">
        <w:rPr>
          <w:rFonts w:ascii="Calibri" w:hAnsi="Calibri" w:cs="Calibri"/>
          <w:i/>
          <w:iCs/>
          <w:sz w:val="24"/>
          <w:szCs w:val="24"/>
        </w:rPr>
        <w:t xml:space="preserve"> na budowę nowoczesnego systemu energetycznego, ale </w:t>
      </w:r>
      <w:r w:rsidR="00BD2A27">
        <w:rPr>
          <w:rFonts w:ascii="Calibri" w:hAnsi="Calibri" w:cs="Calibri"/>
          <w:i/>
          <w:iCs/>
          <w:sz w:val="24"/>
          <w:szCs w:val="24"/>
        </w:rPr>
        <w:t xml:space="preserve">ma </w:t>
      </w:r>
      <w:r w:rsidR="004C17B7">
        <w:rPr>
          <w:rFonts w:ascii="Calibri" w:hAnsi="Calibri" w:cs="Calibri"/>
          <w:i/>
          <w:iCs/>
          <w:sz w:val="24"/>
          <w:szCs w:val="24"/>
        </w:rPr>
        <w:t>także</w:t>
      </w:r>
      <w:r w:rsidR="004C17B7" w:rsidRPr="004C17B7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D2A27">
        <w:rPr>
          <w:rFonts w:ascii="Calibri" w:hAnsi="Calibri" w:cs="Calibri"/>
          <w:i/>
          <w:iCs/>
          <w:sz w:val="24"/>
          <w:szCs w:val="24"/>
        </w:rPr>
        <w:t xml:space="preserve">potencjał, by </w:t>
      </w:r>
      <w:r w:rsidR="004C17B7" w:rsidRPr="004C17B7">
        <w:rPr>
          <w:rFonts w:ascii="Calibri" w:hAnsi="Calibri" w:cs="Calibri"/>
          <w:i/>
          <w:iCs/>
          <w:sz w:val="24"/>
          <w:szCs w:val="24"/>
        </w:rPr>
        <w:t>stać się kluczowym ogniwem europejskiego łańcucha dostaw dla morskiej energetyki wiatrowej</w:t>
      </w:r>
      <w:r w:rsidR="00F66D60">
        <w:rPr>
          <w:rFonts w:ascii="Calibri" w:hAnsi="Calibri" w:cs="Calibri"/>
          <w:i/>
          <w:iCs/>
          <w:sz w:val="24"/>
          <w:szCs w:val="24"/>
        </w:rPr>
        <w:t xml:space="preserve">. Widzimy jak ważna dla realizacji tych celów jest </w:t>
      </w:r>
      <w:r w:rsidR="00B977F9">
        <w:rPr>
          <w:rFonts w:ascii="Calibri" w:hAnsi="Calibri" w:cs="Calibri"/>
          <w:i/>
          <w:iCs/>
          <w:sz w:val="24"/>
          <w:szCs w:val="24"/>
        </w:rPr>
        <w:t>społeczna akceptacja</w:t>
      </w:r>
      <w:r w:rsidR="00F66D60">
        <w:rPr>
          <w:rFonts w:ascii="Calibri" w:hAnsi="Calibri" w:cs="Calibri"/>
          <w:i/>
          <w:iCs/>
          <w:sz w:val="24"/>
          <w:szCs w:val="24"/>
        </w:rPr>
        <w:t xml:space="preserve">, stąd nasza kampania skupia się na </w:t>
      </w:r>
      <w:r w:rsidR="00BD2A27">
        <w:rPr>
          <w:rFonts w:ascii="Calibri" w:hAnsi="Calibri" w:cs="Calibri"/>
          <w:i/>
          <w:iCs/>
          <w:sz w:val="24"/>
          <w:szCs w:val="24"/>
        </w:rPr>
        <w:t xml:space="preserve">rzetelnych faktach i wynikających z nich </w:t>
      </w:r>
      <w:r w:rsidR="00F66D60">
        <w:rPr>
          <w:rFonts w:ascii="Calibri" w:hAnsi="Calibri" w:cs="Calibri"/>
          <w:i/>
          <w:iCs/>
          <w:sz w:val="24"/>
          <w:szCs w:val="24"/>
        </w:rPr>
        <w:t xml:space="preserve">korzyściach </w:t>
      </w:r>
      <w:r w:rsidR="00F66D60" w:rsidRPr="00F66D60">
        <w:rPr>
          <w:rFonts w:ascii="Calibri" w:hAnsi="Calibri" w:cs="Calibri"/>
          <w:i/>
          <w:iCs/>
          <w:sz w:val="24"/>
          <w:szCs w:val="24"/>
        </w:rPr>
        <w:t>zarówno dla państwa i gospodarki, jak i dla całego społeczeństwa</w:t>
      </w:r>
      <w:r w:rsidR="004C17B7">
        <w:rPr>
          <w:rFonts w:ascii="Calibri" w:hAnsi="Calibri" w:cs="Calibri"/>
          <w:i/>
          <w:iCs/>
          <w:sz w:val="24"/>
          <w:szCs w:val="24"/>
        </w:rPr>
        <w:t xml:space="preserve"> - </w:t>
      </w:r>
      <w:r w:rsidR="004C17B7" w:rsidRPr="00897F28">
        <w:rPr>
          <w:rFonts w:ascii="Calibri" w:hAnsi="Calibri" w:cs="Calibri"/>
          <w:b/>
          <w:bCs/>
          <w:sz w:val="24"/>
          <w:szCs w:val="24"/>
        </w:rPr>
        <w:t>mówi</w:t>
      </w:r>
      <w:r w:rsidR="004C17B7" w:rsidRPr="004C17B7">
        <w:rPr>
          <w:rFonts w:ascii="Calibri" w:hAnsi="Calibri" w:cs="Calibri"/>
          <w:b/>
          <w:bCs/>
          <w:sz w:val="24"/>
          <w:szCs w:val="24"/>
        </w:rPr>
        <w:t xml:space="preserve"> Janusz Gajowiecki, prezes PSEW</w:t>
      </w:r>
      <w:r w:rsidR="00420988">
        <w:rPr>
          <w:rFonts w:ascii="Calibri" w:hAnsi="Calibri" w:cs="Calibri"/>
          <w:b/>
          <w:bCs/>
          <w:sz w:val="24"/>
          <w:szCs w:val="24"/>
        </w:rPr>
        <w:t>.</w:t>
      </w:r>
    </w:p>
    <w:p w14:paraId="0B49D1F9" w14:textId="1FBCBED1" w:rsidR="00973811" w:rsidRDefault="00F66D60" w:rsidP="00B10D3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zauważają eksperci, </w:t>
      </w:r>
      <w:r w:rsidR="00973811" w:rsidRPr="00973811">
        <w:rPr>
          <w:rFonts w:ascii="Calibri" w:hAnsi="Calibri" w:cs="Calibri"/>
          <w:sz w:val="24"/>
          <w:szCs w:val="24"/>
        </w:rPr>
        <w:t>rozwój sektora</w:t>
      </w:r>
      <w:r>
        <w:rPr>
          <w:rFonts w:ascii="Calibri" w:hAnsi="Calibri" w:cs="Calibri"/>
          <w:sz w:val="24"/>
          <w:szCs w:val="24"/>
        </w:rPr>
        <w:t xml:space="preserve"> związanego z </w:t>
      </w:r>
      <w:r w:rsidR="00BD2A27">
        <w:rPr>
          <w:rFonts w:ascii="Calibri" w:hAnsi="Calibri" w:cs="Calibri"/>
          <w:sz w:val="24"/>
          <w:szCs w:val="24"/>
        </w:rPr>
        <w:t>morską energetyką wiatrową</w:t>
      </w:r>
      <w:r w:rsidR="00BD2A27" w:rsidRPr="00973811">
        <w:rPr>
          <w:rFonts w:ascii="Calibri" w:hAnsi="Calibri" w:cs="Calibri"/>
          <w:sz w:val="24"/>
          <w:szCs w:val="24"/>
        </w:rPr>
        <w:t xml:space="preserve"> </w:t>
      </w:r>
      <w:r w:rsidR="00973811" w:rsidRPr="00973811">
        <w:rPr>
          <w:rFonts w:ascii="Calibri" w:hAnsi="Calibri" w:cs="Calibri"/>
          <w:sz w:val="24"/>
          <w:szCs w:val="24"/>
        </w:rPr>
        <w:t>napotyka na rosnącą falę dezinformacji. W debacie publicznej pojawiają się niepoparte badaniami tezy dotyczące rzekomo negatywnego wpływu farm wiatrowych na gospodarkę i środowisko. Kampania „Morze Wiatru” odpowiada na te wyzwania poprzez działania edukacyjne oparte na danych, analizach i doświadczeniach rynków zagranicznych.</w:t>
      </w:r>
    </w:p>
    <w:p w14:paraId="770960BF" w14:textId="4FE1933A" w:rsidR="00FE2183" w:rsidRPr="00897F28" w:rsidRDefault="00897F28" w:rsidP="00B10D3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- </w:t>
      </w:r>
      <w:r w:rsidR="00FE2183" w:rsidRPr="00897F28">
        <w:rPr>
          <w:rFonts w:ascii="Calibri" w:hAnsi="Calibri" w:cs="Calibri"/>
          <w:i/>
          <w:iCs/>
          <w:sz w:val="24"/>
          <w:szCs w:val="24"/>
        </w:rPr>
        <w:t>Fundacja ORLEN angażuje się w projekty dotyczące morskiej energetyki wiatrowej, bo dostrzegamy potrzebę rzetelnej debaty o przyszłości polskiej gospodarki i energetyki. Morska energetyka wiatrowa to jeden z obszarów, w których decyzje podejmowane dziś będą wpływać na bezpieczeństwo energetyczne przez kolejne dekady. Naszą rolą jest wspieranie inicjatyw opartych na wiedzy, faktach i analizach oraz przeciwdziałanie dezinformacji, która zbyt często towarzyszy dużym zmianom systemowym. Chcemy budować świadomość i zrozumienie tego, jak transformacja energetyczna może służyć społeczeństwu i gospodarce, w sposób odpowiedzialny, długofalowy i uczciwy</w:t>
      </w:r>
      <w:r w:rsidR="00FE2183" w:rsidRPr="00FE2183">
        <w:rPr>
          <w:rFonts w:ascii="Calibri" w:hAnsi="Calibri" w:cs="Calibri"/>
          <w:sz w:val="24"/>
          <w:szCs w:val="24"/>
        </w:rPr>
        <w:t xml:space="preserve"> – </w:t>
      </w:r>
      <w:r w:rsidR="00FE2183" w:rsidRPr="00897F28">
        <w:rPr>
          <w:rFonts w:ascii="Calibri" w:hAnsi="Calibri" w:cs="Calibri"/>
          <w:b/>
          <w:bCs/>
          <w:sz w:val="24"/>
          <w:szCs w:val="24"/>
        </w:rPr>
        <w:t>mówi Michał Stachyra, członek Zarządu Fundacji ORLEN.</w:t>
      </w:r>
    </w:p>
    <w:p w14:paraId="5E6344B0" w14:textId="77777777" w:rsidR="00034E51" w:rsidRDefault="00973811" w:rsidP="00034E51">
      <w:pPr>
        <w:jc w:val="both"/>
        <w:rPr>
          <w:rFonts w:ascii="Calibri" w:hAnsi="Calibri" w:cs="Calibri"/>
          <w:sz w:val="24"/>
          <w:szCs w:val="24"/>
        </w:rPr>
      </w:pPr>
      <w:r w:rsidRPr="00973811">
        <w:rPr>
          <w:rFonts w:ascii="Calibri" w:hAnsi="Calibri" w:cs="Calibri"/>
          <w:sz w:val="24"/>
          <w:szCs w:val="24"/>
        </w:rPr>
        <w:t xml:space="preserve">Na stronie kampanii </w:t>
      </w:r>
      <w:hyperlink r:id="rId8" w:tgtFrame="_new" w:history="1">
        <w:r w:rsidRPr="00973811">
          <w:rPr>
            <w:rStyle w:val="Hipercze"/>
            <w:rFonts w:ascii="Calibri" w:hAnsi="Calibri" w:cs="Calibri"/>
            <w:sz w:val="24"/>
            <w:szCs w:val="24"/>
          </w:rPr>
          <w:t>www.morzewiatru.pl</w:t>
        </w:r>
      </w:hyperlink>
      <w:r w:rsidRPr="00973811">
        <w:rPr>
          <w:rFonts w:ascii="Calibri" w:hAnsi="Calibri" w:cs="Calibri"/>
          <w:sz w:val="24"/>
          <w:szCs w:val="24"/>
        </w:rPr>
        <w:t xml:space="preserve"> użytkownicy znajdą m.in. sekcję „Fakty i mity”, materiały edukacyjne oraz narzędzia pozwalające w przystępny sposób zweryfikować najczęściej powtarzane nieprawdziwe informacje.</w:t>
      </w:r>
      <w:r w:rsidR="00034E51">
        <w:rPr>
          <w:rFonts w:ascii="Calibri" w:hAnsi="Calibri" w:cs="Calibri"/>
          <w:sz w:val="24"/>
          <w:szCs w:val="24"/>
        </w:rPr>
        <w:t xml:space="preserve"> </w:t>
      </w:r>
      <w:r w:rsidR="00034E51" w:rsidRPr="00034E51">
        <w:rPr>
          <w:rFonts w:ascii="Calibri" w:hAnsi="Calibri" w:cs="Calibri"/>
          <w:sz w:val="24"/>
          <w:szCs w:val="24"/>
        </w:rPr>
        <w:t xml:space="preserve">Projekt ma charakter ogólnopolski i łączy działania informacyjne, edukacyjne i wizerunkowe, budując sprzyjające otoczenie dla rozwoju inwestycji energetycznych w Polsce. </w:t>
      </w:r>
    </w:p>
    <w:p w14:paraId="6A781B16" w14:textId="511E5258" w:rsidR="00B43BD1" w:rsidRDefault="00B43BD1" w:rsidP="0028300D">
      <w:pPr>
        <w:jc w:val="both"/>
        <w:rPr>
          <w:rFonts w:ascii="Calibri" w:hAnsi="Calibri" w:cs="Calibri"/>
          <w:sz w:val="24"/>
          <w:szCs w:val="24"/>
        </w:rPr>
      </w:pPr>
      <w:r w:rsidRPr="00B43BD1">
        <w:rPr>
          <w:rFonts w:ascii="Calibri" w:hAnsi="Calibri" w:cs="Calibri"/>
          <w:sz w:val="24"/>
          <w:szCs w:val="24"/>
        </w:rPr>
        <w:lastRenderedPageBreak/>
        <w:t>Działania realizowane przez Polskie Stowarzyszenie Energetyki Wiatrowej przy wsparciu Fundacji ORLEN wpisują się w szerszy kontekst budowania świadomej, opartej na wiedzy debaty publicznej wokół transformacji energetycznej w Polsce. Jak podkreślają eksperci, jednym z kluczowych wyzwań jest dziś potrzeba systematycznej edukacji społeczeństwa, tak aby ograniczać wpływ dezinformacji, która może spowalniać rozwój strategicznych inwestycji energetycznych. Budowanie świadomości w tym obszarze jest niezbędne, by wspierać dążenie Polski do niezależności energetycznej oraz rozwój własnych, krajowych źródeł energii, zwiększających bezpieczeństwo i stabilność systemu.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F832D9F" w14:textId="221C614A" w:rsidR="00973811" w:rsidRPr="00973811" w:rsidRDefault="00897F28" w:rsidP="0028300D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- </w:t>
      </w:r>
      <w:r w:rsidR="00B43BD1" w:rsidRPr="00B43BD1">
        <w:rPr>
          <w:rFonts w:ascii="Calibri" w:hAnsi="Calibri" w:cs="Calibri"/>
          <w:i/>
          <w:iCs/>
          <w:sz w:val="24"/>
          <w:szCs w:val="24"/>
        </w:rPr>
        <w:t>Rozwój morskiej energetyki wiatrowej odbywa się dziś w warunkach realnej wojny informacyjnej. Sektor energetyczny jako kluczowy dla bezpieczeństwa państwa, jest szczególnie narażony na celowe manipulacje i dezinformację, które mogą podważać zaufanie do strategicznych inwestycji. To zjawisko jest niebezpieczne, bo uderza w fundamenty naszej niezależności energetycznej. Dlatego w kampanii „Morze Wiatru” stoimy na straży faktów, edukacji i rzetelnej wiedzy, budując zaufanie do nowoczesnych, zielonych źródeł energii, które mamy dziś szansę rozwijać w Polsce –</w:t>
      </w:r>
      <w:r w:rsidR="00973811" w:rsidRPr="00973811">
        <w:rPr>
          <w:rFonts w:ascii="Calibri" w:hAnsi="Calibri" w:cs="Calibri"/>
          <w:sz w:val="24"/>
          <w:szCs w:val="24"/>
        </w:rPr>
        <w:t xml:space="preserve"> </w:t>
      </w:r>
      <w:r w:rsidR="00973811" w:rsidRPr="00897F28">
        <w:rPr>
          <w:rFonts w:ascii="Calibri" w:hAnsi="Calibri" w:cs="Calibri"/>
          <w:b/>
          <w:bCs/>
          <w:sz w:val="24"/>
          <w:szCs w:val="24"/>
        </w:rPr>
        <w:t xml:space="preserve">mówi </w:t>
      </w:r>
      <w:r w:rsidR="0028300D" w:rsidRPr="00897F28">
        <w:rPr>
          <w:rFonts w:ascii="Calibri" w:hAnsi="Calibri" w:cs="Calibri"/>
          <w:b/>
          <w:bCs/>
          <w:sz w:val="24"/>
          <w:szCs w:val="24"/>
        </w:rPr>
        <w:t>M</w:t>
      </w:r>
      <w:r w:rsidR="0028300D" w:rsidRPr="0028300D">
        <w:rPr>
          <w:rFonts w:ascii="Calibri" w:hAnsi="Calibri" w:cs="Calibri"/>
          <w:b/>
          <w:bCs/>
          <w:sz w:val="24"/>
          <w:szCs w:val="24"/>
        </w:rPr>
        <w:t>ałgorzata Żmijewska-Kukiełka</w:t>
      </w:r>
      <w:r w:rsidR="00797240" w:rsidRPr="00797240">
        <w:rPr>
          <w:rFonts w:ascii="Calibri" w:hAnsi="Calibri" w:cs="Calibri"/>
          <w:b/>
          <w:bCs/>
          <w:sz w:val="24"/>
          <w:szCs w:val="24"/>
        </w:rPr>
        <w:t>, rzeczniczka prasowa PSEW i koordynatorka kampanii</w:t>
      </w:r>
      <w:r w:rsidR="00973811" w:rsidRPr="00973811">
        <w:rPr>
          <w:rFonts w:ascii="Calibri" w:hAnsi="Calibri" w:cs="Calibri"/>
          <w:sz w:val="24"/>
          <w:szCs w:val="24"/>
        </w:rPr>
        <w:t>.</w:t>
      </w:r>
    </w:p>
    <w:p w14:paraId="518033FE" w14:textId="62788E1B" w:rsidR="0028300D" w:rsidRDefault="0028300D" w:rsidP="0028300D">
      <w:pPr>
        <w:jc w:val="both"/>
        <w:rPr>
          <w:rFonts w:ascii="Calibri" w:hAnsi="Calibri" w:cs="Calibri"/>
          <w:sz w:val="24"/>
          <w:szCs w:val="24"/>
        </w:rPr>
      </w:pPr>
      <w:r w:rsidRPr="0028300D">
        <w:rPr>
          <w:rFonts w:ascii="Calibri" w:hAnsi="Calibri" w:cs="Calibri"/>
          <w:sz w:val="24"/>
          <w:szCs w:val="24"/>
        </w:rPr>
        <w:t xml:space="preserve">Kampania pokazuje, że </w:t>
      </w:r>
      <w:r w:rsidR="00B43BD1">
        <w:rPr>
          <w:rFonts w:ascii="Calibri" w:hAnsi="Calibri" w:cs="Calibri"/>
          <w:sz w:val="24"/>
          <w:szCs w:val="24"/>
        </w:rPr>
        <w:t xml:space="preserve">morska energetyka wiatrowa </w:t>
      </w:r>
      <w:r w:rsidRPr="0028300D">
        <w:rPr>
          <w:rFonts w:ascii="Calibri" w:hAnsi="Calibri" w:cs="Calibri"/>
          <w:sz w:val="24"/>
          <w:szCs w:val="24"/>
        </w:rPr>
        <w:t>to nie tylko transformacja energetyczna, ale także impuls rozwojowy dla krajowego przemysłu, portów, firm serwisowych i zaplecza technologicznego. W dłuższej perspektywie oznacza to również większą stabilność systemu energetycznego oraz uniezależnienie się od paliw kopalnych.</w:t>
      </w:r>
    </w:p>
    <w:p w14:paraId="67755DF6" w14:textId="1F57C430" w:rsidR="00E805D5" w:rsidRPr="00E805D5" w:rsidRDefault="00E805D5" w:rsidP="008E42B8">
      <w:pPr>
        <w:jc w:val="both"/>
        <w:rPr>
          <w:rFonts w:ascii="Calibri" w:hAnsi="Calibri" w:cs="Calibri"/>
          <w:sz w:val="18"/>
          <w:szCs w:val="18"/>
        </w:rPr>
      </w:pPr>
      <w:r w:rsidRPr="00E805D5">
        <w:rPr>
          <w:rFonts w:ascii="Calibri" w:hAnsi="Calibri" w:cs="Calibri"/>
          <w:sz w:val="18"/>
          <w:szCs w:val="18"/>
        </w:rPr>
        <w:t>****</w:t>
      </w:r>
    </w:p>
    <w:p w14:paraId="31DDBBDB" w14:textId="050E2BB9" w:rsidR="008E42B8" w:rsidRPr="00E805D5" w:rsidRDefault="000D0CAC" w:rsidP="008E42B8">
      <w:pPr>
        <w:jc w:val="both"/>
        <w:rPr>
          <w:rFonts w:ascii="Calibri" w:hAnsi="Calibri" w:cs="Calibri"/>
          <w:sz w:val="18"/>
          <w:szCs w:val="18"/>
        </w:rPr>
      </w:pPr>
      <w:r w:rsidRPr="00E805D5">
        <w:rPr>
          <w:rFonts w:ascii="Calibri" w:hAnsi="Calibri" w:cs="Calibri"/>
          <w:sz w:val="18"/>
          <w:szCs w:val="18"/>
        </w:rPr>
        <w:t xml:space="preserve">Więcej na </w:t>
      </w:r>
      <w:hyperlink r:id="rId9" w:history="1">
        <w:r w:rsidRPr="00E805D5">
          <w:rPr>
            <w:rFonts w:ascii="Calibri" w:hAnsi="Calibri" w:cs="Calibri"/>
            <w:sz w:val="18"/>
            <w:szCs w:val="18"/>
          </w:rPr>
          <w:t>www.morzewiatru.pl</w:t>
        </w:r>
      </w:hyperlink>
      <w:r w:rsidRPr="00E805D5">
        <w:rPr>
          <w:rFonts w:ascii="Calibri" w:hAnsi="Calibri" w:cs="Calibri"/>
          <w:sz w:val="18"/>
          <w:szCs w:val="18"/>
        </w:rPr>
        <w:t>.</w:t>
      </w:r>
      <w:r w:rsidR="00E805D5" w:rsidRPr="00E805D5">
        <w:rPr>
          <w:rFonts w:ascii="Calibri" w:hAnsi="Calibri" w:cs="Calibri"/>
          <w:sz w:val="18"/>
          <w:szCs w:val="18"/>
        </w:rPr>
        <w:t xml:space="preserve"> </w:t>
      </w:r>
    </w:p>
    <w:p w14:paraId="0A5A40EA" w14:textId="77777777" w:rsidR="00716F1B" w:rsidRPr="00716F1B" w:rsidRDefault="00716F1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716F1B" w:rsidRPr="00716F1B" w:rsidSect="008E296C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E180" w14:textId="77777777" w:rsidR="00F32A33" w:rsidRDefault="00F32A33" w:rsidP="00FF0499">
      <w:pPr>
        <w:spacing w:after="0" w:line="240" w:lineRule="auto"/>
      </w:pPr>
      <w:r>
        <w:separator/>
      </w:r>
    </w:p>
  </w:endnote>
  <w:endnote w:type="continuationSeparator" w:id="0">
    <w:p w14:paraId="03508837" w14:textId="77777777" w:rsidR="00F32A33" w:rsidRDefault="00F32A33" w:rsidP="00FF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3262" w14:textId="77777777" w:rsidR="00F32A33" w:rsidRDefault="00F32A33" w:rsidP="00FF0499">
      <w:pPr>
        <w:spacing w:after="0" w:line="240" w:lineRule="auto"/>
      </w:pPr>
      <w:r>
        <w:separator/>
      </w:r>
    </w:p>
  </w:footnote>
  <w:footnote w:type="continuationSeparator" w:id="0">
    <w:p w14:paraId="507CD1FC" w14:textId="77777777" w:rsidR="00F32A33" w:rsidRDefault="00F32A33" w:rsidP="00FF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C11A" w14:textId="77777777" w:rsidR="008F3A8B" w:rsidRPr="00925B6C" w:rsidRDefault="008F3A8B" w:rsidP="008F3A8B">
    <w:pPr>
      <w:pStyle w:val="Nagwek"/>
    </w:pPr>
    <w:r w:rsidRPr="00925B6C">
      <w:rPr>
        <w:i/>
        <w:iCs/>
        <w:sz w:val="18"/>
        <w:szCs w:val="18"/>
      </w:rPr>
      <w:t>Informacja prasowa</w:t>
    </w:r>
    <w:r>
      <w:rPr>
        <w:i/>
        <w:iCs/>
        <w:sz w:val="18"/>
        <w:szCs w:val="18"/>
      </w:rPr>
      <w:t xml:space="preserve">                                                                </w:t>
    </w:r>
    <w:r>
      <w:rPr>
        <w:noProof/>
      </w:rPr>
      <w:t xml:space="preserve">                                                          </w:t>
    </w:r>
    <w:r>
      <w:rPr>
        <w:noProof/>
      </w:rPr>
      <w:drawing>
        <wp:inline distT="0" distB="0" distL="0" distR="0" wp14:anchorId="5C9DC355" wp14:editId="2B5B7942">
          <wp:extent cx="1630698" cy="723808"/>
          <wp:effectExtent l="0" t="0" r="7620" b="635"/>
          <wp:docPr id="2031559674" name="Obraz 1" descr="PS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E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24" t="31117" r="22726" b="32189"/>
                  <a:stretch>
                    <a:fillRect/>
                  </a:stretch>
                </pic:blipFill>
                <pic:spPr bwMode="auto">
                  <a:xfrm>
                    <a:off x="0" y="0"/>
                    <a:ext cx="1639854" cy="727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i/>
        <w:iCs/>
        <w:sz w:val="18"/>
        <w:szCs w:val="18"/>
      </w:rPr>
      <w:t xml:space="preserve">                                                                      </w:t>
    </w:r>
  </w:p>
  <w:p w14:paraId="4A8F497E" w14:textId="6F874F85" w:rsidR="008E296C" w:rsidRPr="00FF0499" w:rsidRDefault="008E296C" w:rsidP="008E296C">
    <w:pPr>
      <w:pStyle w:val="Nagwek"/>
      <w:rPr>
        <w:i/>
        <w:iCs/>
      </w:rPr>
    </w:pPr>
    <w:r>
      <w:rPr>
        <w:i/>
        <w:iCs/>
      </w:rPr>
      <w:tab/>
    </w:r>
  </w:p>
  <w:p w14:paraId="6FB6492D" w14:textId="77777777" w:rsidR="008E296C" w:rsidRDefault="008E2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3F3"/>
    <w:multiLevelType w:val="multilevel"/>
    <w:tmpl w:val="42A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0128C"/>
    <w:multiLevelType w:val="multilevel"/>
    <w:tmpl w:val="4B5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111B1"/>
    <w:multiLevelType w:val="hybridMultilevel"/>
    <w:tmpl w:val="F3D49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7A47"/>
    <w:multiLevelType w:val="multilevel"/>
    <w:tmpl w:val="73D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95D9D"/>
    <w:multiLevelType w:val="multilevel"/>
    <w:tmpl w:val="3AA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01D29"/>
    <w:multiLevelType w:val="multilevel"/>
    <w:tmpl w:val="C0D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1425F"/>
    <w:multiLevelType w:val="multilevel"/>
    <w:tmpl w:val="D49E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25FE0"/>
    <w:multiLevelType w:val="hybridMultilevel"/>
    <w:tmpl w:val="BB30A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29712">
    <w:abstractNumId w:val="3"/>
  </w:num>
  <w:num w:numId="2" w16cid:durableId="770467249">
    <w:abstractNumId w:val="4"/>
  </w:num>
  <w:num w:numId="3" w16cid:durableId="1681393477">
    <w:abstractNumId w:val="1"/>
  </w:num>
  <w:num w:numId="4" w16cid:durableId="1730884573">
    <w:abstractNumId w:val="0"/>
  </w:num>
  <w:num w:numId="5" w16cid:durableId="227157823">
    <w:abstractNumId w:val="6"/>
  </w:num>
  <w:num w:numId="6" w16cid:durableId="225339798">
    <w:abstractNumId w:val="5"/>
  </w:num>
  <w:num w:numId="7" w16cid:durableId="1882665149">
    <w:abstractNumId w:val="2"/>
  </w:num>
  <w:num w:numId="8" w16cid:durableId="1492526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C6"/>
    <w:rsid w:val="00023CB4"/>
    <w:rsid w:val="00034E51"/>
    <w:rsid w:val="00086583"/>
    <w:rsid w:val="00086763"/>
    <w:rsid w:val="00096B1F"/>
    <w:rsid w:val="000B440C"/>
    <w:rsid w:val="000C26D4"/>
    <w:rsid w:val="000C4A04"/>
    <w:rsid w:val="000C5480"/>
    <w:rsid w:val="000D0CAC"/>
    <w:rsid w:val="000D4DC7"/>
    <w:rsid w:val="000D60E1"/>
    <w:rsid w:val="000E1D09"/>
    <w:rsid w:val="0010054A"/>
    <w:rsid w:val="00124099"/>
    <w:rsid w:val="0012670F"/>
    <w:rsid w:val="00173786"/>
    <w:rsid w:val="001E5282"/>
    <w:rsid w:val="00201691"/>
    <w:rsid w:val="002063DB"/>
    <w:rsid w:val="002077D2"/>
    <w:rsid w:val="002172AD"/>
    <w:rsid w:val="00220468"/>
    <w:rsid w:val="002264F3"/>
    <w:rsid w:val="0023025F"/>
    <w:rsid w:val="00236A6F"/>
    <w:rsid w:val="002460C4"/>
    <w:rsid w:val="00257F4A"/>
    <w:rsid w:val="0026053D"/>
    <w:rsid w:val="002608A2"/>
    <w:rsid w:val="00271D8D"/>
    <w:rsid w:val="002756C8"/>
    <w:rsid w:val="00281DD3"/>
    <w:rsid w:val="0028300D"/>
    <w:rsid w:val="002A4D6A"/>
    <w:rsid w:val="002C1624"/>
    <w:rsid w:val="002C4AC1"/>
    <w:rsid w:val="002C78DF"/>
    <w:rsid w:val="002D06AA"/>
    <w:rsid w:val="002D18EB"/>
    <w:rsid w:val="00330912"/>
    <w:rsid w:val="00340E83"/>
    <w:rsid w:val="00344FB8"/>
    <w:rsid w:val="00345236"/>
    <w:rsid w:val="003611B9"/>
    <w:rsid w:val="003761DC"/>
    <w:rsid w:val="0038180D"/>
    <w:rsid w:val="00385284"/>
    <w:rsid w:val="00394E00"/>
    <w:rsid w:val="003A2BD9"/>
    <w:rsid w:val="003C1EFC"/>
    <w:rsid w:val="003D77D5"/>
    <w:rsid w:val="003E1DED"/>
    <w:rsid w:val="003E69EC"/>
    <w:rsid w:val="003F1163"/>
    <w:rsid w:val="00420988"/>
    <w:rsid w:val="004362F7"/>
    <w:rsid w:val="00445276"/>
    <w:rsid w:val="004464F1"/>
    <w:rsid w:val="00454834"/>
    <w:rsid w:val="00475447"/>
    <w:rsid w:val="00480290"/>
    <w:rsid w:val="0049743C"/>
    <w:rsid w:val="004A38B1"/>
    <w:rsid w:val="004A511A"/>
    <w:rsid w:val="004B4EDF"/>
    <w:rsid w:val="004C17B7"/>
    <w:rsid w:val="004C7F51"/>
    <w:rsid w:val="004D3E51"/>
    <w:rsid w:val="004E035A"/>
    <w:rsid w:val="004E329A"/>
    <w:rsid w:val="004E38BF"/>
    <w:rsid w:val="004E5B57"/>
    <w:rsid w:val="0050573D"/>
    <w:rsid w:val="005430E3"/>
    <w:rsid w:val="00550EE7"/>
    <w:rsid w:val="00567978"/>
    <w:rsid w:val="00592BC6"/>
    <w:rsid w:val="005B3509"/>
    <w:rsid w:val="005E10D6"/>
    <w:rsid w:val="005E497C"/>
    <w:rsid w:val="005E5B87"/>
    <w:rsid w:val="005E7AE6"/>
    <w:rsid w:val="005F00F4"/>
    <w:rsid w:val="00600040"/>
    <w:rsid w:val="006104DB"/>
    <w:rsid w:val="0062399C"/>
    <w:rsid w:val="006300C4"/>
    <w:rsid w:val="006367DF"/>
    <w:rsid w:val="006976A0"/>
    <w:rsid w:val="006B2860"/>
    <w:rsid w:val="006B400A"/>
    <w:rsid w:val="006B7993"/>
    <w:rsid w:val="006D3D04"/>
    <w:rsid w:val="006E2FB1"/>
    <w:rsid w:val="00716F1B"/>
    <w:rsid w:val="00726F76"/>
    <w:rsid w:val="00731991"/>
    <w:rsid w:val="007466CA"/>
    <w:rsid w:val="0074687F"/>
    <w:rsid w:val="00760502"/>
    <w:rsid w:val="007628A0"/>
    <w:rsid w:val="00797240"/>
    <w:rsid w:val="007B558F"/>
    <w:rsid w:val="007C2D57"/>
    <w:rsid w:val="007C311C"/>
    <w:rsid w:val="007C674B"/>
    <w:rsid w:val="007D2622"/>
    <w:rsid w:val="007D4AAF"/>
    <w:rsid w:val="008063FE"/>
    <w:rsid w:val="00817D1E"/>
    <w:rsid w:val="00853AF4"/>
    <w:rsid w:val="008776A6"/>
    <w:rsid w:val="008919E6"/>
    <w:rsid w:val="00891EE6"/>
    <w:rsid w:val="008927AB"/>
    <w:rsid w:val="00893D76"/>
    <w:rsid w:val="00897F28"/>
    <w:rsid w:val="008A34BE"/>
    <w:rsid w:val="008A6E2F"/>
    <w:rsid w:val="008B4D8F"/>
    <w:rsid w:val="008C6E08"/>
    <w:rsid w:val="008E296C"/>
    <w:rsid w:val="008E42B8"/>
    <w:rsid w:val="008F3A8B"/>
    <w:rsid w:val="00906616"/>
    <w:rsid w:val="00916026"/>
    <w:rsid w:val="00933BEC"/>
    <w:rsid w:val="00941596"/>
    <w:rsid w:val="0094370F"/>
    <w:rsid w:val="009522CE"/>
    <w:rsid w:val="009634DE"/>
    <w:rsid w:val="00973811"/>
    <w:rsid w:val="00980D43"/>
    <w:rsid w:val="0098203C"/>
    <w:rsid w:val="00992201"/>
    <w:rsid w:val="009A2BBA"/>
    <w:rsid w:val="009A4FE6"/>
    <w:rsid w:val="009A712F"/>
    <w:rsid w:val="009B1AC0"/>
    <w:rsid w:val="009B1FBA"/>
    <w:rsid w:val="009B74B4"/>
    <w:rsid w:val="009F5AA9"/>
    <w:rsid w:val="00A06AA4"/>
    <w:rsid w:val="00A072AD"/>
    <w:rsid w:val="00A217F6"/>
    <w:rsid w:val="00A27DB3"/>
    <w:rsid w:val="00A5529E"/>
    <w:rsid w:val="00A55B55"/>
    <w:rsid w:val="00A57DC2"/>
    <w:rsid w:val="00A650D4"/>
    <w:rsid w:val="00A91A58"/>
    <w:rsid w:val="00AC2D6C"/>
    <w:rsid w:val="00AD5E7D"/>
    <w:rsid w:val="00AE6409"/>
    <w:rsid w:val="00AF07B6"/>
    <w:rsid w:val="00AF6970"/>
    <w:rsid w:val="00B10D3C"/>
    <w:rsid w:val="00B115FF"/>
    <w:rsid w:val="00B11EE8"/>
    <w:rsid w:val="00B14845"/>
    <w:rsid w:val="00B21589"/>
    <w:rsid w:val="00B35305"/>
    <w:rsid w:val="00B43BD1"/>
    <w:rsid w:val="00B6211C"/>
    <w:rsid w:val="00B63B62"/>
    <w:rsid w:val="00B830DF"/>
    <w:rsid w:val="00B83FF0"/>
    <w:rsid w:val="00B977F9"/>
    <w:rsid w:val="00BA626B"/>
    <w:rsid w:val="00BB2059"/>
    <w:rsid w:val="00BD2A27"/>
    <w:rsid w:val="00BE3336"/>
    <w:rsid w:val="00BF1437"/>
    <w:rsid w:val="00BF2418"/>
    <w:rsid w:val="00C066C8"/>
    <w:rsid w:val="00C15778"/>
    <w:rsid w:val="00C27551"/>
    <w:rsid w:val="00C364B8"/>
    <w:rsid w:val="00C40C7D"/>
    <w:rsid w:val="00C479C9"/>
    <w:rsid w:val="00C55052"/>
    <w:rsid w:val="00C8355B"/>
    <w:rsid w:val="00C83C56"/>
    <w:rsid w:val="00C923E7"/>
    <w:rsid w:val="00CB3EC6"/>
    <w:rsid w:val="00CC74CF"/>
    <w:rsid w:val="00CD3048"/>
    <w:rsid w:val="00CE2DCD"/>
    <w:rsid w:val="00D02661"/>
    <w:rsid w:val="00D14FD6"/>
    <w:rsid w:val="00D3277E"/>
    <w:rsid w:val="00D6676C"/>
    <w:rsid w:val="00D66B12"/>
    <w:rsid w:val="00D74639"/>
    <w:rsid w:val="00DA2B1A"/>
    <w:rsid w:val="00DF4862"/>
    <w:rsid w:val="00E00C58"/>
    <w:rsid w:val="00E13BF9"/>
    <w:rsid w:val="00E6524F"/>
    <w:rsid w:val="00E73C62"/>
    <w:rsid w:val="00E805D5"/>
    <w:rsid w:val="00E94AF7"/>
    <w:rsid w:val="00EA1FC1"/>
    <w:rsid w:val="00EB0881"/>
    <w:rsid w:val="00EB2869"/>
    <w:rsid w:val="00EC2B60"/>
    <w:rsid w:val="00ED232F"/>
    <w:rsid w:val="00EF1D6A"/>
    <w:rsid w:val="00F069C9"/>
    <w:rsid w:val="00F16EC3"/>
    <w:rsid w:val="00F32A33"/>
    <w:rsid w:val="00F34BD8"/>
    <w:rsid w:val="00F40713"/>
    <w:rsid w:val="00F6094C"/>
    <w:rsid w:val="00F66D60"/>
    <w:rsid w:val="00F71E31"/>
    <w:rsid w:val="00F95AE1"/>
    <w:rsid w:val="00F97E44"/>
    <w:rsid w:val="00FA2BF1"/>
    <w:rsid w:val="00FA2C55"/>
    <w:rsid w:val="00FA7124"/>
    <w:rsid w:val="00FB28E0"/>
    <w:rsid w:val="00FC1B22"/>
    <w:rsid w:val="00FD5F1B"/>
    <w:rsid w:val="00FE1542"/>
    <w:rsid w:val="00FE2183"/>
    <w:rsid w:val="00FE3F5B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A43C0"/>
  <w15:chartTrackingRefBased/>
  <w15:docId w15:val="{4B74A997-32A7-41A0-9220-CD60AF5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B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B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B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B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BC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E49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6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9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499"/>
  </w:style>
  <w:style w:type="paragraph" w:styleId="Stopka">
    <w:name w:val="footer"/>
    <w:basedOn w:val="Normalny"/>
    <w:link w:val="StopkaZnak"/>
    <w:uiPriority w:val="99"/>
    <w:unhideWhenUsed/>
    <w:rsid w:val="00FF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499"/>
  </w:style>
  <w:style w:type="character" w:styleId="Hipercze">
    <w:name w:val="Hyperlink"/>
    <w:basedOn w:val="Domylnaczcionkaakapitu"/>
    <w:uiPriority w:val="99"/>
    <w:unhideWhenUsed/>
    <w:rsid w:val="000D0CA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zewiatr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rzewiatr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BE01-1400-48BB-B810-5C81D232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KONIEC</dc:creator>
  <cp:keywords/>
  <dc:description/>
  <cp:lastModifiedBy>Daniel Gąsiorowski</cp:lastModifiedBy>
  <cp:revision>4</cp:revision>
  <dcterms:created xsi:type="dcterms:W3CDTF">2026-04-28T08:14:00Z</dcterms:created>
  <dcterms:modified xsi:type="dcterms:W3CDTF">2026-04-28T09:47:00Z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b60e38-724b-44cb-8b52-7841a0346e9d_Enabled">
    <vt:lpwstr>true</vt:lpwstr>
  </property>
  <property fmtid="{D5CDD505-2E9C-101B-9397-08002B2CF9AE}" pid="3" name="MSIP_Label_b3b60e38-724b-44cb-8b52-7841a0346e9d_SetDate">
    <vt:lpwstr>2026-04-28T06:28:56Z</vt:lpwstr>
  </property>
  <property fmtid="{D5CDD505-2E9C-101B-9397-08002B2CF9AE}" pid="4" name="MSIP_Label_b3b60e38-724b-44cb-8b52-7841a0346e9d_Method">
    <vt:lpwstr>Standard</vt:lpwstr>
  </property>
  <property fmtid="{D5CDD505-2E9C-101B-9397-08002B2CF9AE}" pid="5" name="MSIP_Label_b3b60e38-724b-44cb-8b52-7841a0346e9d_Name">
    <vt:lpwstr>aad.gkorl.label.internal.gkorl</vt:lpwstr>
  </property>
  <property fmtid="{D5CDD505-2E9C-101B-9397-08002B2CF9AE}" pid="6" name="MSIP_Label_b3b60e38-724b-44cb-8b52-7841a0346e9d_SiteId">
    <vt:lpwstr>49ed4135-8213-4cdc-b4ed-aca2fd2e32c2</vt:lpwstr>
  </property>
  <property fmtid="{D5CDD505-2E9C-101B-9397-08002B2CF9AE}" pid="7" name="MSIP_Label_b3b60e38-724b-44cb-8b52-7841a0346e9d_ActionId">
    <vt:lpwstr>567e21e1-bfac-49f5-a306-abd15efe0097</vt:lpwstr>
  </property>
  <property fmtid="{D5CDD505-2E9C-101B-9397-08002B2CF9AE}" pid="8" name="MSIP_Label_b3b60e38-724b-44cb-8b52-7841a0346e9d_ContentBits">
    <vt:lpwstr>0</vt:lpwstr>
  </property>
  <property fmtid="{D5CDD505-2E9C-101B-9397-08002B2CF9AE}" pid="9" name="MSIP_Label_b3b60e38-724b-44cb-8b52-7841a0346e9d_Tag">
    <vt:lpwstr>10, 3, 0, 1</vt:lpwstr>
  </property>
</Properties>
</file>