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66C60" w14:textId="77777777" w:rsidR="002211D9" w:rsidRDefault="002211D9" w:rsidP="00136052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2211D9">
        <w:rPr>
          <w:b/>
          <w:bCs/>
          <w:sz w:val="20"/>
          <w:szCs w:val="20"/>
        </w:rPr>
        <w:t>Warszawski rynek hotelowy utrzymuje dobrą passę, a inwestorzy pozostają aktywni</w:t>
      </w:r>
    </w:p>
    <w:p w14:paraId="04DDA1BA" w14:textId="77777777" w:rsidR="002211D9" w:rsidRPr="002211D9" w:rsidRDefault="002211D9" w:rsidP="00136052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565871AB" w14:textId="77777777" w:rsidR="002211D9" w:rsidRDefault="002211D9" w:rsidP="00136052">
      <w:pPr>
        <w:spacing w:after="0" w:line="240" w:lineRule="auto"/>
        <w:jc w:val="both"/>
        <w:rPr>
          <w:b/>
          <w:bCs/>
          <w:sz w:val="20"/>
          <w:szCs w:val="20"/>
        </w:rPr>
      </w:pPr>
      <w:r w:rsidRPr="002211D9">
        <w:rPr>
          <w:b/>
          <w:bCs/>
          <w:sz w:val="20"/>
          <w:szCs w:val="20"/>
        </w:rPr>
        <w:t xml:space="preserve">Jak wynika z najnowszych analiz międzynarodowej agencji doradczej </w:t>
      </w:r>
      <w:proofErr w:type="spellStart"/>
      <w:r w:rsidRPr="002211D9">
        <w:rPr>
          <w:b/>
          <w:bCs/>
          <w:sz w:val="20"/>
          <w:szCs w:val="20"/>
        </w:rPr>
        <w:t>Cushman</w:t>
      </w:r>
      <w:proofErr w:type="spellEnd"/>
      <w:r w:rsidRPr="002211D9">
        <w:rPr>
          <w:b/>
          <w:bCs/>
          <w:sz w:val="20"/>
          <w:szCs w:val="20"/>
        </w:rPr>
        <w:t xml:space="preserve"> &amp; Wakefield, Warszawa pozostaje jednym z najmocniejszych rynków hotelowych w regionie Europy Środkowo-Wschodniej</w:t>
      </w:r>
      <w:r w:rsidRPr="00905F4B">
        <w:rPr>
          <w:b/>
          <w:bCs/>
          <w:sz w:val="20"/>
          <w:szCs w:val="20"/>
        </w:rPr>
        <w:t xml:space="preserve">. W 2025 roku stolica odnotowała jeden z najwyższych wzrostów </w:t>
      </w:r>
      <w:proofErr w:type="spellStart"/>
      <w:r w:rsidRPr="00905F4B">
        <w:rPr>
          <w:b/>
          <w:bCs/>
          <w:sz w:val="20"/>
          <w:szCs w:val="20"/>
        </w:rPr>
        <w:t>RevPAR</w:t>
      </w:r>
      <w:proofErr w:type="spellEnd"/>
      <w:r w:rsidRPr="00905F4B">
        <w:rPr>
          <w:b/>
          <w:bCs/>
          <w:sz w:val="20"/>
          <w:szCs w:val="20"/>
        </w:rPr>
        <w:t xml:space="preserve"> wśród miast CEE-6, a jednocześnie była liderem wzrostu podaży pokoi hotelowych.</w:t>
      </w:r>
      <w:r w:rsidRPr="002211D9">
        <w:rPr>
          <w:b/>
          <w:bCs/>
          <w:sz w:val="20"/>
          <w:szCs w:val="20"/>
        </w:rPr>
        <w:t xml:space="preserve"> Eksperci wskazują, że przy stabilnych stopach kapitalizacji dla warszawskich hoteli </w:t>
      </w:r>
      <w:proofErr w:type="spellStart"/>
      <w:r w:rsidRPr="002211D9">
        <w:rPr>
          <w:b/>
          <w:bCs/>
          <w:sz w:val="20"/>
          <w:szCs w:val="20"/>
        </w:rPr>
        <w:t>prime</w:t>
      </w:r>
      <w:proofErr w:type="spellEnd"/>
      <w:r w:rsidRPr="002211D9">
        <w:rPr>
          <w:b/>
          <w:bCs/>
          <w:sz w:val="20"/>
          <w:szCs w:val="20"/>
        </w:rPr>
        <w:t xml:space="preserve"> i rosnącej aktywności inwestorów w regionie perspektywy dla stołecznego rynku pozostają pozytywne.</w:t>
      </w:r>
    </w:p>
    <w:p w14:paraId="0FE029A3" w14:textId="77777777" w:rsidR="002211D9" w:rsidRPr="002211D9" w:rsidRDefault="002211D9" w:rsidP="00136052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A0DA250" w14:textId="77777777" w:rsidR="002211D9" w:rsidRPr="002211D9" w:rsidRDefault="002211D9" w:rsidP="00136052">
      <w:pPr>
        <w:spacing w:after="0" w:line="240" w:lineRule="auto"/>
        <w:jc w:val="both"/>
        <w:rPr>
          <w:b/>
          <w:bCs/>
          <w:sz w:val="20"/>
          <w:szCs w:val="20"/>
        </w:rPr>
      </w:pPr>
      <w:r w:rsidRPr="002211D9">
        <w:rPr>
          <w:b/>
          <w:bCs/>
          <w:sz w:val="20"/>
          <w:szCs w:val="20"/>
        </w:rPr>
        <w:t>Warszawa wśród liderów wzrostu w regionie</w:t>
      </w:r>
    </w:p>
    <w:p w14:paraId="18188DD6" w14:textId="1BACBC16" w:rsidR="002211D9" w:rsidRDefault="002211D9" w:rsidP="00136052">
      <w:pPr>
        <w:spacing w:after="0" w:line="240" w:lineRule="auto"/>
        <w:jc w:val="both"/>
        <w:rPr>
          <w:sz w:val="20"/>
          <w:szCs w:val="20"/>
        </w:rPr>
      </w:pPr>
      <w:r w:rsidRPr="002211D9">
        <w:rPr>
          <w:sz w:val="20"/>
          <w:szCs w:val="20"/>
        </w:rPr>
        <w:t xml:space="preserve">Według raportu </w:t>
      </w:r>
      <w:proofErr w:type="spellStart"/>
      <w:r w:rsidRPr="002211D9">
        <w:rPr>
          <w:i/>
          <w:iCs/>
          <w:sz w:val="20"/>
          <w:szCs w:val="20"/>
        </w:rPr>
        <w:t>Marketbeat</w:t>
      </w:r>
      <w:proofErr w:type="spellEnd"/>
      <w:r w:rsidRPr="002211D9">
        <w:rPr>
          <w:i/>
          <w:iCs/>
          <w:sz w:val="20"/>
          <w:szCs w:val="20"/>
        </w:rPr>
        <w:t xml:space="preserve"> CEE-6 </w:t>
      </w:r>
      <w:proofErr w:type="spellStart"/>
      <w:r w:rsidRPr="002211D9">
        <w:rPr>
          <w:i/>
          <w:iCs/>
          <w:sz w:val="20"/>
          <w:szCs w:val="20"/>
        </w:rPr>
        <w:t>Hospitality</w:t>
      </w:r>
      <w:proofErr w:type="spellEnd"/>
      <w:r w:rsidRPr="002211D9">
        <w:rPr>
          <w:i/>
          <w:iCs/>
          <w:sz w:val="20"/>
          <w:szCs w:val="20"/>
        </w:rPr>
        <w:t xml:space="preserve"> H2 2025</w:t>
      </w:r>
      <w:r w:rsidRPr="002211D9">
        <w:rPr>
          <w:sz w:val="20"/>
          <w:szCs w:val="20"/>
        </w:rPr>
        <w:t xml:space="preserve"> region CEE-6 odnotował w 2025 roku wzrost </w:t>
      </w:r>
      <w:proofErr w:type="spellStart"/>
      <w:r w:rsidRPr="002211D9">
        <w:rPr>
          <w:sz w:val="20"/>
          <w:szCs w:val="20"/>
        </w:rPr>
        <w:t>RevPAR</w:t>
      </w:r>
      <w:proofErr w:type="spellEnd"/>
      <w:r w:rsidRPr="002211D9">
        <w:rPr>
          <w:sz w:val="20"/>
          <w:szCs w:val="20"/>
        </w:rPr>
        <w:t xml:space="preserve"> o 8,9% r/r, wspierany wzrost</w:t>
      </w:r>
      <w:r w:rsidR="00216102">
        <w:rPr>
          <w:sz w:val="20"/>
          <w:szCs w:val="20"/>
        </w:rPr>
        <w:t>em</w:t>
      </w:r>
      <w:r w:rsidRPr="002211D9">
        <w:rPr>
          <w:sz w:val="20"/>
          <w:szCs w:val="20"/>
        </w:rPr>
        <w:t xml:space="preserve"> ADR o 4,6% oraz obłożenia o 2,7 </w:t>
      </w:r>
      <w:proofErr w:type="spellStart"/>
      <w:r w:rsidRPr="002211D9">
        <w:rPr>
          <w:sz w:val="20"/>
          <w:szCs w:val="20"/>
        </w:rPr>
        <w:t>p.p</w:t>
      </w:r>
      <w:proofErr w:type="spellEnd"/>
      <w:r w:rsidRPr="002211D9">
        <w:rPr>
          <w:sz w:val="20"/>
          <w:szCs w:val="20"/>
        </w:rPr>
        <w:t xml:space="preserve">. Na poziomie miast to właśnie Bukareszt i Warszawa osiągnęły najsilniejszy wzrost </w:t>
      </w:r>
      <w:proofErr w:type="spellStart"/>
      <w:r w:rsidRPr="002211D9">
        <w:rPr>
          <w:sz w:val="20"/>
          <w:szCs w:val="20"/>
        </w:rPr>
        <w:t>RevPAR</w:t>
      </w:r>
      <w:proofErr w:type="spellEnd"/>
      <w:r w:rsidRPr="002211D9">
        <w:rPr>
          <w:sz w:val="20"/>
          <w:szCs w:val="20"/>
        </w:rPr>
        <w:t xml:space="preserve"> w 2025 roku, podczas gdy Praga i Budapeszt utrzymały pozycję liderów pod względem bezwzględnego poziomu tego wskaźnika.</w:t>
      </w:r>
    </w:p>
    <w:p w14:paraId="089792BB" w14:textId="77777777" w:rsidR="002211D9" w:rsidRPr="002211D9" w:rsidRDefault="002211D9" w:rsidP="00136052">
      <w:pPr>
        <w:spacing w:after="0" w:line="240" w:lineRule="auto"/>
        <w:jc w:val="both"/>
        <w:rPr>
          <w:sz w:val="20"/>
          <w:szCs w:val="20"/>
        </w:rPr>
      </w:pPr>
    </w:p>
    <w:p w14:paraId="01061C1E" w14:textId="60021898" w:rsidR="002211D9" w:rsidRPr="00345718" w:rsidRDefault="002211D9" w:rsidP="00136052">
      <w:pPr>
        <w:spacing w:after="0" w:line="240" w:lineRule="auto"/>
        <w:jc w:val="both"/>
        <w:rPr>
          <w:i/>
          <w:iCs/>
          <w:sz w:val="20"/>
          <w:szCs w:val="20"/>
        </w:rPr>
      </w:pPr>
      <w:r w:rsidRPr="00345718">
        <w:rPr>
          <w:sz w:val="20"/>
          <w:szCs w:val="20"/>
        </w:rPr>
        <w:t xml:space="preserve">– </w:t>
      </w:r>
      <w:r w:rsidRPr="00345718">
        <w:rPr>
          <w:i/>
          <w:iCs/>
          <w:sz w:val="20"/>
          <w:szCs w:val="20"/>
        </w:rPr>
        <w:t>To bardzo ważny sygnał dla rynku warszawskiego.</w:t>
      </w:r>
      <w:r w:rsidR="00976E24" w:rsidRPr="00736C8D">
        <w:rPr>
          <w:i/>
          <w:iCs/>
          <w:sz w:val="20"/>
          <w:szCs w:val="20"/>
        </w:rPr>
        <w:t xml:space="preserve"> </w:t>
      </w:r>
      <w:r w:rsidR="00976E24" w:rsidRPr="00976E24">
        <w:rPr>
          <w:i/>
          <w:iCs/>
          <w:sz w:val="20"/>
          <w:szCs w:val="20"/>
        </w:rPr>
        <w:t xml:space="preserve">Fakt, że Warszawa znajduje się w ścisłej czołówce regionu pod względem dynamiki </w:t>
      </w:r>
      <w:proofErr w:type="spellStart"/>
      <w:r w:rsidR="00976E24" w:rsidRPr="00976E24">
        <w:rPr>
          <w:i/>
          <w:iCs/>
          <w:sz w:val="20"/>
          <w:szCs w:val="20"/>
        </w:rPr>
        <w:t>RevPAR</w:t>
      </w:r>
      <w:proofErr w:type="spellEnd"/>
      <w:r w:rsidR="00976E24" w:rsidRPr="00976E24">
        <w:rPr>
          <w:i/>
          <w:iCs/>
          <w:sz w:val="20"/>
          <w:szCs w:val="20"/>
        </w:rPr>
        <w:t>, przy jednoczesnym wzroście podaży, potwierdza jej rolę jako jednego z najważniejszych rynków hotelowych w Europie Środkowo</w:t>
      </w:r>
      <w:r w:rsidR="00976E24" w:rsidRPr="00976E24">
        <w:rPr>
          <w:rFonts w:ascii="Cambria Math" w:hAnsi="Cambria Math" w:cs="Cambria Math"/>
          <w:i/>
          <w:iCs/>
          <w:sz w:val="20"/>
          <w:szCs w:val="20"/>
        </w:rPr>
        <w:t>‑</w:t>
      </w:r>
      <w:r w:rsidR="00976E24" w:rsidRPr="00976E24">
        <w:rPr>
          <w:i/>
          <w:iCs/>
          <w:sz w:val="20"/>
          <w:szCs w:val="20"/>
        </w:rPr>
        <w:t xml:space="preserve">Wschodniej. Stolica pokazuje dziś, że wzrost nie jest jedynie efektem odbicia po pandemii, lecz rezultatem trwałych fundamentów popytowych i rosnącej dojrzałości rynku hotelowego, co znajduje odzwierciedlenie zarówno w wynikach operacyjnych, jak i utrzymującym się zainteresowaniu inwestorów </w:t>
      </w:r>
      <w:r w:rsidRPr="00976E24">
        <w:rPr>
          <w:sz w:val="20"/>
          <w:szCs w:val="20"/>
        </w:rPr>
        <w:t xml:space="preserve">– mówi </w:t>
      </w:r>
      <w:r w:rsidRPr="00976E24">
        <w:rPr>
          <w:b/>
          <w:bCs/>
          <w:sz w:val="20"/>
          <w:szCs w:val="20"/>
        </w:rPr>
        <w:t xml:space="preserve">Maciej Prończuk, Senior Consultant, </w:t>
      </w:r>
      <w:proofErr w:type="spellStart"/>
      <w:r w:rsidRPr="00345718">
        <w:rPr>
          <w:b/>
          <w:bCs/>
          <w:sz w:val="20"/>
          <w:szCs w:val="20"/>
        </w:rPr>
        <w:t>Ho</w:t>
      </w:r>
      <w:r w:rsidR="00976E24" w:rsidRPr="00345718">
        <w:rPr>
          <w:b/>
          <w:bCs/>
          <w:sz w:val="20"/>
          <w:szCs w:val="20"/>
        </w:rPr>
        <w:t>spitality</w:t>
      </w:r>
      <w:proofErr w:type="spellEnd"/>
      <w:r w:rsidR="00976E24" w:rsidRPr="00345718">
        <w:rPr>
          <w:b/>
          <w:bCs/>
          <w:sz w:val="20"/>
          <w:szCs w:val="20"/>
        </w:rPr>
        <w:t xml:space="preserve"> &amp; </w:t>
      </w:r>
      <w:proofErr w:type="spellStart"/>
      <w:r w:rsidR="00976E24" w:rsidRPr="00345718">
        <w:rPr>
          <w:b/>
          <w:bCs/>
          <w:sz w:val="20"/>
          <w:szCs w:val="20"/>
        </w:rPr>
        <w:t>Alternatives</w:t>
      </w:r>
      <w:proofErr w:type="spellEnd"/>
      <w:r w:rsidR="00976E24" w:rsidRPr="00345718">
        <w:rPr>
          <w:b/>
          <w:bCs/>
          <w:sz w:val="20"/>
          <w:szCs w:val="20"/>
        </w:rPr>
        <w:t xml:space="preserve"> </w:t>
      </w:r>
      <w:r w:rsidRPr="00345718">
        <w:rPr>
          <w:b/>
          <w:bCs/>
          <w:sz w:val="20"/>
          <w:szCs w:val="20"/>
        </w:rPr>
        <w:t xml:space="preserve">CEE &amp; SEE, ekspert ds. rynku hotelowego </w:t>
      </w:r>
      <w:proofErr w:type="spellStart"/>
      <w:r w:rsidRPr="00345718">
        <w:rPr>
          <w:b/>
          <w:bCs/>
          <w:sz w:val="20"/>
          <w:szCs w:val="20"/>
        </w:rPr>
        <w:t>Cushman</w:t>
      </w:r>
      <w:proofErr w:type="spellEnd"/>
      <w:r w:rsidRPr="00345718">
        <w:rPr>
          <w:b/>
          <w:bCs/>
          <w:sz w:val="20"/>
          <w:szCs w:val="20"/>
        </w:rPr>
        <w:t xml:space="preserve"> &amp; Wakefield.</w:t>
      </w:r>
    </w:p>
    <w:p w14:paraId="1B1A82F0" w14:textId="77777777" w:rsidR="002211D9" w:rsidRPr="002211D9" w:rsidRDefault="002211D9" w:rsidP="00136052">
      <w:pPr>
        <w:spacing w:after="0" w:line="240" w:lineRule="auto"/>
        <w:jc w:val="both"/>
        <w:rPr>
          <w:sz w:val="20"/>
          <w:szCs w:val="20"/>
        </w:rPr>
      </w:pPr>
    </w:p>
    <w:p w14:paraId="0BF429C7" w14:textId="30F38119" w:rsidR="002211D9" w:rsidRPr="002211D9" w:rsidRDefault="002211D9" w:rsidP="00136052">
      <w:pPr>
        <w:spacing w:after="0" w:line="240" w:lineRule="auto"/>
        <w:jc w:val="both"/>
        <w:rPr>
          <w:b/>
          <w:bCs/>
          <w:sz w:val="20"/>
          <w:szCs w:val="20"/>
        </w:rPr>
      </w:pPr>
      <w:r w:rsidRPr="002211D9">
        <w:rPr>
          <w:b/>
          <w:bCs/>
          <w:sz w:val="20"/>
          <w:szCs w:val="20"/>
        </w:rPr>
        <w:t>Warszawa liderem nowej podaży w CEE-6</w:t>
      </w:r>
    </w:p>
    <w:p w14:paraId="33BF8938" w14:textId="63F169BE" w:rsidR="002211D9" w:rsidRDefault="002211D9" w:rsidP="00136052">
      <w:pPr>
        <w:spacing w:after="0" w:line="240" w:lineRule="auto"/>
        <w:jc w:val="both"/>
        <w:rPr>
          <w:sz w:val="20"/>
          <w:szCs w:val="20"/>
        </w:rPr>
      </w:pPr>
      <w:r w:rsidRPr="00AE0D01">
        <w:rPr>
          <w:sz w:val="20"/>
          <w:szCs w:val="20"/>
        </w:rPr>
        <w:t xml:space="preserve">W drugiej połowie 2025 roku w stolicach krajów CEE-6 otwarto ok. 14 hoteli i </w:t>
      </w:r>
      <w:r w:rsidR="00AE0D01" w:rsidRPr="00736C8D">
        <w:rPr>
          <w:sz w:val="20"/>
          <w:szCs w:val="20"/>
        </w:rPr>
        <w:t>obiektów</w:t>
      </w:r>
      <w:r w:rsidR="00905F4B" w:rsidRPr="00AE0D01">
        <w:rPr>
          <w:sz w:val="20"/>
          <w:szCs w:val="20"/>
        </w:rPr>
        <w:t xml:space="preserve"> typu apartamenty serwisowane </w:t>
      </w:r>
      <w:r w:rsidRPr="00AE0D01">
        <w:rPr>
          <w:sz w:val="20"/>
          <w:szCs w:val="20"/>
        </w:rPr>
        <w:t>oferujących</w:t>
      </w:r>
      <w:r w:rsidRPr="002211D9">
        <w:rPr>
          <w:sz w:val="20"/>
          <w:szCs w:val="20"/>
        </w:rPr>
        <w:t xml:space="preserve"> łącznie ok. 1 130 pokoi</w:t>
      </w:r>
      <w:r w:rsidR="00905F4B">
        <w:rPr>
          <w:sz w:val="20"/>
          <w:szCs w:val="20"/>
        </w:rPr>
        <w:t xml:space="preserve"> oraz apartamentów</w:t>
      </w:r>
      <w:r w:rsidRPr="002211D9">
        <w:rPr>
          <w:sz w:val="20"/>
          <w:szCs w:val="20"/>
        </w:rPr>
        <w:t xml:space="preserve">. Jak wskazuje </w:t>
      </w:r>
      <w:proofErr w:type="spellStart"/>
      <w:r w:rsidRPr="002211D9">
        <w:rPr>
          <w:sz w:val="20"/>
          <w:szCs w:val="20"/>
        </w:rPr>
        <w:t>Cushman</w:t>
      </w:r>
      <w:proofErr w:type="spellEnd"/>
      <w:r w:rsidRPr="002211D9">
        <w:rPr>
          <w:sz w:val="20"/>
          <w:szCs w:val="20"/>
        </w:rPr>
        <w:t xml:space="preserve"> &amp; Wakefield, całkowita podaż pokoi w regionie wzrosła o 2,7% r/r, a największy wkład w ten wynik miały Warszawa (+5,5%), Budapeszt (+2,8%) i Praga (+2,2%). </w:t>
      </w:r>
      <w:r w:rsidRPr="00AE0D01">
        <w:rPr>
          <w:sz w:val="20"/>
          <w:szCs w:val="20"/>
        </w:rPr>
        <w:t xml:space="preserve">Ten trend ma utrzymać się również w 2026 roku, </w:t>
      </w:r>
      <w:r w:rsidR="00AE0D01" w:rsidRPr="00345718">
        <w:rPr>
          <w:sz w:val="20"/>
          <w:szCs w:val="20"/>
        </w:rPr>
        <w:t xml:space="preserve">a </w:t>
      </w:r>
      <w:r w:rsidRPr="00AE0D01">
        <w:rPr>
          <w:sz w:val="20"/>
          <w:szCs w:val="20"/>
        </w:rPr>
        <w:t xml:space="preserve">Warszawa ma nadal pozostawać liderem </w:t>
      </w:r>
      <w:r w:rsidR="00AE0D01" w:rsidRPr="00345718">
        <w:rPr>
          <w:sz w:val="20"/>
          <w:szCs w:val="20"/>
        </w:rPr>
        <w:t xml:space="preserve">dalszego </w:t>
      </w:r>
      <w:r w:rsidRPr="00AE0D01">
        <w:rPr>
          <w:sz w:val="20"/>
          <w:szCs w:val="20"/>
        </w:rPr>
        <w:t>wzrostu.</w:t>
      </w:r>
    </w:p>
    <w:p w14:paraId="5AB915F7" w14:textId="77777777" w:rsidR="002211D9" w:rsidRPr="002211D9" w:rsidRDefault="002211D9" w:rsidP="00136052">
      <w:pPr>
        <w:spacing w:after="0" w:line="240" w:lineRule="auto"/>
        <w:jc w:val="both"/>
        <w:rPr>
          <w:sz w:val="20"/>
          <w:szCs w:val="20"/>
        </w:rPr>
      </w:pPr>
    </w:p>
    <w:p w14:paraId="55FFFF10" w14:textId="28DFA341" w:rsidR="002211D9" w:rsidRPr="002211D9" w:rsidRDefault="002211D9" w:rsidP="00136052">
      <w:pPr>
        <w:spacing w:after="0" w:line="240" w:lineRule="auto"/>
        <w:jc w:val="both"/>
        <w:rPr>
          <w:b/>
          <w:bCs/>
          <w:sz w:val="20"/>
          <w:szCs w:val="20"/>
        </w:rPr>
      </w:pPr>
      <w:r w:rsidRPr="00976E24">
        <w:rPr>
          <w:sz w:val="20"/>
          <w:szCs w:val="20"/>
        </w:rPr>
        <w:t xml:space="preserve">– </w:t>
      </w:r>
      <w:r w:rsidR="00CB4793" w:rsidRPr="00345718">
        <w:rPr>
          <w:i/>
          <w:iCs/>
          <w:sz w:val="20"/>
          <w:szCs w:val="20"/>
        </w:rPr>
        <w:t>Warszawa wyróżnia się zarówno skalą nowej podaży, jak i jakością projektów trafiających na rynek. To pokazuje, że stolica pozostaje ważnym punktem odniesienia dla rozwoju sektora hotelowego w regionie, przyciągając zainteresowanie deweloperów i inwestorów realizujących nowe projekty</w:t>
      </w:r>
      <w:r w:rsidR="00CB4793" w:rsidRPr="00CB4793">
        <w:rPr>
          <w:sz w:val="20"/>
          <w:szCs w:val="20"/>
        </w:rPr>
        <w:t xml:space="preserve"> </w:t>
      </w:r>
      <w:r w:rsidRPr="00976E24">
        <w:rPr>
          <w:sz w:val="20"/>
          <w:szCs w:val="20"/>
        </w:rPr>
        <w:t xml:space="preserve">– dodaje </w:t>
      </w:r>
      <w:r w:rsidRPr="00976E24">
        <w:rPr>
          <w:b/>
          <w:bCs/>
          <w:sz w:val="20"/>
          <w:szCs w:val="20"/>
        </w:rPr>
        <w:t>Maciej Prończuk.</w:t>
      </w:r>
    </w:p>
    <w:p w14:paraId="4B9A05A7" w14:textId="77777777" w:rsidR="002211D9" w:rsidRPr="002211D9" w:rsidRDefault="002211D9" w:rsidP="00136052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8E8DADC" w14:textId="44450F20" w:rsidR="002211D9" w:rsidRPr="002211D9" w:rsidRDefault="002211D9" w:rsidP="00136052">
      <w:pPr>
        <w:spacing w:after="0" w:line="240" w:lineRule="auto"/>
        <w:jc w:val="both"/>
        <w:rPr>
          <w:b/>
          <w:bCs/>
          <w:sz w:val="20"/>
          <w:szCs w:val="20"/>
        </w:rPr>
      </w:pPr>
      <w:r w:rsidRPr="002211D9">
        <w:rPr>
          <w:b/>
          <w:bCs/>
          <w:sz w:val="20"/>
          <w:szCs w:val="20"/>
        </w:rPr>
        <w:t xml:space="preserve">Rynek inwestycyjny </w:t>
      </w:r>
      <w:r w:rsidR="008A06E7">
        <w:rPr>
          <w:b/>
          <w:bCs/>
          <w:sz w:val="20"/>
          <w:szCs w:val="20"/>
        </w:rPr>
        <w:t xml:space="preserve">hoteli </w:t>
      </w:r>
      <w:r w:rsidRPr="002211D9">
        <w:rPr>
          <w:b/>
          <w:bCs/>
          <w:sz w:val="20"/>
          <w:szCs w:val="20"/>
        </w:rPr>
        <w:t>w regionie wyraźnie przyspieszył</w:t>
      </w:r>
    </w:p>
    <w:p w14:paraId="7820FFC9" w14:textId="2686CED4" w:rsidR="002211D9" w:rsidRDefault="002211D9" w:rsidP="0013605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Inwestycje na rynkach hotelowych regionu CEE</w:t>
      </w:r>
      <w:r w:rsidRPr="002211D9">
        <w:rPr>
          <w:sz w:val="20"/>
          <w:szCs w:val="20"/>
        </w:rPr>
        <w:t xml:space="preserve"> odnotował</w:t>
      </w:r>
      <w:r>
        <w:rPr>
          <w:sz w:val="20"/>
          <w:szCs w:val="20"/>
        </w:rPr>
        <w:t>y</w:t>
      </w:r>
      <w:r w:rsidRPr="002211D9">
        <w:rPr>
          <w:sz w:val="20"/>
          <w:szCs w:val="20"/>
        </w:rPr>
        <w:t xml:space="preserve"> w 2025 roku bardzo mocne ożywienie. Wolumen </w:t>
      </w:r>
      <w:r w:rsidR="00905F4B">
        <w:rPr>
          <w:sz w:val="20"/>
          <w:szCs w:val="20"/>
        </w:rPr>
        <w:t xml:space="preserve">transakcji </w:t>
      </w:r>
      <w:r w:rsidRPr="002211D9">
        <w:rPr>
          <w:sz w:val="20"/>
          <w:szCs w:val="20"/>
        </w:rPr>
        <w:t xml:space="preserve">wzrósł o 170% r/r i osiągnął </w:t>
      </w:r>
      <w:r>
        <w:rPr>
          <w:sz w:val="20"/>
          <w:szCs w:val="20"/>
        </w:rPr>
        <w:t xml:space="preserve">wartość </w:t>
      </w:r>
      <w:r w:rsidRPr="002211D9">
        <w:rPr>
          <w:sz w:val="20"/>
          <w:szCs w:val="20"/>
        </w:rPr>
        <w:t>1,1</w:t>
      </w:r>
      <w:r w:rsidR="00D2329B">
        <w:rPr>
          <w:sz w:val="20"/>
          <w:szCs w:val="20"/>
        </w:rPr>
        <w:t>6</w:t>
      </w:r>
      <w:r w:rsidRPr="002211D9">
        <w:rPr>
          <w:sz w:val="20"/>
          <w:szCs w:val="20"/>
        </w:rPr>
        <w:t xml:space="preserve"> mld EUR. </w:t>
      </w:r>
      <w:r w:rsidR="00FA1A07">
        <w:rPr>
          <w:sz w:val="20"/>
          <w:szCs w:val="20"/>
        </w:rPr>
        <w:t xml:space="preserve">Według bazy danych </w:t>
      </w:r>
      <w:proofErr w:type="spellStart"/>
      <w:r w:rsidR="00FA1A07">
        <w:rPr>
          <w:sz w:val="20"/>
          <w:szCs w:val="20"/>
        </w:rPr>
        <w:t>Cushman</w:t>
      </w:r>
      <w:proofErr w:type="spellEnd"/>
      <w:r w:rsidR="00FA1A07">
        <w:rPr>
          <w:sz w:val="20"/>
          <w:szCs w:val="20"/>
        </w:rPr>
        <w:t xml:space="preserve"> &amp; Wakefield w</w:t>
      </w:r>
      <w:r w:rsidRPr="002211D9">
        <w:rPr>
          <w:sz w:val="20"/>
          <w:szCs w:val="20"/>
        </w:rPr>
        <w:t xml:space="preserve"> całym regionie sprzedano 44 hotele obejmujące 6 974 pokoje, a średnia cena za pokój wyniosła 167</w:t>
      </w:r>
      <w:r w:rsidR="00D2329B">
        <w:rPr>
          <w:sz w:val="20"/>
          <w:szCs w:val="20"/>
        </w:rPr>
        <w:t>,2 tys.</w:t>
      </w:r>
      <w:r w:rsidRPr="002211D9">
        <w:rPr>
          <w:sz w:val="20"/>
          <w:szCs w:val="20"/>
        </w:rPr>
        <w:t xml:space="preserve"> EUR. Aż 63% wolumenu inwestycyjnego przypadło na hotele z segmentów Upper </w:t>
      </w:r>
      <w:proofErr w:type="spellStart"/>
      <w:r w:rsidRPr="002211D9">
        <w:rPr>
          <w:sz w:val="20"/>
          <w:szCs w:val="20"/>
        </w:rPr>
        <w:t>Upscale</w:t>
      </w:r>
      <w:proofErr w:type="spellEnd"/>
      <w:r w:rsidRPr="002211D9">
        <w:rPr>
          <w:sz w:val="20"/>
          <w:szCs w:val="20"/>
        </w:rPr>
        <w:t xml:space="preserve"> i </w:t>
      </w:r>
      <w:proofErr w:type="spellStart"/>
      <w:r w:rsidRPr="002211D9">
        <w:rPr>
          <w:sz w:val="20"/>
          <w:szCs w:val="20"/>
        </w:rPr>
        <w:t>Upscale</w:t>
      </w:r>
      <w:proofErr w:type="spellEnd"/>
      <w:r w:rsidRPr="002211D9">
        <w:rPr>
          <w:sz w:val="20"/>
          <w:szCs w:val="20"/>
        </w:rPr>
        <w:t>.</w:t>
      </w:r>
    </w:p>
    <w:p w14:paraId="0CABF1EC" w14:textId="77777777" w:rsidR="002211D9" w:rsidRPr="002211D9" w:rsidRDefault="002211D9" w:rsidP="00136052">
      <w:pPr>
        <w:spacing w:after="0" w:line="240" w:lineRule="auto"/>
        <w:jc w:val="both"/>
        <w:rPr>
          <w:sz w:val="20"/>
          <w:szCs w:val="20"/>
        </w:rPr>
      </w:pPr>
    </w:p>
    <w:p w14:paraId="4F7D209E" w14:textId="2D554699" w:rsidR="002211D9" w:rsidRPr="002211D9" w:rsidRDefault="002211D9" w:rsidP="00136052">
      <w:pPr>
        <w:spacing w:after="0" w:line="240" w:lineRule="auto"/>
        <w:jc w:val="both"/>
        <w:rPr>
          <w:sz w:val="20"/>
          <w:szCs w:val="20"/>
        </w:rPr>
      </w:pPr>
      <w:r w:rsidRPr="002211D9">
        <w:rPr>
          <w:sz w:val="20"/>
          <w:szCs w:val="20"/>
        </w:rPr>
        <w:t>Na tym tle Polska odpowiadała w 2025 roku za transakcje o wartości 135 mln EUR</w:t>
      </w:r>
      <w:r w:rsidR="00976E24">
        <w:rPr>
          <w:sz w:val="20"/>
          <w:szCs w:val="20"/>
        </w:rPr>
        <w:t>,</w:t>
      </w:r>
      <w:r w:rsidRPr="002211D9">
        <w:rPr>
          <w:sz w:val="20"/>
          <w:szCs w:val="20"/>
        </w:rPr>
        <w:t xml:space="preserve"> obejmujące 12 hoteli </w:t>
      </w:r>
      <w:r w:rsidR="000877BC">
        <w:rPr>
          <w:sz w:val="20"/>
          <w:szCs w:val="20"/>
        </w:rPr>
        <w:br/>
      </w:r>
      <w:r w:rsidRPr="002211D9">
        <w:rPr>
          <w:sz w:val="20"/>
          <w:szCs w:val="20"/>
        </w:rPr>
        <w:t>i 1</w:t>
      </w:r>
      <w:r w:rsidR="000877BC">
        <w:rPr>
          <w:sz w:val="20"/>
          <w:szCs w:val="20"/>
        </w:rPr>
        <w:t xml:space="preserve"> </w:t>
      </w:r>
      <w:r w:rsidR="00D2329B">
        <w:rPr>
          <w:sz w:val="20"/>
          <w:szCs w:val="20"/>
        </w:rPr>
        <w:t>6</w:t>
      </w:r>
      <w:r w:rsidR="000877BC">
        <w:rPr>
          <w:sz w:val="20"/>
          <w:szCs w:val="20"/>
        </w:rPr>
        <w:t>52</w:t>
      </w:r>
      <w:r w:rsidR="00D2329B">
        <w:rPr>
          <w:sz w:val="20"/>
          <w:szCs w:val="20"/>
        </w:rPr>
        <w:t xml:space="preserve"> </w:t>
      </w:r>
      <w:r w:rsidRPr="002211D9">
        <w:rPr>
          <w:sz w:val="20"/>
          <w:szCs w:val="20"/>
        </w:rPr>
        <w:t>poko</w:t>
      </w:r>
      <w:r w:rsidR="00D2329B">
        <w:rPr>
          <w:sz w:val="20"/>
          <w:szCs w:val="20"/>
        </w:rPr>
        <w:t>i</w:t>
      </w:r>
      <w:r w:rsidRPr="002211D9">
        <w:rPr>
          <w:sz w:val="20"/>
          <w:szCs w:val="20"/>
        </w:rPr>
        <w:t xml:space="preserve">. W samym drugim półroczu 2025 roku wolumen hotelowych transakcji inwestycyjnych w Polsce wyniósł 54 mln EUR, co oznaczało spadek </w:t>
      </w:r>
      <w:r w:rsidR="00976E24">
        <w:rPr>
          <w:sz w:val="20"/>
          <w:szCs w:val="20"/>
        </w:rPr>
        <w:t xml:space="preserve">w porównaniu do </w:t>
      </w:r>
      <w:r w:rsidRPr="002211D9">
        <w:rPr>
          <w:sz w:val="20"/>
          <w:szCs w:val="20"/>
        </w:rPr>
        <w:t>bardzo aktywne</w:t>
      </w:r>
      <w:r w:rsidR="000877BC">
        <w:rPr>
          <w:sz w:val="20"/>
          <w:szCs w:val="20"/>
        </w:rPr>
        <w:t xml:space="preserve">go transakcyjnie drugiego półrocza rok </w:t>
      </w:r>
      <w:r w:rsidR="00976E24">
        <w:rPr>
          <w:sz w:val="20"/>
          <w:szCs w:val="20"/>
        </w:rPr>
        <w:t>poprzedniego</w:t>
      </w:r>
      <w:r w:rsidRPr="002211D9">
        <w:rPr>
          <w:sz w:val="20"/>
          <w:szCs w:val="20"/>
        </w:rPr>
        <w:t>.</w:t>
      </w:r>
    </w:p>
    <w:p w14:paraId="50708BD9" w14:textId="3328F85E" w:rsidR="002211D9" w:rsidRDefault="002211D9" w:rsidP="00136052">
      <w:pPr>
        <w:spacing w:after="0" w:line="240" w:lineRule="auto"/>
        <w:jc w:val="both"/>
        <w:rPr>
          <w:sz w:val="20"/>
          <w:szCs w:val="20"/>
        </w:rPr>
      </w:pPr>
      <w:r w:rsidRPr="00AE0D01">
        <w:rPr>
          <w:sz w:val="20"/>
          <w:szCs w:val="20"/>
        </w:rPr>
        <w:lastRenderedPageBreak/>
        <w:t xml:space="preserve">Wśród wybranych większych transakcji zrealizowanych w Polsce w tym czasie </w:t>
      </w:r>
      <w:r w:rsidR="00136052" w:rsidRPr="00AE0D01">
        <w:rPr>
          <w:sz w:val="20"/>
          <w:szCs w:val="20"/>
        </w:rPr>
        <w:t>znalazła się</w:t>
      </w:r>
      <w:r w:rsidRPr="00AE0D01">
        <w:rPr>
          <w:sz w:val="20"/>
          <w:szCs w:val="20"/>
        </w:rPr>
        <w:t xml:space="preserve"> </w:t>
      </w:r>
      <w:r w:rsidR="000877BC" w:rsidRPr="00AE0D01">
        <w:rPr>
          <w:sz w:val="20"/>
          <w:szCs w:val="20"/>
        </w:rPr>
        <w:t xml:space="preserve">mi.in. </w:t>
      </w:r>
      <w:r w:rsidRPr="00AE0D01">
        <w:rPr>
          <w:sz w:val="20"/>
          <w:szCs w:val="20"/>
        </w:rPr>
        <w:t xml:space="preserve">sprzedaż </w:t>
      </w:r>
      <w:proofErr w:type="spellStart"/>
      <w:r w:rsidRPr="00AE0D01">
        <w:rPr>
          <w:sz w:val="20"/>
          <w:szCs w:val="20"/>
        </w:rPr>
        <w:t>Four</w:t>
      </w:r>
      <w:proofErr w:type="spellEnd"/>
      <w:r w:rsidRPr="00AE0D01">
        <w:rPr>
          <w:sz w:val="20"/>
          <w:szCs w:val="20"/>
        </w:rPr>
        <w:t xml:space="preserve"> </w:t>
      </w:r>
      <w:proofErr w:type="spellStart"/>
      <w:r w:rsidRPr="00AE0D01">
        <w:rPr>
          <w:sz w:val="20"/>
          <w:szCs w:val="20"/>
        </w:rPr>
        <w:t>Points</w:t>
      </w:r>
      <w:proofErr w:type="spellEnd"/>
      <w:r w:rsidRPr="00AE0D01">
        <w:rPr>
          <w:sz w:val="20"/>
          <w:szCs w:val="20"/>
        </w:rPr>
        <w:t xml:space="preserve"> by Sheraton </w:t>
      </w:r>
      <w:proofErr w:type="spellStart"/>
      <w:r w:rsidRPr="00AE0D01">
        <w:rPr>
          <w:sz w:val="20"/>
          <w:szCs w:val="20"/>
        </w:rPr>
        <w:t>Warsaw</w:t>
      </w:r>
      <w:proofErr w:type="spellEnd"/>
      <w:r w:rsidRPr="00AE0D01">
        <w:rPr>
          <w:sz w:val="20"/>
          <w:szCs w:val="20"/>
        </w:rPr>
        <w:t xml:space="preserve"> Mokot</w:t>
      </w:r>
      <w:r w:rsidR="000877BC" w:rsidRPr="00AE0D01">
        <w:rPr>
          <w:sz w:val="20"/>
          <w:szCs w:val="20"/>
        </w:rPr>
        <w:t>ó</w:t>
      </w:r>
      <w:r w:rsidRPr="00AE0D01">
        <w:rPr>
          <w:sz w:val="20"/>
          <w:szCs w:val="20"/>
        </w:rPr>
        <w:t>w, transakcj</w:t>
      </w:r>
      <w:r w:rsidR="00136052" w:rsidRPr="00AE0D01">
        <w:rPr>
          <w:sz w:val="20"/>
          <w:szCs w:val="20"/>
        </w:rPr>
        <w:t>a</w:t>
      </w:r>
      <w:r w:rsidRPr="00AE0D01">
        <w:rPr>
          <w:sz w:val="20"/>
          <w:szCs w:val="20"/>
        </w:rPr>
        <w:t xml:space="preserve"> dotycząc</w:t>
      </w:r>
      <w:r w:rsidR="00136052" w:rsidRPr="00AE0D01">
        <w:rPr>
          <w:sz w:val="20"/>
          <w:szCs w:val="20"/>
        </w:rPr>
        <w:t>a</w:t>
      </w:r>
      <w:r w:rsidRPr="00AE0D01">
        <w:rPr>
          <w:sz w:val="20"/>
          <w:szCs w:val="20"/>
        </w:rPr>
        <w:t xml:space="preserve"> </w:t>
      </w:r>
      <w:r w:rsidR="000877BC" w:rsidRPr="00AE0D01">
        <w:rPr>
          <w:sz w:val="20"/>
          <w:szCs w:val="20"/>
        </w:rPr>
        <w:t xml:space="preserve">portfela </w:t>
      </w:r>
      <w:r w:rsidRPr="00AE0D01">
        <w:rPr>
          <w:sz w:val="20"/>
          <w:szCs w:val="20"/>
        </w:rPr>
        <w:t xml:space="preserve">dwóch obiektów </w:t>
      </w:r>
      <w:proofErr w:type="spellStart"/>
      <w:r w:rsidR="00AE0D01" w:rsidRPr="00345718">
        <w:rPr>
          <w:sz w:val="20"/>
          <w:szCs w:val="20"/>
        </w:rPr>
        <w:t>aparthotelowych</w:t>
      </w:r>
      <w:proofErr w:type="spellEnd"/>
      <w:r w:rsidR="00AE0D01" w:rsidRPr="00345718">
        <w:rPr>
          <w:sz w:val="20"/>
          <w:szCs w:val="20"/>
        </w:rPr>
        <w:t xml:space="preserve"> </w:t>
      </w:r>
      <w:proofErr w:type="spellStart"/>
      <w:r w:rsidRPr="00AE0D01">
        <w:rPr>
          <w:sz w:val="20"/>
          <w:szCs w:val="20"/>
        </w:rPr>
        <w:t>Noli</w:t>
      </w:r>
      <w:proofErr w:type="spellEnd"/>
      <w:r w:rsidRPr="00AE0D01">
        <w:rPr>
          <w:sz w:val="20"/>
          <w:szCs w:val="20"/>
        </w:rPr>
        <w:t xml:space="preserve"> </w:t>
      </w:r>
      <w:proofErr w:type="spellStart"/>
      <w:r w:rsidRPr="00AE0D01">
        <w:rPr>
          <w:sz w:val="20"/>
          <w:szCs w:val="20"/>
        </w:rPr>
        <w:t>Studios</w:t>
      </w:r>
      <w:proofErr w:type="spellEnd"/>
      <w:r w:rsidRPr="00AE0D01">
        <w:rPr>
          <w:sz w:val="20"/>
          <w:szCs w:val="20"/>
        </w:rPr>
        <w:t xml:space="preserve"> oraz sprzedaż </w:t>
      </w:r>
      <w:r w:rsidR="000877BC" w:rsidRPr="00AE0D01">
        <w:rPr>
          <w:sz w:val="20"/>
          <w:szCs w:val="20"/>
        </w:rPr>
        <w:t xml:space="preserve">portfela </w:t>
      </w:r>
      <w:r w:rsidRPr="00AE0D01">
        <w:rPr>
          <w:sz w:val="20"/>
          <w:szCs w:val="20"/>
        </w:rPr>
        <w:t>dwóch hoteli B&amp;B.</w:t>
      </w:r>
    </w:p>
    <w:p w14:paraId="12FFAF32" w14:textId="77777777" w:rsidR="00136052" w:rsidRPr="002211D9" w:rsidRDefault="00136052" w:rsidP="00136052">
      <w:pPr>
        <w:spacing w:after="0" w:line="240" w:lineRule="auto"/>
        <w:jc w:val="both"/>
        <w:rPr>
          <w:sz w:val="20"/>
          <w:szCs w:val="20"/>
        </w:rPr>
      </w:pPr>
    </w:p>
    <w:p w14:paraId="08B1EB89" w14:textId="77777777" w:rsidR="002211D9" w:rsidRPr="00AE0D01" w:rsidRDefault="002211D9" w:rsidP="00136052">
      <w:pPr>
        <w:spacing w:after="0" w:line="240" w:lineRule="auto"/>
        <w:jc w:val="both"/>
        <w:rPr>
          <w:b/>
          <w:bCs/>
          <w:sz w:val="20"/>
          <w:szCs w:val="20"/>
        </w:rPr>
      </w:pPr>
      <w:r w:rsidRPr="00AE0D01">
        <w:rPr>
          <w:b/>
          <w:bCs/>
          <w:sz w:val="20"/>
          <w:szCs w:val="20"/>
        </w:rPr>
        <w:t>Stopy kapitalizacji stabilne, ale najlepsze aktywa korzystają z poprawy nastrojów</w:t>
      </w:r>
    </w:p>
    <w:p w14:paraId="2CA5A93C" w14:textId="3B942AB2" w:rsidR="002211D9" w:rsidRDefault="002211D9" w:rsidP="00136052">
      <w:pPr>
        <w:spacing w:after="0" w:line="240" w:lineRule="auto"/>
        <w:jc w:val="both"/>
        <w:rPr>
          <w:sz w:val="20"/>
          <w:szCs w:val="20"/>
        </w:rPr>
      </w:pPr>
      <w:r w:rsidRPr="00AE0D01">
        <w:rPr>
          <w:sz w:val="20"/>
          <w:szCs w:val="20"/>
        </w:rPr>
        <w:t xml:space="preserve">W 2025 roku w Pradze, Budapeszcie i Bukareszcie odnotowano </w:t>
      </w:r>
      <w:r w:rsidR="00AE0D01" w:rsidRPr="00AE0D01">
        <w:rPr>
          <w:sz w:val="20"/>
          <w:szCs w:val="20"/>
        </w:rPr>
        <w:t xml:space="preserve">umiarkowaną </w:t>
      </w:r>
      <w:r w:rsidRPr="00AE0D01">
        <w:rPr>
          <w:sz w:val="20"/>
          <w:szCs w:val="20"/>
        </w:rPr>
        <w:t xml:space="preserve">kompresję stóp kapitalizacji dla </w:t>
      </w:r>
      <w:r w:rsidR="00AE0D01" w:rsidRPr="00AE0D01">
        <w:rPr>
          <w:sz w:val="20"/>
          <w:szCs w:val="20"/>
        </w:rPr>
        <w:t xml:space="preserve">najlepszych aktywów </w:t>
      </w:r>
      <w:r w:rsidRPr="00AE0D01">
        <w:rPr>
          <w:sz w:val="20"/>
          <w:szCs w:val="20"/>
        </w:rPr>
        <w:t>hotel</w:t>
      </w:r>
      <w:r w:rsidR="00AE0D01" w:rsidRPr="00AE0D01">
        <w:rPr>
          <w:sz w:val="20"/>
          <w:szCs w:val="20"/>
        </w:rPr>
        <w:t>owych</w:t>
      </w:r>
      <w:r w:rsidRPr="00AE0D01">
        <w:rPr>
          <w:sz w:val="20"/>
          <w:szCs w:val="20"/>
        </w:rPr>
        <w:t xml:space="preserve">. W Warszawie, podobnie jak w Bratysławie i Sofii, stopy kapitalizacji pozostały relatywnie stabilne, </w:t>
      </w:r>
      <w:r w:rsidR="00136052" w:rsidRPr="00AE0D01">
        <w:rPr>
          <w:sz w:val="20"/>
          <w:szCs w:val="20"/>
        </w:rPr>
        <w:t xml:space="preserve">choć </w:t>
      </w:r>
      <w:r w:rsidR="00AE0D01" w:rsidRPr="00AE0D01">
        <w:rPr>
          <w:sz w:val="20"/>
          <w:szCs w:val="20"/>
        </w:rPr>
        <w:t xml:space="preserve">dla </w:t>
      </w:r>
      <w:r w:rsidR="00136052" w:rsidRPr="00AE0D01">
        <w:rPr>
          <w:sz w:val="20"/>
          <w:szCs w:val="20"/>
        </w:rPr>
        <w:t>najlepsz</w:t>
      </w:r>
      <w:r w:rsidR="00AE0D01" w:rsidRPr="00AE0D01">
        <w:rPr>
          <w:sz w:val="20"/>
          <w:szCs w:val="20"/>
        </w:rPr>
        <w:t>ych</w:t>
      </w:r>
      <w:r w:rsidR="00136052" w:rsidRPr="00AE0D01">
        <w:rPr>
          <w:sz w:val="20"/>
          <w:szCs w:val="20"/>
        </w:rPr>
        <w:t xml:space="preserve"> </w:t>
      </w:r>
      <w:r w:rsidR="00AE0D01" w:rsidRPr="00AE0D01">
        <w:rPr>
          <w:sz w:val="20"/>
          <w:szCs w:val="20"/>
        </w:rPr>
        <w:t xml:space="preserve">obiektów </w:t>
      </w:r>
      <w:r w:rsidR="00136052" w:rsidRPr="00AE0D01">
        <w:rPr>
          <w:sz w:val="20"/>
          <w:szCs w:val="20"/>
        </w:rPr>
        <w:t xml:space="preserve">w </w:t>
      </w:r>
      <w:r w:rsidR="00AE0D01" w:rsidRPr="00AE0D01">
        <w:rPr>
          <w:sz w:val="20"/>
          <w:szCs w:val="20"/>
        </w:rPr>
        <w:t xml:space="preserve">najbardziej atrakcyjnych </w:t>
      </w:r>
      <w:r w:rsidR="00136052" w:rsidRPr="00AE0D01">
        <w:rPr>
          <w:sz w:val="20"/>
          <w:szCs w:val="20"/>
        </w:rPr>
        <w:t xml:space="preserve">lokalizacjach </w:t>
      </w:r>
      <w:r w:rsidR="00AE0D01" w:rsidRPr="00AE0D01">
        <w:rPr>
          <w:sz w:val="20"/>
          <w:szCs w:val="20"/>
        </w:rPr>
        <w:t>obserwowano lekką kompresję</w:t>
      </w:r>
      <w:r w:rsidRPr="00AE0D01">
        <w:rPr>
          <w:sz w:val="20"/>
          <w:szCs w:val="20"/>
        </w:rPr>
        <w:t xml:space="preserve">. Według ekspertów </w:t>
      </w:r>
      <w:proofErr w:type="spellStart"/>
      <w:r w:rsidRPr="00AE0D01">
        <w:rPr>
          <w:sz w:val="20"/>
          <w:szCs w:val="20"/>
        </w:rPr>
        <w:t>Cushman</w:t>
      </w:r>
      <w:proofErr w:type="spellEnd"/>
      <w:r w:rsidRPr="00AE0D01">
        <w:rPr>
          <w:sz w:val="20"/>
          <w:szCs w:val="20"/>
        </w:rPr>
        <w:t xml:space="preserve"> &amp; Wakefield stabilizująca się inflacja, </w:t>
      </w:r>
      <w:r w:rsidR="00AE0D01" w:rsidRPr="00345718">
        <w:rPr>
          <w:sz w:val="20"/>
          <w:szCs w:val="20"/>
        </w:rPr>
        <w:t xml:space="preserve">poprawa </w:t>
      </w:r>
      <w:r w:rsidRPr="00AE0D01">
        <w:rPr>
          <w:sz w:val="20"/>
          <w:szCs w:val="20"/>
        </w:rPr>
        <w:t>dostęp</w:t>
      </w:r>
      <w:r w:rsidR="00AE0D01" w:rsidRPr="00AE0D01">
        <w:rPr>
          <w:sz w:val="20"/>
          <w:szCs w:val="20"/>
        </w:rPr>
        <w:t>u</w:t>
      </w:r>
      <w:r w:rsidRPr="00AE0D01">
        <w:rPr>
          <w:sz w:val="20"/>
          <w:szCs w:val="20"/>
        </w:rPr>
        <w:t xml:space="preserve"> do finansowania oraz napływ kapitału mogą wspierać dalszą kompresję stóp </w:t>
      </w:r>
      <w:r w:rsidR="00AE0D01" w:rsidRPr="00AE0D01">
        <w:rPr>
          <w:sz w:val="20"/>
          <w:szCs w:val="20"/>
        </w:rPr>
        <w:t xml:space="preserve">kapitalizacji </w:t>
      </w:r>
      <w:r w:rsidRPr="00AE0D01">
        <w:rPr>
          <w:sz w:val="20"/>
          <w:szCs w:val="20"/>
        </w:rPr>
        <w:t>w 2026 roku.</w:t>
      </w:r>
    </w:p>
    <w:p w14:paraId="77514052" w14:textId="77777777" w:rsidR="00136052" w:rsidRPr="002211D9" w:rsidRDefault="00136052" w:rsidP="00136052">
      <w:pPr>
        <w:spacing w:after="0" w:line="240" w:lineRule="auto"/>
        <w:jc w:val="both"/>
        <w:rPr>
          <w:sz w:val="20"/>
          <w:szCs w:val="20"/>
        </w:rPr>
      </w:pPr>
    </w:p>
    <w:p w14:paraId="6A5A1AB1" w14:textId="1268C87F" w:rsidR="002211D9" w:rsidRPr="00136052" w:rsidRDefault="00136052" w:rsidP="00136052">
      <w:pPr>
        <w:spacing w:after="0" w:line="240" w:lineRule="auto"/>
        <w:jc w:val="both"/>
        <w:rPr>
          <w:b/>
          <w:bCs/>
          <w:sz w:val="20"/>
          <w:szCs w:val="20"/>
        </w:rPr>
      </w:pPr>
      <w:r w:rsidRPr="00976E24">
        <w:rPr>
          <w:sz w:val="20"/>
          <w:szCs w:val="20"/>
        </w:rPr>
        <w:t xml:space="preserve">– </w:t>
      </w:r>
      <w:r w:rsidR="00976E24" w:rsidRPr="00345718">
        <w:rPr>
          <w:i/>
          <w:iCs/>
          <w:sz w:val="20"/>
          <w:szCs w:val="20"/>
        </w:rPr>
        <w:t xml:space="preserve">Choć Warszawa nadal stanowi kluczowy rynek hotelowy w Polsce, </w:t>
      </w:r>
      <w:r w:rsidR="00345718">
        <w:rPr>
          <w:i/>
          <w:iCs/>
          <w:sz w:val="20"/>
          <w:szCs w:val="20"/>
        </w:rPr>
        <w:t>to</w:t>
      </w:r>
      <w:r w:rsidR="00976E24" w:rsidRPr="00345718">
        <w:rPr>
          <w:i/>
          <w:iCs/>
          <w:sz w:val="20"/>
          <w:szCs w:val="20"/>
        </w:rPr>
        <w:t xml:space="preserve"> w 2025 roku wyraźnie było widać, że aktywność transakcyjna nie ogranicza się już wyłącznie do stolicy. To sygnał, że rynek rozwija się w sposób coraz bardziej zrównoważony, a inwestorzy uważniej przyglądają się także lokalizacjom regionalnym </w:t>
      </w:r>
      <w:r w:rsidRPr="00976E24">
        <w:rPr>
          <w:sz w:val="20"/>
          <w:szCs w:val="20"/>
        </w:rPr>
        <w:t>–</w:t>
      </w:r>
      <w:r w:rsidR="002211D9" w:rsidRPr="00976E24">
        <w:rPr>
          <w:sz w:val="20"/>
          <w:szCs w:val="20"/>
        </w:rPr>
        <w:t xml:space="preserve"> komentuje </w:t>
      </w:r>
      <w:r w:rsidR="002211D9" w:rsidRPr="00976E24">
        <w:rPr>
          <w:b/>
          <w:bCs/>
          <w:sz w:val="20"/>
          <w:szCs w:val="20"/>
        </w:rPr>
        <w:t>Maciej Prończuk.</w:t>
      </w:r>
    </w:p>
    <w:p w14:paraId="6EA395E1" w14:textId="77777777" w:rsidR="00136052" w:rsidRPr="002211D9" w:rsidRDefault="00136052" w:rsidP="00136052">
      <w:pPr>
        <w:spacing w:after="0" w:line="240" w:lineRule="auto"/>
        <w:jc w:val="both"/>
        <w:rPr>
          <w:sz w:val="20"/>
          <w:szCs w:val="20"/>
        </w:rPr>
      </w:pPr>
    </w:p>
    <w:p w14:paraId="1DBEE579" w14:textId="77777777" w:rsidR="002211D9" w:rsidRPr="002211D9" w:rsidRDefault="002211D9" w:rsidP="00136052">
      <w:pPr>
        <w:spacing w:after="0" w:line="240" w:lineRule="auto"/>
        <w:jc w:val="both"/>
        <w:rPr>
          <w:b/>
          <w:bCs/>
          <w:sz w:val="20"/>
          <w:szCs w:val="20"/>
        </w:rPr>
      </w:pPr>
      <w:r w:rsidRPr="002211D9">
        <w:rPr>
          <w:b/>
          <w:bCs/>
          <w:sz w:val="20"/>
          <w:szCs w:val="20"/>
        </w:rPr>
        <w:t>Europejski kontekst sprzyja hotelom, ale selektywność pozostaje wysoka</w:t>
      </w:r>
    </w:p>
    <w:p w14:paraId="3F761F62" w14:textId="6A586AD6" w:rsidR="002211D9" w:rsidRDefault="002211D9" w:rsidP="00136052">
      <w:pPr>
        <w:spacing w:after="0" w:line="240" w:lineRule="auto"/>
        <w:jc w:val="both"/>
        <w:rPr>
          <w:sz w:val="20"/>
          <w:szCs w:val="20"/>
        </w:rPr>
      </w:pPr>
      <w:r w:rsidRPr="002211D9">
        <w:rPr>
          <w:sz w:val="20"/>
          <w:szCs w:val="20"/>
        </w:rPr>
        <w:t>Dodatkowym wsparciem dla rynku hotelowego w Polsce, w tym w Warszawie, jest poprawiający się sentyment inwestorów na poziomie europejskim. Z najnowszego raportu</w:t>
      </w:r>
      <w:r w:rsidR="00FA1388">
        <w:rPr>
          <w:sz w:val="20"/>
          <w:szCs w:val="20"/>
        </w:rPr>
        <w:t xml:space="preserve"> </w:t>
      </w:r>
      <w:proofErr w:type="spellStart"/>
      <w:r w:rsidR="00FA1388">
        <w:rPr>
          <w:sz w:val="20"/>
          <w:szCs w:val="20"/>
        </w:rPr>
        <w:t>Cushman</w:t>
      </w:r>
      <w:proofErr w:type="spellEnd"/>
      <w:r w:rsidR="00FA1388">
        <w:rPr>
          <w:sz w:val="20"/>
          <w:szCs w:val="20"/>
        </w:rPr>
        <w:t xml:space="preserve"> &amp; Wakefield</w:t>
      </w:r>
      <w:r w:rsidRPr="002211D9">
        <w:rPr>
          <w:sz w:val="20"/>
          <w:szCs w:val="20"/>
        </w:rPr>
        <w:t xml:space="preserve"> </w:t>
      </w:r>
      <w:proofErr w:type="spellStart"/>
      <w:r w:rsidRPr="002211D9">
        <w:rPr>
          <w:i/>
          <w:iCs/>
          <w:sz w:val="20"/>
          <w:szCs w:val="20"/>
        </w:rPr>
        <w:t>European</w:t>
      </w:r>
      <w:proofErr w:type="spellEnd"/>
      <w:r w:rsidRPr="002211D9">
        <w:rPr>
          <w:i/>
          <w:iCs/>
          <w:sz w:val="20"/>
          <w:szCs w:val="20"/>
        </w:rPr>
        <w:t xml:space="preserve"> Hotel Investor </w:t>
      </w:r>
      <w:proofErr w:type="spellStart"/>
      <w:r w:rsidRPr="002211D9">
        <w:rPr>
          <w:i/>
          <w:iCs/>
          <w:sz w:val="20"/>
          <w:szCs w:val="20"/>
        </w:rPr>
        <w:t>Compass</w:t>
      </w:r>
      <w:proofErr w:type="spellEnd"/>
      <w:r w:rsidRPr="002211D9">
        <w:rPr>
          <w:sz w:val="20"/>
          <w:szCs w:val="20"/>
        </w:rPr>
        <w:t xml:space="preserve"> wynika, że 86% </w:t>
      </w:r>
      <w:r w:rsidR="004165DB">
        <w:rPr>
          <w:sz w:val="20"/>
          <w:szCs w:val="20"/>
        </w:rPr>
        <w:t xml:space="preserve">ankietowanych </w:t>
      </w:r>
      <w:r w:rsidRPr="002211D9">
        <w:rPr>
          <w:sz w:val="20"/>
          <w:szCs w:val="20"/>
        </w:rPr>
        <w:t xml:space="preserve">inwestorów planuje w 2026 roku ulokować w </w:t>
      </w:r>
      <w:r w:rsidR="004165DB">
        <w:rPr>
          <w:sz w:val="20"/>
          <w:szCs w:val="20"/>
        </w:rPr>
        <w:t xml:space="preserve">sektorze </w:t>
      </w:r>
      <w:r w:rsidRPr="002211D9">
        <w:rPr>
          <w:sz w:val="20"/>
          <w:szCs w:val="20"/>
        </w:rPr>
        <w:t>hotel</w:t>
      </w:r>
      <w:r w:rsidR="004165DB">
        <w:rPr>
          <w:sz w:val="20"/>
          <w:szCs w:val="20"/>
        </w:rPr>
        <w:t>owym</w:t>
      </w:r>
      <w:r w:rsidRPr="002211D9">
        <w:rPr>
          <w:sz w:val="20"/>
          <w:szCs w:val="20"/>
        </w:rPr>
        <w:t xml:space="preserve"> tyle samo lub więcej kapitału niż rok wcześniej. Jednocześnie rynek staje się coraz bardziej selektywny – rosną wymagania dotyczące jakości aktywów, przewidywalności wyników operacyjnych oraz standardów ESG.</w:t>
      </w:r>
    </w:p>
    <w:p w14:paraId="36DE9D3B" w14:textId="77777777" w:rsidR="00136052" w:rsidRPr="002211D9" w:rsidRDefault="00136052" w:rsidP="00136052">
      <w:pPr>
        <w:spacing w:after="0" w:line="240" w:lineRule="auto"/>
        <w:jc w:val="both"/>
        <w:rPr>
          <w:sz w:val="20"/>
          <w:szCs w:val="20"/>
        </w:rPr>
      </w:pPr>
    </w:p>
    <w:p w14:paraId="29D5E650" w14:textId="4126E65E" w:rsidR="00CB4778" w:rsidRDefault="002211D9" w:rsidP="00136052">
      <w:pPr>
        <w:spacing w:after="0" w:line="240" w:lineRule="auto"/>
        <w:jc w:val="both"/>
        <w:rPr>
          <w:sz w:val="20"/>
          <w:szCs w:val="20"/>
        </w:rPr>
      </w:pPr>
      <w:r w:rsidRPr="002211D9">
        <w:rPr>
          <w:sz w:val="20"/>
          <w:szCs w:val="20"/>
        </w:rPr>
        <w:t xml:space="preserve">Warto podkreślić, że według </w:t>
      </w:r>
      <w:r w:rsidR="002A467C">
        <w:rPr>
          <w:sz w:val="20"/>
          <w:szCs w:val="20"/>
        </w:rPr>
        <w:t xml:space="preserve">badania </w:t>
      </w:r>
      <w:proofErr w:type="spellStart"/>
      <w:r w:rsidRPr="002211D9">
        <w:rPr>
          <w:sz w:val="20"/>
          <w:szCs w:val="20"/>
        </w:rPr>
        <w:t>Cushman</w:t>
      </w:r>
      <w:proofErr w:type="spellEnd"/>
      <w:r w:rsidRPr="002211D9">
        <w:rPr>
          <w:sz w:val="20"/>
          <w:szCs w:val="20"/>
        </w:rPr>
        <w:t xml:space="preserve"> &amp; Wakefield </w:t>
      </w:r>
      <w:r w:rsidR="002A467C">
        <w:rPr>
          <w:sz w:val="20"/>
          <w:szCs w:val="20"/>
        </w:rPr>
        <w:t xml:space="preserve">inwestorzy oczekują średniej premii cenowej na poziomie ok. 4,3%* dla </w:t>
      </w:r>
      <w:r w:rsidRPr="002211D9">
        <w:rPr>
          <w:sz w:val="20"/>
          <w:szCs w:val="20"/>
        </w:rPr>
        <w:t>hotel</w:t>
      </w:r>
      <w:r w:rsidR="002A467C">
        <w:rPr>
          <w:sz w:val="20"/>
          <w:szCs w:val="20"/>
        </w:rPr>
        <w:t>i</w:t>
      </w:r>
      <w:r w:rsidRPr="002211D9">
        <w:rPr>
          <w:sz w:val="20"/>
          <w:szCs w:val="20"/>
        </w:rPr>
        <w:t xml:space="preserve"> </w:t>
      </w:r>
      <w:r w:rsidR="002A467C">
        <w:rPr>
          <w:sz w:val="20"/>
          <w:szCs w:val="20"/>
        </w:rPr>
        <w:t xml:space="preserve">spełniających </w:t>
      </w:r>
      <w:r w:rsidRPr="002211D9">
        <w:rPr>
          <w:sz w:val="20"/>
          <w:szCs w:val="20"/>
        </w:rPr>
        <w:t>najwyższ</w:t>
      </w:r>
      <w:r w:rsidR="002A467C">
        <w:rPr>
          <w:sz w:val="20"/>
          <w:szCs w:val="20"/>
        </w:rPr>
        <w:t xml:space="preserve">e </w:t>
      </w:r>
      <w:r w:rsidRPr="002211D9">
        <w:rPr>
          <w:sz w:val="20"/>
          <w:szCs w:val="20"/>
        </w:rPr>
        <w:t>parametrach zrównoważonego rozwoju. Oznacza to, że dla właścicieli i inwestorów coraz większe znaczenie ma nie tylko lokalizacja i marka, ale także jakość techniczna budynku, efektywność operacyjna i odporność aktywa w dłuższym horyzoncie.</w:t>
      </w:r>
    </w:p>
    <w:p w14:paraId="1E98D841" w14:textId="77777777" w:rsidR="002A467C" w:rsidRDefault="002A467C" w:rsidP="00136052">
      <w:pPr>
        <w:spacing w:after="0" w:line="240" w:lineRule="auto"/>
        <w:jc w:val="both"/>
        <w:rPr>
          <w:sz w:val="20"/>
          <w:szCs w:val="20"/>
        </w:rPr>
      </w:pPr>
    </w:p>
    <w:p w14:paraId="1256B859" w14:textId="0C6084BC" w:rsidR="002A467C" w:rsidRDefault="002A467C" w:rsidP="002A467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Dodatkowym elementem, który według inwestorów zmieni w najbliższym czasie rynek hotelowy jest sztuczna inteligencja (AI). </w:t>
      </w:r>
      <w:r w:rsidRPr="002A467C">
        <w:rPr>
          <w:sz w:val="20"/>
          <w:szCs w:val="20"/>
        </w:rPr>
        <w:t xml:space="preserve">Zdaniem 81% </w:t>
      </w:r>
      <w:r>
        <w:rPr>
          <w:sz w:val="20"/>
          <w:szCs w:val="20"/>
        </w:rPr>
        <w:t xml:space="preserve">ankietowanych </w:t>
      </w:r>
      <w:r w:rsidRPr="002A467C">
        <w:rPr>
          <w:sz w:val="20"/>
          <w:szCs w:val="20"/>
        </w:rPr>
        <w:t>inwestorów, sztuczna inteligencja będzie miała istotny wpływ na kształtowanie branży hotelowej do 2030 roku lub nawet wcześniej.</w:t>
      </w:r>
      <w:r>
        <w:rPr>
          <w:sz w:val="20"/>
          <w:szCs w:val="20"/>
        </w:rPr>
        <w:t xml:space="preserve"> Zdaniem inwestorów, </w:t>
      </w:r>
      <w:r w:rsidRPr="002A467C">
        <w:rPr>
          <w:sz w:val="20"/>
          <w:szCs w:val="20"/>
        </w:rPr>
        <w:t>wdrażani</w:t>
      </w:r>
      <w:r>
        <w:rPr>
          <w:sz w:val="20"/>
          <w:szCs w:val="20"/>
        </w:rPr>
        <w:t>e</w:t>
      </w:r>
      <w:r w:rsidRPr="002A467C">
        <w:rPr>
          <w:sz w:val="20"/>
          <w:szCs w:val="20"/>
        </w:rPr>
        <w:t xml:space="preserve"> rozwiązań opartych na sztucznej inteligencji</w:t>
      </w:r>
      <w:r>
        <w:rPr>
          <w:sz w:val="20"/>
          <w:szCs w:val="20"/>
        </w:rPr>
        <w:t xml:space="preserve"> będzie miało najkorzystniejszy wpływ na hotele </w:t>
      </w:r>
      <w:r w:rsidRPr="002A467C">
        <w:rPr>
          <w:sz w:val="20"/>
          <w:szCs w:val="20"/>
        </w:rPr>
        <w:t xml:space="preserve">typu </w:t>
      </w:r>
      <w:r>
        <w:rPr>
          <w:sz w:val="20"/>
          <w:szCs w:val="20"/>
        </w:rPr>
        <w:br/>
      </w:r>
      <w:proofErr w:type="spellStart"/>
      <w:r w:rsidRPr="002A467C">
        <w:rPr>
          <w:sz w:val="20"/>
          <w:szCs w:val="20"/>
        </w:rPr>
        <w:t>limited</w:t>
      </w:r>
      <w:proofErr w:type="spellEnd"/>
      <w:r w:rsidRPr="002A467C">
        <w:rPr>
          <w:sz w:val="20"/>
          <w:szCs w:val="20"/>
        </w:rPr>
        <w:t>-service</w:t>
      </w:r>
      <w:r>
        <w:rPr>
          <w:sz w:val="20"/>
          <w:szCs w:val="20"/>
        </w:rPr>
        <w:t>.</w:t>
      </w:r>
    </w:p>
    <w:p w14:paraId="67B73863" w14:textId="77777777" w:rsidR="00CD6B81" w:rsidRDefault="00CD6B81" w:rsidP="00CD6B8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</w:rPr>
      </w:pPr>
    </w:p>
    <w:p w14:paraId="5BC40E88" w14:textId="165DB317" w:rsidR="002A467C" w:rsidRDefault="002A467C" w:rsidP="00CD6B8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eastAsia="Times New Roman"/>
          <w:color w:val="000000" w:themeColor="text1"/>
          <w:sz w:val="20"/>
          <w:szCs w:val="20"/>
          <w:shd w:val="clear" w:color="auto" w:fill="FFFFFF"/>
        </w:rPr>
        <w:t xml:space="preserve">* </w:t>
      </w:r>
      <w:r w:rsidRPr="002A467C">
        <w:rPr>
          <w:rFonts w:eastAsia="Times New Roman"/>
          <w:color w:val="000000" w:themeColor="text1"/>
          <w:sz w:val="20"/>
          <w:szCs w:val="20"/>
          <w:shd w:val="clear" w:color="auto" w:fill="FFFFFF"/>
        </w:rPr>
        <w:t>Średnia ważona obliczona na podstawie wartości środkowych przedziałów</w:t>
      </w:r>
    </w:p>
    <w:p w14:paraId="5B26025D" w14:textId="77777777" w:rsidR="002A467C" w:rsidRPr="00CD6B81" w:rsidRDefault="002A467C" w:rsidP="00CD6B8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</w:rPr>
      </w:pPr>
    </w:p>
    <w:p w14:paraId="0A610C7F" w14:textId="306AB600" w:rsidR="004B3D1A" w:rsidRPr="001141D8" w:rsidRDefault="004B3D1A" w:rsidP="00AC5B79">
      <w:pPr>
        <w:spacing w:after="0" w:line="240" w:lineRule="auto"/>
        <w:jc w:val="both"/>
        <w:rPr>
          <w:b/>
          <w:sz w:val="16"/>
          <w:szCs w:val="16"/>
        </w:rPr>
      </w:pPr>
      <w:r w:rsidRPr="001141D8">
        <w:rPr>
          <w:b/>
          <w:sz w:val="16"/>
          <w:szCs w:val="16"/>
        </w:rPr>
        <w:t xml:space="preserve">O </w:t>
      </w:r>
      <w:proofErr w:type="spellStart"/>
      <w:r w:rsidRPr="001141D8">
        <w:rPr>
          <w:b/>
          <w:sz w:val="16"/>
          <w:szCs w:val="16"/>
        </w:rPr>
        <w:t>Cushman</w:t>
      </w:r>
      <w:proofErr w:type="spellEnd"/>
      <w:r w:rsidRPr="001141D8">
        <w:rPr>
          <w:b/>
          <w:sz w:val="16"/>
          <w:szCs w:val="16"/>
        </w:rPr>
        <w:t xml:space="preserve"> &amp; Wakefiel</w:t>
      </w:r>
      <w:r w:rsidR="00AC6DF8">
        <w:rPr>
          <w:b/>
          <w:sz w:val="16"/>
          <w:szCs w:val="16"/>
        </w:rPr>
        <w:t>d</w:t>
      </w:r>
    </w:p>
    <w:p w14:paraId="482909FA" w14:textId="77777777" w:rsidR="004B3D1A" w:rsidRPr="001141D8" w:rsidRDefault="004B3D1A" w:rsidP="00A31F0C">
      <w:pPr>
        <w:spacing w:after="0" w:line="240" w:lineRule="auto"/>
        <w:jc w:val="both"/>
        <w:rPr>
          <w:b/>
          <w:sz w:val="16"/>
          <w:szCs w:val="16"/>
        </w:rPr>
      </w:pPr>
    </w:p>
    <w:p w14:paraId="683D2189" w14:textId="77777777" w:rsidR="00136052" w:rsidRDefault="00136052" w:rsidP="0013605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en-GB"/>
        </w:rPr>
      </w:pPr>
      <w:proofErr w:type="spellStart"/>
      <w:r w:rsidRPr="00367FE7">
        <w:rPr>
          <w:rFonts w:ascii="Arial" w:hAnsi="Arial" w:cs="Arial"/>
          <w:sz w:val="18"/>
          <w:szCs w:val="18"/>
          <w:lang w:val="pl-PL"/>
        </w:rPr>
        <w:t>Cushman</w:t>
      </w:r>
      <w:proofErr w:type="spellEnd"/>
      <w:r w:rsidRPr="00367FE7">
        <w:rPr>
          <w:rFonts w:ascii="Arial" w:hAnsi="Arial" w:cs="Arial"/>
          <w:sz w:val="18"/>
          <w:szCs w:val="18"/>
          <w:lang w:val="pl-PL"/>
        </w:rPr>
        <w:t xml:space="preserve"> &amp; Wakefield (NYSE: CWK) jest wiodącą na świecie firmą świadczącą usługi na rynku nieruchomości komercyjnych na rzecz najemców i inwestorów. Zatrudnia ok. 53 tys. pracowników w ponad 350 biurach i niemal 60 krajach na całym świecie. W 2025 roku jej przychody wyniosły 10,3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</w:t>
      </w:r>
      <w:r w:rsidRPr="00367FE7">
        <w:rPr>
          <w:rFonts w:ascii="Arial" w:hAnsi="Arial" w:cs="Arial"/>
          <w:i/>
          <w:iCs/>
          <w:sz w:val="18"/>
          <w:szCs w:val="18"/>
          <w:lang w:val="pl-PL"/>
        </w:rPr>
        <w:t> 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Better</w:t>
      </w:r>
      <w:proofErr w:type="spellEnd"/>
      <w:r w:rsidRPr="00367FE7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never</w:t>
      </w:r>
      <w:proofErr w:type="spellEnd"/>
      <w:r w:rsidRPr="00367FE7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settles</w:t>
      </w:r>
      <w:proofErr w:type="spellEnd"/>
      <w:r w:rsidRPr="00367FE7">
        <w:rPr>
          <w:rFonts w:ascii="Arial" w:hAnsi="Arial" w:cs="Arial"/>
          <w:sz w:val="18"/>
          <w:szCs w:val="18"/>
          <w:lang w:val="pl-PL"/>
        </w:rPr>
        <w:t> </w:t>
      </w:r>
      <w:proofErr w:type="spellStart"/>
      <w:r w:rsidRPr="00367FE7">
        <w:rPr>
          <w:rFonts w:ascii="Arial" w:hAnsi="Arial" w:cs="Arial"/>
          <w:sz w:val="18"/>
          <w:szCs w:val="18"/>
          <w:lang w:val="pl-PL"/>
        </w:rPr>
        <w:t>Cushman</w:t>
      </w:r>
      <w:proofErr w:type="spellEnd"/>
      <w:r w:rsidRPr="00367FE7">
        <w:rPr>
          <w:rFonts w:ascii="Arial" w:hAnsi="Arial" w:cs="Arial"/>
          <w:sz w:val="18"/>
          <w:szCs w:val="18"/>
          <w:lang w:val="pl-PL"/>
        </w:rPr>
        <w:t xml:space="preserve"> &amp; Wakefield otrzymuje wiele wyróżnień oraz nagród w konkursach branżowych i biznesowych.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Dodatkowe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informacje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na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stronie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> </w:t>
      </w:r>
      <w:hyperlink r:id="rId8" w:tgtFrame="_blank" w:history="1">
        <w:r w:rsidRPr="00367FE7">
          <w:rPr>
            <w:rStyle w:val="Hyperlink"/>
            <w:rFonts w:eastAsia="Arial"/>
            <w:sz w:val="18"/>
            <w:szCs w:val="18"/>
            <w:lang w:val="en-GB"/>
          </w:rPr>
          <w:t>www.cushmanwakefield.com</w:t>
        </w:r>
      </w:hyperlink>
      <w:r w:rsidRPr="00367FE7">
        <w:rPr>
          <w:rFonts w:ascii="Arial" w:hAnsi="Arial" w:cs="Arial"/>
          <w:sz w:val="18"/>
          <w:szCs w:val="18"/>
          <w:lang w:val="en-GB"/>
        </w:rPr>
        <w:t>.</w:t>
      </w:r>
    </w:p>
    <w:p w14:paraId="55DBB9F7" w14:textId="77777777" w:rsidR="00136052" w:rsidRPr="008F550C" w:rsidRDefault="00136052" w:rsidP="00136052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pl-PL"/>
        </w:rPr>
      </w:pPr>
    </w:p>
    <w:p w14:paraId="569E04D5" w14:textId="0E40F095" w:rsidR="002A467C" w:rsidRPr="00345718" w:rsidRDefault="00A13F0B" w:rsidP="002A467C">
      <w:pPr>
        <w:jc w:val="center"/>
        <w:rPr>
          <w:rFonts w:eastAsia="Times New Roman"/>
          <w:b/>
          <w:bCs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- </w:t>
      </w:r>
      <w:r w:rsidR="00CC60E7" w:rsidRPr="004E5A7E">
        <w:rPr>
          <w:rFonts w:eastAsia="Times New Roman"/>
          <w:b/>
          <w:bCs/>
          <w:sz w:val="16"/>
          <w:szCs w:val="16"/>
          <w:lang w:eastAsia="en-US"/>
        </w:rPr>
        <w:t xml:space="preserve">KONIEC </w:t>
      </w:r>
      <w:r w:rsidR="0085202E">
        <w:rPr>
          <w:rFonts w:eastAsia="Times New Roman"/>
          <w:b/>
          <w:bCs/>
          <w:sz w:val="16"/>
          <w:szCs w:val="16"/>
          <w:lang w:eastAsia="en-US"/>
        </w:rPr>
        <w:t>-</w:t>
      </w:r>
    </w:p>
    <w:sectPr w:rsidR="002A467C" w:rsidRPr="00345718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ECA01" w14:textId="77777777" w:rsidR="003C3F4F" w:rsidRDefault="003C3F4F">
      <w:pPr>
        <w:spacing w:after="0" w:line="240" w:lineRule="auto"/>
      </w:pPr>
      <w:r>
        <w:separator/>
      </w:r>
    </w:p>
  </w:endnote>
  <w:endnote w:type="continuationSeparator" w:id="0">
    <w:p w14:paraId="2E26BD4A" w14:textId="77777777" w:rsidR="003C3F4F" w:rsidRDefault="003C3F4F">
      <w:pPr>
        <w:spacing w:after="0" w:line="240" w:lineRule="auto"/>
      </w:pPr>
      <w:r>
        <w:continuationSeparator/>
      </w:r>
    </w:p>
  </w:endnote>
  <w:endnote w:type="continuationNotice" w:id="1">
    <w:p w14:paraId="56FB7C12" w14:textId="77777777" w:rsidR="003C3F4F" w:rsidRDefault="003C3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</w:tblGrid>
    <w:tr w:rsidR="00C8277A" w:rsidRPr="00345718" w14:paraId="2AD926AD" w14:textId="77777777" w:rsidTr="00345718">
      <w:trPr>
        <w:trHeight w:val="630"/>
      </w:trPr>
      <w:tc>
        <w:tcPr>
          <w:tcW w:w="9923" w:type="dxa"/>
          <w:tcBorders>
            <w:bottom w:val="single" w:sz="4" w:space="0" w:color="auto"/>
          </w:tcBorders>
          <w:vAlign w:val="bottom"/>
        </w:tcPr>
        <w:p w14:paraId="1FB203F7" w14:textId="77777777" w:rsidR="00025C81" w:rsidRDefault="001A4929" w:rsidP="00B924E3">
          <w:pPr>
            <w:pStyle w:val="Heading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956"/>
            <w:gridCol w:w="4957"/>
          </w:tblGrid>
          <w:tr w:rsidR="00345718" w:rsidRPr="00345718" w14:paraId="2C6A4567" w14:textId="77777777" w:rsidTr="00345718">
            <w:tc>
              <w:tcPr>
                <w:tcW w:w="4956" w:type="dxa"/>
                <w:shd w:val="clear" w:color="auto" w:fill="auto"/>
              </w:tcPr>
              <w:p w14:paraId="71A1F1B5" w14:textId="77777777" w:rsidR="00345718" w:rsidRPr="00345718" w:rsidRDefault="00345718" w:rsidP="00345718">
                <w:pPr>
                  <w:spacing w:line="240" w:lineRule="auto"/>
                  <w:rPr>
                    <w:sz w:val="16"/>
                    <w:szCs w:val="16"/>
                    <w:u w:color="696B6B"/>
                  </w:rPr>
                </w:pPr>
                <w:r w:rsidRPr="00345718">
                  <w:rPr>
                    <w:sz w:val="16"/>
                    <w:szCs w:val="16"/>
                    <w:u w:color="696B6B"/>
                  </w:rPr>
                  <w:t xml:space="preserve">Karolina </w:t>
                </w:r>
                <w:proofErr w:type="spellStart"/>
                <w:r w:rsidRPr="00345718">
                  <w:rPr>
                    <w:sz w:val="16"/>
                    <w:szCs w:val="16"/>
                    <w:u w:color="696B6B"/>
                  </w:rPr>
                  <w:t>Samczyńska</w:t>
                </w:r>
                <w:proofErr w:type="spellEnd"/>
              </w:p>
              <w:p w14:paraId="6CC29008" w14:textId="77777777" w:rsidR="00345718" w:rsidRPr="00345718" w:rsidRDefault="00345718" w:rsidP="00345718">
                <w:pPr>
                  <w:spacing w:line="240" w:lineRule="auto"/>
                  <w:rPr>
                    <w:sz w:val="16"/>
                    <w:szCs w:val="16"/>
                    <w:u w:color="696B6B"/>
                  </w:rPr>
                </w:pPr>
                <w:r w:rsidRPr="00345718">
                  <w:rPr>
                    <w:sz w:val="16"/>
                    <w:szCs w:val="16"/>
                    <w:u w:color="696B6B"/>
                  </w:rPr>
                  <w:t xml:space="preserve">Cushman &amp; Wakefield </w:t>
                </w:r>
              </w:p>
              <w:p w14:paraId="7F1C76AB" w14:textId="77777777" w:rsidR="00345718" w:rsidRPr="008A436B" w:rsidRDefault="00345718" w:rsidP="00345718">
                <w:pPr>
                  <w:spacing w:line="240" w:lineRule="auto"/>
                  <w:rPr>
                    <w:rFonts w:eastAsia="Times New Roman"/>
                    <w:sz w:val="16"/>
                    <w:szCs w:val="16"/>
                  </w:rPr>
                </w:pPr>
                <w:r w:rsidRPr="008A436B">
                  <w:rPr>
                    <w:sz w:val="16"/>
                    <w:szCs w:val="16"/>
                    <w:u w:color="696B6B"/>
                  </w:rPr>
                  <w:t>Tel: + 48 22 820 20 20; 691 060 202</w:t>
                </w:r>
              </w:p>
              <w:p w14:paraId="795F5EB1" w14:textId="02017064" w:rsidR="00345718" w:rsidRDefault="00345718" w:rsidP="00345718">
                <w:pPr>
                  <w:spacing w:line="240" w:lineRule="auto"/>
                </w:pPr>
                <w:proofErr w:type="spellStart"/>
                <w:r w:rsidRPr="00345718">
                  <w:rPr>
                    <w:sz w:val="16"/>
                    <w:szCs w:val="16"/>
                    <w:u w:color="696B6B"/>
                    <w:lang w:val="de-DE"/>
                  </w:rPr>
                  <w:t>e-mail</w:t>
                </w:r>
                <w:proofErr w:type="spellEnd"/>
                <w:r w:rsidRPr="00345718">
                  <w:rPr>
                    <w:sz w:val="16"/>
                    <w:szCs w:val="16"/>
                    <w:u w:color="696B6B"/>
                    <w:lang w:val="de-DE"/>
                  </w:rPr>
                  <w:t xml:space="preserve">: </w:t>
                </w:r>
                <w:hyperlink r:id="rId1" w:history="1">
                  <w:r w:rsidRPr="00345718">
                    <w:rPr>
                      <w:rStyle w:val="Hyperlink"/>
                      <w:sz w:val="16"/>
                      <w:szCs w:val="16"/>
                      <w:lang w:val="de-AT"/>
                    </w:rPr>
                    <w:t>karolina.samczynska@cushwake.pl</w:t>
                  </w:r>
                </w:hyperlink>
              </w:p>
            </w:tc>
            <w:tc>
              <w:tcPr>
                <w:tcW w:w="4957" w:type="dxa"/>
                <w:shd w:val="clear" w:color="auto" w:fill="auto"/>
              </w:tcPr>
              <w:p w14:paraId="79B1AE46" w14:textId="77777777" w:rsidR="00345718" w:rsidRPr="008A436B" w:rsidRDefault="00345718" w:rsidP="00345718">
                <w:pPr>
                  <w:spacing w:line="240" w:lineRule="auto"/>
                  <w:rPr>
                    <w:rStyle w:val="Brak"/>
                    <w:color w:val="696B6B"/>
                    <w:sz w:val="16"/>
                    <w:szCs w:val="16"/>
                    <w:u w:color="696B6B"/>
                    <w:lang w:val="pl-PL"/>
                  </w:rPr>
                </w:pPr>
                <w:r w:rsidRPr="008A436B">
                  <w:rPr>
                    <w:rStyle w:val="Brak"/>
                    <w:color w:val="696B6B"/>
                    <w:sz w:val="16"/>
                    <w:szCs w:val="16"/>
                    <w:u w:color="696B6B"/>
                    <w:lang w:val="pl-PL"/>
                  </w:rPr>
                  <w:t>Magdalena Znyk-Ossowska</w:t>
                </w:r>
              </w:p>
              <w:p w14:paraId="3077B030" w14:textId="77777777" w:rsidR="00345718" w:rsidRPr="008A436B" w:rsidRDefault="00345718" w:rsidP="00345718">
                <w:pPr>
                  <w:spacing w:line="240" w:lineRule="auto"/>
                  <w:rPr>
                    <w:rStyle w:val="Brak"/>
                    <w:color w:val="696B6B"/>
                    <w:sz w:val="16"/>
                    <w:szCs w:val="16"/>
                    <w:u w:color="696B6B"/>
                    <w:lang w:val="pl-PL"/>
                  </w:rPr>
                </w:pPr>
                <w:proofErr w:type="spellStart"/>
                <w:r w:rsidRPr="008A436B">
                  <w:rPr>
                    <w:rStyle w:val="Brak"/>
                    <w:color w:val="696B6B"/>
                    <w:sz w:val="16"/>
                    <w:szCs w:val="16"/>
                    <w:u w:color="696B6B"/>
                    <w:lang w:val="pl-PL"/>
                  </w:rPr>
                  <w:t>Linkleaders</w:t>
                </w:r>
                <w:proofErr w:type="spellEnd"/>
              </w:p>
              <w:p w14:paraId="22A909F9" w14:textId="39B80592" w:rsidR="00345718" w:rsidRPr="008A436B" w:rsidRDefault="00345718" w:rsidP="00345718">
                <w:pPr>
                  <w:spacing w:line="240" w:lineRule="auto"/>
                  <w:rPr>
                    <w:rStyle w:val="Brak"/>
                    <w:color w:val="696B6B"/>
                    <w:sz w:val="16"/>
                    <w:szCs w:val="16"/>
                    <w:u w:color="696B6B"/>
                    <w:lang w:val="pl-PL"/>
                  </w:rPr>
                </w:pPr>
                <w:r w:rsidRPr="008A436B">
                  <w:rPr>
                    <w:rStyle w:val="Brak"/>
                    <w:color w:val="696B6B"/>
                    <w:sz w:val="16"/>
                    <w:szCs w:val="16"/>
                    <w:u w:color="696B6B"/>
                    <w:lang w:val="pl-PL"/>
                  </w:rPr>
                  <w:t>Tel: +48 </w:t>
                </w:r>
                <w:r w:rsidRPr="008A436B">
                  <w:rPr>
                    <w:sz w:val="16"/>
                    <w:szCs w:val="16"/>
                    <w:lang w:val="pl-PL"/>
                  </w:rPr>
                  <w:t>502 556 846</w:t>
                </w:r>
              </w:p>
              <w:p w14:paraId="5AC0AAEE" w14:textId="449BABBB" w:rsidR="00345718" w:rsidRPr="00345718" w:rsidRDefault="00345718" w:rsidP="00345718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A436B">
                  <w:rPr>
                    <w:rStyle w:val="Brak"/>
                    <w:color w:val="696B6B"/>
                    <w:sz w:val="16"/>
                    <w:szCs w:val="16"/>
                    <w:u w:color="696B6B"/>
                  </w:rPr>
                  <w:t xml:space="preserve">e-mail: </w:t>
                </w:r>
                <w:hyperlink r:id="rId2" w:history="1">
                  <w:r w:rsidRPr="008A436B">
                    <w:rPr>
                      <w:rStyle w:val="Hyperlink"/>
                      <w:sz w:val="16"/>
                      <w:szCs w:val="16"/>
                    </w:rPr>
                    <w:t>magdalena.ossowska@linkleaders.pl</w:t>
                  </w:r>
                </w:hyperlink>
                <w:r w:rsidRPr="008A436B">
                  <w:rPr>
                    <w:rStyle w:val="Hyperlink0"/>
                    <w:color w:val="008B98"/>
                    <w:sz w:val="16"/>
                    <w:szCs w:val="16"/>
                  </w:rPr>
                  <w:t xml:space="preserve"> </w:t>
                </w:r>
              </w:p>
            </w:tc>
          </w:tr>
        </w:tbl>
        <w:p w14:paraId="46F11C58" w14:textId="77777777" w:rsidR="00345718" w:rsidRPr="00345718" w:rsidRDefault="00345718" w:rsidP="00345718">
          <w:pPr>
            <w:rPr>
              <w:lang w:val="en-US"/>
            </w:rPr>
          </w:pPr>
        </w:p>
      </w:tc>
    </w:tr>
  </w:tbl>
  <w:p w14:paraId="6A6BD428" w14:textId="77777777" w:rsidR="00025C81" w:rsidRPr="005E5701" w:rsidRDefault="00025C81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Heading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 xml:space="preserve">Media </w:t>
          </w:r>
          <w:proofErr w:type="spellStart"/>
          <w:r>
            <w:rPr>
              <w:rFonts w:ascii="Arial" w:eastAsia="Arial" w:hAnsi="Arial" w:cs="Arial"/>
              <w:color w:val="696B6B"/>
            </w:rPr>
            <w:t>Contact</w:t>
          </w:r>
          <w:proofErr w:type="spellEnd"/>
          <w:r>
            <w:rPr>
              <w:rFonts w:ascii="Arial" w:eastAsia="Arial" w:hAnsi="Arial" w:cs="Arial"/>
              <w:color w:val="696B6B"/>
            </w:rPr>
            <w:t>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345718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yperlink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2EBF0" w14:textId="77777777" w:rsidR="003C3F4F" w:rsidRDefault="003C3F4F">
      <w:pPr>
        <w:spacing w:after="0" w:line="240" w:lineRule="auto"/>
      </w:pPr>
      <w:r>
        <w:separator/>
      </w:r>
    </w:p>
  </w:footnote>
  <w:footnote w:type="continuationSeparator" w:id="0">
    <w:p w14:paraId="2712A485" w14:textId="77777777" w:rsidR="003C3F4F" w:rsidRDefault="003C3F4F">
      <w:pPr>
        <w:spacing w:after="0" w:line="240" w:lineRule="auto"/>
      </w:pPr>
      <w:r>
        <w:continuationSeparator/>
      </w:r>
    </w:p>
  </w:footnote>
  <w:footnote w:type="continuationNotice" w:id="1">
    <w:p w14:paraId="20793B2C" w14:textId="77777777" w:rsidR="003C3F4F" w:rsidRDefault="003C3F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24255"/>
    <w:multiLevelType w:val="multilevel"/>
    <w:tmpl w:val="FB3A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36E3C"/>
    <w:multiLevelType w:val="multilevel"/>
    <w:tmpl w:val="82E4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5378689">
    <w:abstractNumId w:val="3"/>
  </w:num>
  <w:num w:numId="2" w16cid:durableId="1580141190">
    <w:abstractNumId w:val="0"/>
  </w:num>
  <w:num w:numId="3" w16cid:durableId="2049640316">
    <w:abstractNumId w:val="2"/>
  </w:num>
  <w:num w:numId="4" w16cid:durableId="1740712504">
    <w:abstractNumId w:val="4"/>
  </w:num>
  <w:num w:numId="5" w16cid:durableId="447504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5FD5"/>
    <w:rsid w:val="00007243"/>
    <w:rsid w:val="00007581"/>
    <w:rsid w:val="00013F59"/>
    <w:rsid w:val="000203A2"/>
    <w:rsid w:val="000251E4"/>
    <w:rsid w:val="00025C81"/>
    <w:rsid w:val="00027F57"/>
    <w:rsid w:val="0003245E"/>
    <w:rsid w:val="0004089E"/>
    <w:rsid w:val="00044C5B"/>
    <w:rsid w:val="00067FD0"/>
    <w:rsid w:val="000700E2"/>
    <w:rsid w:val="00077F2E"/>
    <w:rsid w:val="0008371E"/>
    <w:rsid w:val="00086C80"/>
    <w:rsid w:val="000877BC"/>
    <w:rsid w:val="000A622E"/>
    <w:rsid w:val="000B142D"/>
    <w:rsid w:val="000B29DE"/>
    <w:rsid w:val="000B4EB2"/>
    <w:rsid w:val="000C4210"/>
    <w:rsid w:val="000C585C"/>
    <w:rsid w:val="000D2D28"/>
    <w:rsid w:val="000D4656"/>
    <w:rsid w:val="000D5790"/>
    <w:rsid w:val="000D5FED"/>
    <w:rsid w:val="000D7839"/>
    <w:rsid w:val="000E09A6"/>
    <w:rsid w:val="000F64E0"/>
    <w:rsid w:val="000F7964"/>
    <w:rsid w:val="001013AF"/>
    <w:rsid w:val="001028A2"/>
    <w:rsid w:val="00111135"/>
    <w:rsid w:val="001141D8"/>
    <w:rsid w:val="001146DD"/>
    <w:rsid w:val="0011559A"/>
    <w:rsid w:val="00122668"/>
    <w:rsid w:val="00122C98"/>
    <w:rsid w:val="00132CB9"/>
    <w:rsid w:val="00132F07"/>
    <w:rsid w:val="001356DC"/>
    <w:rsid w:val="00136052"/>
    <w:rsid w:val="00142263"/>
    <w:rsid w:val="00150F3F"/>
    <w:rsid w:val="001635F6"/>
    <w:rsid w:val="00166861"/>
    <w:rsid w:val="00167436"/>
    <w:rsid w:val="00172F2B"/>
    <w:rsid w:val="00174EBA"/>
    <w:rsid w:val="0017521E"/>
    <w:rsid w:val="00175FB4"/>
    <w:rsid w:val="00182C4F"/>
    <w:rsid w:val="00185967"/>
    <w:rsid w:val="0018688B"/>
    <w:rsid w:val="00190FB3"/>
    <w:rsid w:val="0019308C"/>
    <w:rsid w:val="001A4929"/>
    <w:rsid w:val="001A56D9"/>
    <w:rsid w:val="001B5FA0"/>
    <w:rsid w:val="001B7AE3"/>
    <w:rsid w:val="001C0591"/>
    <w:rsid w:val="001C4EC3"/>
    <w:rsid w:val="001D08F3"/>
    <w:rsid w:val="001D401E"/>
    <w:rsid w:val="001E0E42"/>
    <w:rsid w:val="001E16E8"/>
    <w:rsid w:val="001E3C79"/>
    <w:rsid w:val="001E4E45"/>
    <w:rsid w:val="001F7E37"/>
    <w:rsid w:val="00203630"/>
    <w:rsid w:val="00206001"/>
    <w:rsid w:val="002117B9"/>
    <w:rsid w:val="002125FE"/>
    <w:rsid w:val="00216102"/>
    <w:rsid w:val="00217BD6"/>
    <w:rsid w:val="00220D32"/>
    <w:rsid w:val="002211D9"/>
    <w:rsid w:val="002240B1"/>
    <w:rsid w:val="002426EF"/>
    <w:rsid w:val="00246115"/>
    <w:rsid w:val="00251F00"/>
    <w:rsid w:val="00257ED3"/>
    <w:rsid w:val="0026004F"/>
    <w:rsid w:val="00260C7D"/>
    <w:rsid w:val="00261AA0"/>
    <w:rsid w:val="00275982"/>
    <w:rsid w:val="00275F1E"/>
    <w:rsid w:val="00275FDC"/>
    <w:rsid w:val="0028046B"/>
    <w:rsid w:val="00282FB7"/>
    <w:rsid w:val="00284E92"/>
    <w:rsid w:val="00286DC7"/>
    <w:rsid w:val="00293086"/>
    <w:rsid w:val="002956F6"/>
    <w:rsid w:val="002958EB"/>
    <w:rsid w:val="0029652C"/>
    <w:rsid w:val="002967FF"/>
    <w:rsid w:val="002A37FC"/>
    <w:rsid w:val="002A467C"/>
    <w:rsid w:val="002B381B"/>
    <w:rsid w:val="002B4716"/>
    <w:rsid w:val="002B6B39"/>
    <w:rsid w:val="002B6FEA"/>
    <w:rsid w:val="002C1DFF"/>
    <w:rsid w:val="002C262D"/>
    <w:rsid w:val="002C480C"/>
    <w:rsid w:val="002C5887"/>
    <w:rsid w:val="002D0B42"/>
    <w:rsid w:val="002D4EC6"/>
    <w:rsid w:val="002D5829"/>
    <w:rsid w:val="002D7779"/>
    <w:rsid w:val="002E0BB0"/>
    <w:rsid w:val="002E1729"/>
    <w:rsid w:val="002E2D30"/>
    <w:rsid w:val="002F0F48"/>
    <w:rsid w:val="002F14EF"/>
    <w:rsid w:val="00300BC4"/>
    <w:rsid w:val="003018B5"/>
    <w:rsid w:val="00310F8C"/>
    <w:rsid w:val="0032389F"/>
    <w:rsid w:val="0034418D"/>
    <w:rsid w:val="00345718"/>
    <w:rsid w:val="00345D09"/>
    <w:rsid w:val="00346429"/>
    <w:rsid w:val="003507FD"/>
    <w:rsid w:val="0035396B"/>
    <w:rsid w:val="003554A8"/>
    <w:rsid w:val="00364117"/>
    <w:rsid w:val="00374DB8"/>
    <w:rsid w:val="003767DC"/>
    <w:rsid w:val="00385CB8"/>
    <w:rsid w:val="0038604F"/>
    <w:rsid w:val="00387CAF"/>
    <w:rsid w:val="003A70E2"/>
    <w:rsid w:val="003B3560"/>
    <w:rsid w:val="003B78B6"/>
    <w:rsid w:val="003B78C7"/>
    <w:rsid w:val="003C1BBA"/>
    <w:rsid w:val="003C1E58"/>
    <w:rsid w:val="003C3F4F"/>
    <w:rsid w:val="003C5B29"/>
    <w:rsid w:val="003E0201"/>
    <w:rsid w:val="003E3F99"/>
    <w:rsid w:val="003E6993"/>
    <w:rsid w:val="003F00C5"/>
    <w:rsid w:val="003F4AAD"/>
    <w:rsid w:val="003F60EA"/>
    <w:rsid w:val="004001BC"/>
    <w:rsid w:val="00401F41"/>
    <w:rsid w:val="00403626"/>
    <w:rsid w:val="004112C0"/>
    <w:rsid w:val="00413A84"/>
    <w:rsid w:val="004165DB"/>
    <w:rsid w:val="0042183C"/>
    <w:rsid w:val="004329C4"/>
    <w:rsid w:val="0043767F"/>
    <w:rsid w:val="00440D65"/>
    <w:rsid w:val="00443EFE"/>
    <w:rsid w:val="00457545"/>
    <w:rsid w:val="00461B2F"/>
    <w:rsid w:val="00462B62"/>
    <w:rsid w:val="00463441"/>
    <w:rsid w:val="00464434"/>
    <w:rsid w:val="00464B72"/>
    <w:rsid w:val="00466300"/>
    <w:rsid w:val="00466ABC"/>
    <w:rsid w:val="004678CA"/>
    <w:rsid w:val="00471A22"/>
    <w:rsid w:val="004900F3"/>
    <w:rsid w:val="00490581"/>
    <w:rsid w:val="0049367E"/>
    <w:rsid w:val="004A5B66"/>
    <w:rsid w:val="004B0979"/>
    <w:rsid w:val="004B3D1A"/>
    <w:rsid w:val="004C2C37"/>
    <w:rsid w:val="004D005B"/>
    <w:rsid w:val="004D07CC"/>
    <w:rsid w:val="004D16D5"/>
    <w:rsid w:val="004D68AD"/>
    <w:rsid w:val="004D6A3C"/>
    <w:rsid w:val="004D7C3B"/>
    <w:rsid w:val="004E0237"/>
    <w:rsid w:val="004E46E9"/>
    <w:rsid w:val="004E5A7E"/>
    <w:rsid w:val="004E7185"/>
    <w:rsid w:val="00502E72"/>
    <w:rsid w:val="00512047"/>
    <w:rsid w:val="0051329D"/>
    <w:rsid w:val="0051644B"/>
    <w:rsid w:val="00517B59"/>
    <w:rsid w:val="00520076"/>
    <w:rsid w:val="005229AB"/>
    <w:rsid w:val="00531CF4"/>
    <w:rsid w:val="005323BE"/>
    <w:rsid w:val="00532D21"/>
    <w:rsid w:val="005369D7"/>
    <w:rsid w:val="00537747"/>
    <w:rsid w:val="00541019"/>
    <w:rsid w:val="00541D5B"/>
    <w:rsid w:val="00552477"/>
    <w:rsid w:val="00561829"/>
    <w:rsid w:val="00564D89"/>
    <w:rsid w:val="00566AB7"/>
    <w:rsid w:val="00574189"/>
    <w:rsid w:val="00577005"/>
    <w:rsid w:val="00580A25"/>
    <w:rsid w:val="0058421C"/>
    <w:rsid w:val="00585A4F"/>
    <w:rsid w:val="005878DD"/>
    <w:rsid w:val="00591DBB"/>
    <w:rsid w:val="00592299"/>
    <w:rsid w:val="005A0684"/>
    <w:rsid w:val="005A4560"/>
    <w:rsid w:val="005B4657"/>
    <w:rsid w:val="005C01D2"/>
    <w:rsid w:val="005C4360"/>
    <w:rsid w:val="005C6332"/>
    <w:rsid w:val="005D06CC"/>
    <w:rsid w:val="005D3204"/>
    <w:rsid w:val="005D4DD1"/>
    <w:rsid w:val="005D5EEB"/>
    <w:rsid w:val="005E2C9B"/>
    <w:rsid w:val="005E2EC7"/>
    <w:rsid w:val="005E36C1"/>
    <w:rsid w:val="005E49BA"/>
    <w:rsid w:val="005E5701"/>
    <w:rsid w:val="005F629F"/>
    <w:rsid w:val="005F709A"/>
    <w:rsid w:val="006017D2"/>
    <w:rsid w:val="00601B86"/>
    <w:rsid w:val="006020AF"/>
    <w:rsid w:val="00602C47"/>
    <w:rsid w:val="00603782"/>
    <w:rsid w:val="00611ACF"/>
    <w:rsid w:val="00612A79"/>
    <w:rsid w:val="00617929"/>
    <w:rsid w:val="00621951"/>
    <w:rsid w:val="00624E73"/>
    <w:rsid w:val="00625DBC"/>
    <w:rsid w:val="0063470C"/>
    <w:rsid w:val="00634853"/>
    <w:rsid w:val="00634A82"/>
    <w:rsid w:val="006367C0"/>
    <w:rsid w:val="00647BF0"/>
    <w:rsid w:val="00654588"/>
    <w:rsid w:val="00656FF5"/>
    <w:rsid w:val="00661892"/>
    <w:rsid w:val="00662194"/>
    <w:rsid w:val="00670CB1"/>
    <w:rsid w:val="006714A0"/>
    <w:rsid w:val="00674476"/>
    <w:rsid w:val="00674AAF"/>
    <w:rsid w:val="0067607F"/>
    <w:rsid w:val="006807CC"/>
    <w:rsid w:val="00682F1F"/>
    <w:rsid w:val="0068616F"/>
    <w:rsid w:val="0069258A"/>
    <w:rsid w:val="00695E5E"/>
    <w:rsid w:val="006A32B9"/>
    <w:rsid w:val="006B114D"/>
    <w:rsid w:val="006B635B"/>
    <w:rsid w:val="006B6EBE"/>
    <w:rsid w:val="006C449A"/>
    <w:rsid w:val="006C62BD"/>
    <w:rsid w:val="006D189F"/>
    <w:rsid w:val="006D1EF1"/>
    <w:rsid w:val="006D68E0"/>
    <w:rsid w:val="006E2DCD"/>
    <w:rsid w:val="006E5816"/>
    <w:rsid w:val="006F06A0"/>
    <w:rsid w:val="007014E6"/>
    <w:rsid w:val="00703171"/>
    <w:rsid w:val="007117C4"/>
    <w:rsid w:val="00712194"/>
    <w:rsid w:val="00717324"/>
    <w:rsid w:val="00725E13"/>
    <w:rsid w:val="007326D4"/>
    <w:rsid w:val="00742036"/>
    <w:rsid w:val="007434AC"/>
    <w:rsid w:val="0075095C"/>
    <w:rsid w:val="00751E88"/>
    <w:rsid w:val="00753387"/>
    <w:rsid w:val="007640FE"/>
    <w:rsid w:val="00770B4C"/>
    <w:rsid w:val="00771251"/>
    <w:rsid w:val="00775E16"/>
    <w:rsid w:val="00782A9B"/>
    <w:rsid w:val="007871D4"/>
    <w:rsid w:val="00790531"/>
    <w:rsid w:val="00790E9B"/>
    <w:rsid w:val="0079250E"/>
    <w:rsid w:val="007A354E"/>
    <w:rsid w:val="007A6E6F"/>
    <w:rsid w:val="007B0283"/>
    <w:rsid w:val="007B1B45"/>
    <w:rsid w:val="007B20DD"/>
    <w:rsid w:val="007B54E0"/>
    <w:rsid w:val="007C1D76"/>
    <w:rsid w:val="007C3DD5"/>
    <w:rsid w:val="007C54F5"/>
    <w:rsid w:val="007C69D0"/>
    <w:rsid w:val="007D2192"/>
    <w:rsid w:val="007E0F3E"/>
    <w:rsid w:val="007F5890"/>
    <w:rsid w:val="008014DA"/>
    <w:rsid w:val="00802ECA"/>
    <w:rsid w:val="008071F6"/>
    <w:rsid w:val="0081370C"/>
    <w:rsid w:val="0082036C"/>
    <w:rsid w:val="0082356E"/>
    <w:rsid w:val="00824D18"/>
    <w:rsid w:val="0083179A"/>
    <w:rsid w:val="00842064"/>
    <w:rsid w:val="0084290C"/>
    <w:rsid w:val="00843BB8"/>
    <w:rsid w:val="0085202E"/>
    <w:rsid w:val="00856BE4"/>
    <w:rsid w:val="00862433"/>
    <w:rsid w:val="00866DDD"/>
    <w:rsid w:val="00871766"/>
    <w:rsid w:val="00872092"/>
    <w:rsid w:val="00872936"/>
    <w:rsid w:val="00874BB3"/>
    <w:rsid w:val="008753CF"/>
    <w:rsid w:val="008772B7"/>
    <w:rsid w:val="00880E20"/>
    <w:rsid w:val="00881769"/>
    <w:rsid w:val="00882E1D"/>
    <w:rsid w:val="00885E0C"/>
    <w:rsid w:val="00895809"/>
    <w:rsid w:val="00895F80"/>
    <w:rsid w:val="008972B1"/>
    <w:rsid w:val="008974F3"/>
    <w:rsid w:val="008A06E7"/>
    <w:rsid w:val="008A26A0"/>
    <w:rsid w:val="008B4539"/>
    <w:rsid w:val="008C14E5"/>
    <w:rsid w:val="008C42CD"/>
    <w:rsid w:val="008C5B41"/>
    <w:rsid w:val="008E5B6C"/>
    <w:rsid w:val="008F2C02"/>
    <w:rsid w:val="008F2CFF"/>
    <w:rsid w:val="008F3C62"/>
    <w:rsid w:val="008F7EA7"/>
    <w:rsid w:val="009002DA"/>
    <w:rsid w:val="00904E04"/>
    <w:rsid w:val="00905F4B"/>
    <w:rsid w:val="00911FF4"/>
    <w:rsid w:val="00914465"/>
    <w:rsid w:val="0091784B"/>
    <w:rsid w:val="00920BE7"/>
    <w:rsid w:val="00921FC7"/>
    <w:rsid w:val="00941B66"/>
    <w:rsid w:val="00943336"/>
    <w:rsid w:val="00946C47"/>
    <w:rsid w:val="00953475"/>
    <w:rsid w:val="00956547"/>
    <w:rsid w:val="00962A05"/>
    <w:rsid w:val="00965609"/>
    <w:rsid w:val="0096608A"/>
    <w:rsid w:val="00967B91"/>
    <w:rsid w:val="00971AF5"/>
    <w:rsid w:val="00976C95"/>
    <w:rsid w:val="00976E24"/>
    <w:rsid w:val="00977AE0"/>
    <w:rsid w:val="0098288E"/>
    <w:rsid w:val="00986A60"/>
    <w:rsid w:val="009902A1"/>
    <w:rsid w:val="00992CE7"/>
    <w:rsid w:val="00994AF6"/>
    <w:rsid w:val="00997139"/>
    <w:rsid w:val="009A1D96"/>
    <w:rsid w:val="009A7442"/>
    <w:rsid w:val="009B5AB3"/>
    <w:rsid w:val="009B7F16"/>
    <w:rsid w:val="009C075D"/>
    <w:rsid w:val="009C5621"/>
    <w:rsid w:val="009D025D"/>
    <w:rsid w:val="009D148D"/>
    <w:rsid w:val="009D233E"/>
    <w:rsid w:val="009D31EC"/>
    <w:rsid w:val="009E0B82"/>
    <w:rsid w:val="009E408E"/>
    <w:rsid w:val="009E4572"/>
    <w:rsid w:val="009E7575"/>
    <w:rsid w:val="009F15E7"/>
    <w:rsid w:val="009F196F"/>
    <w:rsid w:val="009F35CD"/>
    <w:rsid w:val="00A06149"/>
    <w:rsid w:val="00A0629B"/>
    <w:rsid w:val="00A10255"/>
    <w:rsid w:val="00A104C1"/>
    <w:rsid w:val="00A12517"/>
    <w:rsid w:val="00A12551"/>
    <w:rsid w:val="00A12BAB"/>
    <w:rsid w:val="00A13F0B"/>
    <w:rsid w:val="00A17001"/>
    <w:rsid w:val="00A176AA"/>
    <w:rsid w:val="00A201A3"/>
    <w:rsid w:val="00A2466A"/>
    <w:rsid w:val="00A31C14"/>
    <w:rsid w:val="00A31F0C"/>
    <w:rsid w:val="00A344ED"/>
    <w:rsid w:val="00A44A37"/>
    <w:rsid w:val="00A46644"/>
    <w:rsid w:val="00A47FCD"/>
    <w:rsid w:val="00A54E85"/>
    <w:rsid w:val="00A550BB"/>
    <w:rsid w:val="00A55BAF"/>
    <w:rsid w:val="00A63543"/>
    <w:rsid w:val="00A74CD5"/>
    <w:rsid w:val="00A758B5"/>
    <w:rsid w:val="00A840D5"/>
    <w:rsid w:val="00A91E08"/>
    <w:rsid w:val="00A959F1"/>
    <w:rsid w:val="00A97D53"/>
    <w:rsid w:val="00AA04FC"/>
    <w:rsid w:val="00AA15B2"/>
    <w:rsid w:val="00AA2003"/>
    <w:rsid w:val="00AA69D2"/>
    <w:rsid w:val="00AB1473"/>
    <w:rsid w:val="00AB6698"/>
    <w:rsid w:val="00AB7FD0"/>
    <w:rsid w:val="00AC5B79"/>
    <w:rsid w:val="00AC6DF8"/>
    <w:rsid w:val="00AD1D8B"/>
    <w:rsid w:val="00AD30C6"/>
    <w:rsid w:val="00AD3963"/>
    <w:rsid w:val="00AE0D01"/>
    <w:rsid w:val="00AF11EE"/>
    <w:rsid w:val="00AF254B"/>
    <w:rsid w:val="00B01460"/>
    <w:rsid w:val="00B0179B"/>
    <w:rsid w:val="00B022DB"/>
    <w:rsid w:val="00B077A8"/>
    <w:rsid w:val="00B133BB"/>
    <w:rsid w:val="00B14FED"/>
    <w:rsid w:val="00B15D9B"/>
    <w:rsid w:val="00B15EE3"/>
    <w:rsid w:val="00B2047D"/>
    <w:rsid w:val="00B22689"/>
    <w:rsid w:val="00B27B61"/>
    <w:rsid w:val="00B37EEB"/>
    <w:rsid w:val="00B43765"/>
    <w:rsid w:val="00B44499"/>
    <w:rsid w:val="00B4722F"/>
    <w:rsid w:val="00B57D96"/>
    <w:rsid w:val="00B60539"/>
    <w:rsid w:val="00B62C50"/>
    <w:rsid w:val="00B6594B"/>
    <w:rsid w:val="00B6706E"/>
    <w:rsid w:val="00B70FF6"/>
    <w:rsid w:val="00B77D91"/>
    <w:rsid w:val="00B812E5"/>
    <w:rsid w:val="00B83758"/>
    <w:rsid w:val="00B842A3"/>
    <w:rsid w:val="00B86C86"/>
    <w:rsid w:val="00B95B93"/>
    <w:rsid w:val="00B970B4"/>
    <w:rsid w:val="00BB3ADA"/>
    <w:rsid w:val="00BB5B1C"/>
    <w:rsid w:val="00BB5E4C"/>
    <w:rsid w:val="00BC2537"/>
    <w:rsid w:val="00BC4E98"/>
    <w:rsid w:val="00BD1331"/>
    <w:rsid w:val="00BD14D7"/>
    <w:rsid w:val="00BD2944"/>
    <w:rsid w:val="00BD7D05"/>
    <w:rsid w:val="00BE0588"/>
    <w:rsid w:val="00BE10E3"/>
    <w:rsid w:val="00BE3533"/>
    <w:rsid w:val="00BE4E4B"/>
    <w:rsid w:val="00BE7960"/>
    <w:rsid w:val="00BF4150"/>
    <w:rsid w:val="00C0163F"/>
    <w:rsid w:val="00C02E1C"/>
    <w:rsid w:val="00C0604F"/>
    <w:rsid w:val="00C06706"/>
    <w:rsid w:val="00C11029"/>
    <w:rsid w:val="00C11181"/>
    <w:rsid w:val="00C12505"/>
    <w:rsid w:val="00C2105E"/>
    <w:rsid w:val="00C22606"/>
    <w:rsid w:val="00C247D4"/>
    <w:rsid w:val="00C303DB"/>
    <w:rsid w:val="00C308E0"/>
    <w:rsid w:val="00C31642"/>
    <w:rsid w:val="00C33DDD"/>
    <w:rsid w:val="00C40209"/>
    <w:rsid w:val="00C45FBA"/>
    <w:rsid w:val="00C50CBE"/>
    <w:rsid w:val="00C51371"/>
    <w:rsid w:val="00C540CB"/>
    <w:rsid w:val="00C54EBE"/>
    <w:rsid w:val="00C566FF"/>
    <w:rsid w:val="00C57B80"/>
    <w:rsid w:val="00C61185"/>
    <w:rsid w:val="00C65501"/>
    <w:rsid w:val="00C679F5"/>
    <w:rsid w:val="00C75D9E"/>
    <w:rsid w:val="00C767D5"/>
    <w:rsid w:val="00C80B91"/>
    <w:rsid w:val="00C8288B"/>
    <w:rsid w:val="00C84B50"/>
    <w:rsid w:val="00C92A7E"/>
    <w:rsid w:val="00CB2FB2"/>
    <w:rsid w:val="00CB4778"/>
    <w:rsid w:val="00CB4793"/>
    <w:rsid w:val="00CB7946"/>
    <w:rsid w:val="00CB7A18"/>
    <w:rsid w:val="00CC0935"/>
    <w:rsid w:val="00CC60E7"/>
    <w:rsid w:val="00CC7487"/>
    <w:rsid w:val="00CD6B81"/>
    <w:rsid w:val="00CD706B"/>
    <w:rsid w:val="00CE06A3"/>
    <w:rsid w:val="00CE19CA"/>
    <w:rsid w:val="00CE213B"/>
    <w:rsid w:val="00CE6EBF"/>
    <w:rsid w:val="00CF0AA6"/>
    <w:rsid w:val="00CF6633"/>
    <w:rsid w:val="00D076D0"/>
    <w:rsid w:val="00D134DC"/>
    <w:rsid w:val="00D20FAA"/>
    <w:rsid w:val="00D2329B"/>
    <w:rsid w:val="00D27C9A"/>
    <w:rsid w:val="00D36A8C"/>
    <w:rsid w:val="00D428F4"/>
    <w:rsid w:val="00D43181"/>
    <w:rsid w:val="00D4536C"/>
    <w:rsid w:val="00D45C41"/>
    <w:rsid w:val="00D461DE"/>
    <w:rsid w:val="00D50DE5"/>
    <w:rsid w:val="00D54B27"/>
    <w:rsid w:val="00D63DA8"/>
    <w:rsid w:val="00D73A86"/>
    <w:rsid w:val="00D74BA3"/>
    <w:rsid w:val="00D804D2"/>
    <w:rsid w:val="00D81E2F"/>
    <w:rsid w:val="00D83060"/>
    <w:rsid w:val="00D84A2D"/>
    <w:rsid w:val="00D8749B"/>
    <w:rsid w:val="00DA4CF2"/>
    <w:rsid w:val="00DA4D01"/>
    <w:rsid w:val="00DB11D4"/>
    <w:rsid w:val="00DB227F"/>
    <w:rsid w:val="00DB7344"/>
    <w:rsid w:val="00DC4DFC"/>
    <w:rsid w:val="00DC4E2C"/>
    <w:rsid w:val="00DC5105"/>
    <w:rsid w:val="00DD20D1"/>
    <w:rsid w:val="00DD64C5"/>
    <w:rsid w:val="00DD6F6E"/>
    <w:rsid w:val="00DE14E2"/>
    <w:rsid w:val="00DE15AC"/>
    <w:rsid w:val="00DE2C36"/>
    <w:rsid w:val="00DE2F94"/>
    <w:rsid w:val="00DE6B35"/>
    <w:rsid w:val="00DE70C2"/>
    <w:rsid w:val="00DF0675"/>
    <w:rsid w:val="00DF4FE6"/>
    <w:rsid w:val="00DF6FDA"/>
    <w:rsid w:val="00DF7E2B"/>
    <w:rsid w:val="00E00E52"/>
    <w:rsid w:val="00E05885"/>
    <w:rsid w:val="00E10BFB"/>
    <w:rsid w:val="00E1249A"/>
    <w:rsid w:val="00E12880"/>
    <w:rsid w:val="00E14D9E"/>
    <w:rsid w:val="00E21904"/>
    <w:rsid w:val="00E21E99"/>
    <w:rsid w:val="00E2228E"/>
    <w:rsid w:val="00E30FFC"/>
    <w:rsid w:val="00E327A1"/>
    <w:rsid w:val="00E33EF0"/>
    <w:rsid w:val="00E37CB8"/>
    <w:rsid w:val="00E4016D"/>
    <w:rsid w:val="00E45FF2"/>
    <w:rsid w:val="00E510C4"/>
    <w:rsid w:val="00E530B7"/>
    <w:rsid w:val="00E54066"/>
    <w:rsid w:val="00E611A2"/>
    <w:rsid w:val="00E61BAB"/>
    <w:rsid w:val="00E634E8"/>
    <w:rsid w:val="00E738D5"/>
    <w:rsid w:val="00E73B0D"/>
    <w:rsid w:val="00E777C8"/>
    <w:rsid w:val="00E8011B"/>
    <w:rsid w:val="00E81EE4"/>
    <w:rsid w:val="00E82DCD"/>
    <w:rsid w:val="00E83444"/>
    <w:rsid w:val="00E849E6"/>
    <w:rsid w:val="00E84DD9"/>
    <w:rsid w:val="00E870C1"/>
    <w:rsid w:val="00E909E6"/>
    <w:rsid w:val="00E90B70"/>
    <w:rsid w:val="00E924EC"/>
    <w:rsid w:val="00EA27C3"/>
    <w:rsid w:val="00EA2BEE"/>
    <w:rsid w:val="00EA5F36"/>
    <w:rsid w:val="00EA7A70"/>
    <w:rsid w:val="00EB15F9"/>
    <w:rsid w:val="00EB2AAE"/>
    <w:rsid w:val="00EC07F6"/>
    <w:rsid w:val="00ED7B80"/>
    <w:rsid w:val="00EE0CC2"/>
    <w:rsid w:val="00EE18F8"/>
    <w:rsid w:val="00EE31D9"/>
    <w:rsid w:val="00EE69FF"/>
    <w:rsid w:val="00EF0C53"/>
    <w:rsid w:val="00EF368A"/>
    <w:rsid w:val="00EF6F9D"/>
    <w:rsid w:val="00EF7495"/>
    <w:rsid w:val="00F038F0"/>
    <w:rsid w:val="00F04E2C"/>
    <w:rsid w:val="00F06CE8"/>
    <w:rsid w:val="00F0783D"/>
    <w:rsid w:val="00F14E08"/>
    <w:rsid w:val="00F203B0"/>
    <w:rsid w:val="00F20CD7"/>
    <w:rsid w:val="00F210E9"/>
    <w:rsid w:val="00F2150A"/>
    <w:rsid w:val="00F22AF0"/>
    <w:rsid w:val="00F2754E"/>
    <w:rsid w:val="00F33929"/>
    <w:rsid w:val="00F35BB4"/>
    <w:rsid w:val="00F42C1C"/>
    <w:rsid w:val="00F473DB"/>
    <w:rsid w:val="00F4744B"/>
    <w:rsid w:val="00F504FB"/>
    <w:rsid w:val="00F5086B"/>
    <w:rsid w:val="00F55691"/>
    <w:rsid w:val="00F65724"/>
    <w:rsid w:val="00F66561"/>
    <w:rsid w:val="00F71390"/>
    <w:rsid w:val="00F73E1F"/>
    <w:rsid w:val="00F76135"/>
    <w:rsid w:val="00F77459"/>
    <w:rsid w:val="00F809EE"/>
    <w:rsid w:val="00F844E6"/>
    <w:rsid w:val="00F84BE4"/>
    <w:rsid w:val="00F909DB"/>
    <w:rsid w:val="00F9314E"/>
    <w:rsid w:val="00F9432D"/>
    <w:rsid w:val="00F9475F"/>
    <w:rsid w:val="00F95625"/>
    <w:rsid w:val="00F96DDB"/>
    <w:rsid w:val="00F97BD5"/>
    <w:rsid w:val="00FA1388"/>
    <w:rsid w:val="00FA1A07"/>
    <w:rsid w:val="00FA3A92"/>
    <w:rsid w:val="00FA5355"/>
    <w:rsid w:val="00FB5272"/>
    <w:rsid w:val="00FB6C2F"/>
    <w:rsid w:val="00FC0091"/>
    <w:rsid w:val="00FC10E9"/>
    <w:rsid w:val="00FC57BC"/>
    <w:rsid w:val="00FC5D7E"/>
    <w:rsid w:val="00FD01E1"/>
    <w:rsid w:val="00FD13B2"/>
    <w:rsid w:val="00FD4DFC"/>
    <w:rsid w:val="00FD6173"/>
    <w:rsid w:val="00FE3132"/>
    <w:rsid w:val="00FE47F2"/>
    <w:rsid w:val="00FE4B92"/>
    <w:rsid w:val="00FE6C0D"/>
    <w:rsid w:val="00FF10DD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A2D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2D"/>
    <w:rPr>
      <w:rFonts w:ascii="Arial" w:eastAsia="Arial" w:hAnsi="Arial" w:cs="Arial"/>
      <w:lang w:eastAsia="pl-PL"/>
    </w:rPr>
  </w:style>
  <w:style w:type="character" w:styleId="Hyperlink">
    <w:name w:val="Hyperlink"/>
    <w:basedOn w:val="DefaultParagraphFont"/>
    <w:unhideWhenUsed/>
    <w:qFormat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Heading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976C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FE31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/>
    <w:rsid w:val="00E909E6"/>
    <w:rPr>
      <w:i/>
      <w:iCs/>
    </w:rPr>
  </w:style>
  <w:style w:type="character" w:customStyle="1" w:styleId="cf01">
    <w:name w:val="cf01"/>
    <w:basedOn w:val="DefaultParagraphFont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75E16"/>
  </w:style>
  <w:style w:type="paragraph" w:styleId="ListParagraph">
    <w:name w:val="List Paragraph"/>
    <w:basedOn w:val="Normal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efaultParagraphFont"/>
    <w:rsid w:val="00C0604F"/>
  </w:style>
  <w:style w:type="character" w:customStyle="1" w:styleId="eop">
    <w:name w:val="eop"/>
    <w:basedOn w:val="DefaultParagraphFont"/>
    <w:rsid w:val="00C0604F"/>
  </w:style>
  <w:style w:type="paragraph" w:customStyle="1" w:styleId="pf0">
    <w:name w:val="pf0"/>
    <w:basedOn w:val="Normal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FF6"/>
    <w:rPr>
      <w:color w:val="954F72" w:themeColor="followedHyperlink"/>
      <w:u w:val="single"/>
    </w:rPr>
  </w:style>
  <w:style w:type="paragraph" w:customStyle="1" w:styleId="xdefault">
    <w:name w:val="x_default"/>
    <w:basedOn w:val="Normal"/>
    <w:rsid w:val="000E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8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2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hmanwakefield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gdalena.ossowska@linkleaders.pl" TargetMode="External"/><Relationship Id="rId1" Type="http://schemas.openxmlformats.org/officeDocument/2006/relationships/hyperlink" Target="mailto:karolina.samczynska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6107-656D-4D01-9627-337AEBCB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magdalena ossowska</cp:lastModifiedBy>
  <cp:revision>9</cp:revision>
  <dcterms:created xsi:type="dcterms:W3CDTF">2026-04-26T17:33:00Z</dcterms:created>
  <dcterms:modified xsi:type="dcterms:W3CDTF">2026-04-28T07:27:00Z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</Properties>
</file>