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514B47E7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Warszawa</w:t>
      </w:r>
      <w:r w:rsidR="00300D74">
        <w:rPr>
          <w:rFonts w:ascii="Calibri" w:eastAsia="Calibri" w:hAnsi="Calibri" w:cs="Calibri"/>
          <w:color w:val="000000" w:themeColor="text1"/>
          <w:sz w:val="22"/>
        </w:rPr>
        <w:t>, 2</w:t>
      </w:r>
      <w:r w:rsidR="00DC2128">
        <w:rPr>
          <w:rFonts w:ascii="Calibri" w:eastAsia="Calibri" w:hAnsi="Calibri" w:cs="Calibri"/>
          <w:color w:val="000000" w:themeColor="text1"/>
          <w:sz w:val="22"/>
        </w:rPr>
        <w:t>8</w:t>
      </w:r>
      <w:r w:rsidR="00461B05">
        <w:rPr>
          <w:rFonts w:ascii="Calibri" w:eastAsia="Calibri" w:hAnsi="Calibri" w:cs="Calibri"/>
          <w:color w:val="000000" w:themeColor="text1"/>
          <w:sz w:val="22"/>
        </w:rPr>
        <w:t>.04.</w:t>
      </w:r>
      <w:r w:rsidRPr="007A1D43">
        <w:rPr>
          <w:rFonts w:ascii="Calibri" w:eastAsia="Calibri" w:hAnsi="Calibri" w:cs="Calibri"/>
          <w:color w:val="000000" w:themeColor="text1"/>
          <w:sz w:val="22"/>
        </w:rPr>
        <w:t>2026 r.</w:t>
      </w:r>
    </w:p>
    <w:p w14:paraId="787A21A0" w14:textId="77777777" w:rsidR="00461B05" w:rsidRDefault="00461B05" w:rsidP="0056675D">
      <w:pPr>
        <w:jc w:val="center"/>
        <w:rPr>
          <w:b/>
          <w:bCs/>
        </w:rPr>
      </w:pPr>
    </w:p>
    <w:p w14:paraId="2E38129D" w14:textId="78D690A9" w:rsidR="00461B05" w:rsidRDefault="0056675D" w:rsidP="00754501">
      <w:pPr>
        <w:jc w:val="center"/>
        <w:rPr>
          <w:b/>
          <w:bCs/>
        </w:rPr>
      </w:pPr>
      <w:r w:rsidRPr="0056675D">
        <w:rPr>
          <w:b/>
          <w:bCs/>
        </w:rPr>
        <w:t xml:space="preserve">IKE i IKZE z dostępem do </w:t>
      </w:r>
      <w:r w:rsidR="00261EF5">
        <w:rPr>
          <w:b/>
          <w:bCs/>
        </w:rPr>
        <w:t>ETF-ów i akcji</w:t>
      </w:r>
      <w:r w:rsidR="00261EF5" w:rsidRPr="0056675D">
        <w:rPr>
          <w:b/>
          <w:bCs/>
        </w:rPr>
        <w:t xml:space="preserve"> </w:t>
      </w:r>
      <w:r w:rsidRPr="0056675D">
        <w:rPr>
          <w:b/>
          <w:bCs/>
        </w:rPr>
        <w:t xml:space="preserve">zagranicznych – nowe możliwości inwestycyjne </w:t>
      </w:r>
      <w:r w:rsidR="00DC28AE">
        <w:rPr>
          <w:b/>
          <w:bCs/>
        </w:rPr>
        <w:t xml:space="preserve">w Biurze Maklerskim </w:t>
      </w:r>
      <w:r w:rsidRPr="0056675D">
        <w:rPr>
          <w:b/>
          <w:bCs/>
        </w:rPr>
        <w:t>Alior Banku</w:t>
      </w:r>
    </w:p>
    <w:p w14:paraId="59BF01AC" w14:textId="53895298" w:rsidR="0056675D" w:rsidRDefault="0056675D">
      <w:pPr>
        <w:jc w:val="both"/>
        <w:rPr>
          <w:b/>
          <w:bCs/>
        </w:rPr>
      </w:pPr>
      <w:r w:rsidRPr="0056675D">
        <w:rPr>
          <w:b/>
          <w:bCs/>
        </w:rPr>
        <w:t>Klienci Alior Banku posiadający rachunki maklerskie IKE i IKZE od</w:t>
      </w:r>
      <w:r w:rsidR="00300D74">
        <w:rPr>
          <w:b/>
          <w:bCs/>
        </w:rPr>
        <w:t xml:space="preserve"> 2</w:t>
      </w:r>
      <w:r w:rsidR="003B0D9D">
        <w:rPr>
          <w:b/>
          <w:bCs/>
        </w:rPr>
        <w:t>8</w:t>
      </w:r>
      <w:r w:rsidRPr="0056675D">
        <w:rPr>
          <w:b/>
          <w:bCs/>
        </w:rPr>
        <w:t xml:space="preserve"> kwietnia 2026 r. </w:t>
      </w:r>
      <w:r w:rsidR="00261EF5">
        <w:rPr>
          <w:b/>
          <w:bCs/>
        </w:rPr>
        <w:t xml:space="preserve">zyskają możliwość </w:t>
      </w:r>
      <w:r w:rsidRPr="0056675D">
        <w:rPr>
          <w:b/>
          <w:bCs/>
        </w:rPr>
        <w:t>inwestowa</w:t>
      </w:r>
      <w:r w:rsidR="00261EF5">
        <w:rPr>
          <w:b/>
          <w:bCs/>
        </w:rPr>
        <w:t>nia</w:t>
      </w:r>
      <w:r w:rsidRPr="0056675D">
        <w:rPr>
          <w:b/>
          <w:bCs/>
        </w:rPr>
        <w:t xml:space="preserve"> na rynkach zagranicznych, zachowując </w:t>
      </w:r>
      <w:r w:rsidR="00261EF5">
        <w:rPr>
          <w:b/>
          <w:bCs/>
        </w:rPr>
        <w:t xml:space="preserve">pełne </w:t>
      </w:r>
      <w:r w:rsidRPr="0056675D">
        <w:rPr>
          <w:b/>
          <w:bCs/>
        </w:rPr>
        <w:t xml:space="preserve">korzyści podatkowe wynikające z prowadzenia kont emerytalnych. Nowa funkcjonalność </w:t>
      </w:r>
      <w:r w:rsidR="00261EF5">
        <w:rPr>
          <w:b/>
          <w:bCs/>
        </w:rPr>
        <w:t>umożliwia budowanie globalnie z</w:t>
      </w:r>
      <w:r w:rsidRPr="0056675D">
        <w:rPr>
          <w:b/>
          <w:bCs/>
        </w:rPr>
        <w:t>dywersyfik</w:t>
      </w:r>
      <w:r w:rsidR="00261EF5">
        <w:rPr>
          <w:b/>
          <w:bCs/>
        </w:rPr>
        <w:t>owanego</w:t>
      </w:r>
      <w:r w:rsidRPr="0056675D">
        <w:rPr>
          <w:b/>
          <w:bCs/>
        </w:rPr>
        <w:t xml:space="preserve"> portfela emerytalnego</w:t>
      </w:r>
      <w:r w:rsidR="00CB56EB">
        <w:rPr>
          <w:b/>
          <w:bCs/>
        </w:rPr>
        <w:t>,</w:t>
      </w:r>
      <w:r w:rsidR="00261EF5">
        <w:rPr>
          <w:b/>
          <w:bCs/>
        </w:rPr>
        <w:t xml:space="preserve"> w tym</w:t>
      </w:r>
      <w:r w:rsidR="0066572D">
        <w:rPr>
          <w:b/>
          <w:bCs/>
        </w:rPr>
        <w:t xml:space="preserve"> pasywne</w:t>
      </w:r>
      <w:r w:rsidR="00261EF5">
        <w:rPr>
          <w:b/>
          <w:bCs/>
        </w:rPr>
        <w:t xml:space="preserve"> inwestowanie w zagraniczne fundusze</w:t>
      </w:r>
      <w:r w:rsidR="0066572D">
        <w:rPr>
          <w:b/>
          <w:bCs/>
        </w:rPr>
        <w:t xml:space="preserve"> ETF</w:t>
      </w:r>
      <w:r w:rsidR="00726862">
        <w:rPr>
          <w:b/>
          <w:bCs/>
        </w:rPr>
        <w:t>.</w:t>
      </w:r>
    </w:p>
    <w:p w14:paraId="3C713C3C" w14:textId="75A7DF9A" w:rsidR="00726862" w:rsidRDefault="00726862" w:rsidP="00455133">
      <w:pPr>
        <w:jc w:val="both"/>
      </w:pPr>
      <w:r w:rsidRPr="00726862">
        <w:t>Dzięki rozszerzeniu oferty</w:t>
      </w:r>
      <w:r>
        <w:t>,</w:t>
      </w:r>
      <w:r w:rsidRPr="00726862">
        <w:t xml:space="preserve"> klienci </w:t>
      </w:r>
      <w:r w:rsidR="0066572D">
        <w:t xml:space="preserve">poza </w:t>
      </w:r>
      <w:r w:rsidR="008728CB">
        <w:t xml:space="preserve">obecnym </w:t>
      </w:r>
      <w:r w:rsidR="00F94410">
        <w:t xml:space="preserve">dostępem do </w:t>
      </w:r>
      <w:r w:rsidR="0066572D">
        <w:t>GPW w Warszawie</w:t>
      </w:r>
      <w:r w:rsidR="00F94410">
        <w:t>,</w:t>
      </w:r>
      <w:r w:rsidR="0066572D">
        <w:t xml:space="preserve"> </w:t>
      </w:r>
      <w:r w:rsidRPr="00726862">
        <w:t xml:space="preserve">uzyskają dostęp do 14 giełd zagranicznych – dwóch w USA oraz dwunastu w Europie. Nowe możliwości obejmują ponad 2500 akcji spółek zagranicznych oraz ponad 500 funduszy ETF notowanych na największych rynkach europejskich. </w:t>
      </w:r>
      <w:r w:rsidR="002C0544">
        <w:t>Jest to s</w:t>
      </w:r>
      <w:r w:rsidRPr="00726862">
        <w:t>zczególnie istotne dla inwestorów długoterminowych, którzy chcą budować portfel emerytalny w oparciu o globalne indeksy i strategie pasywne.</w:t>
      </w:r>
    </w:p>
    <w:p w14:paraId="71DD979D" w14:textId="7D8F010B" w:rsidR="00461B05" w:rsidRPr="00300D74" w:rsidRDefault="00455133" w:rsidP="00461B05">
      <w:pPr>
        <w:jc w:val="both"/>
        <w:rPr>
          <w:rFonts w:cs="Calibri"/>
          <w:i/>
          <w:iCs/>
        </w:rPr>
      </w:pPr>
      <w:r w:rsidRPr="00DF1426">
        <w:t xml:space="preserve">– </w:t>
      </w:r>
      <w:r w:rsidR="001C43BC" w:rsidRPr="00DF1426">
        <w:rPr>
          <w:i/>
          <w:iCs/>
        </w:rPr>
        <w:t>Udostępnienie</w:t>
      </w:r>
      <w:r w:rsidRPr="00DF1426">
        <w:rPr>
          <w:i/>
          <w:iCs/>
        </w:rPr>
        <w:t xml:space="preserve"> rynków zagranicznych</w:t>
      </w:r>
      <w:r w:rsidR="005D00C0" w:rsidRPr="00DF1426">
        <w:rPr>
          <w:i/>
          <w:iCs/>
        </w:rPr>
        <w:t xml:space="preserve"> </w:t>
      </w:r>
      <w:r w:rsidR="001C43BC" w:rsidRPr="00DF1426">
        <w:rPr>
          <w:i/>
          <w:iCs/>
        </w:rPr>
        <w:t xml:space="preserve">w ramach </w:t>
      </w:r>
      <w:r w:rsidR="005D00C0" w:rsidRPr="00DF1426">
        <w:rPr>
          <w:i/>
          <w:iCs/>
        </w:rPr>
        <w:t>rachunk</w:t>
      </w:r>
      <w:r w:rsidR="001C43BC" w:rsidRPr="00DF1426">
        <w:rPr>
          <w:i/>
          <w:iCs/>
        </w:rPr>
        <w:t>ów</w:t>
      </w:r>
      <w:r w:rsidR="005D00C0" w:rsidRPr="00DF1426">
        <w:rPr>
          <w:i/>
          <w:iCs/>
        </w:rPr>
        <w:t xml:space="preserve"> IKE i IKZE</w:t>
      </w:r>
      <w:r w:rsidR="00CB56EB" w:rsidRPr="00DF1426">
        <w:rPr>
          <w:i/>
          <w:iCs/>
        </w:rPr>
        <w:t xml:space="preserve"> </w:t>
      </w:r>
      <w:r w:rsidR="00DF1426" w:rsidRPr="00300D74">
        <w:rPr>
          <w:i/>
          <w:iCs/>
        </w:rPr>
        <w:t>otwiera klientom możliwość inwestowania w globalne ETF-y oraz akcje największych spółek świata z myślą o długoterminowym budowaniu kapitału emerytalnego. To rozwiązanie łączy dywersyfikację geograficzną i sektorową z korzyściami podatkowymi charakterystycznymi dla kont emerytalnych</w:t>
      </w:r>
      <w:r w:rsidR="00DF1426" w:rsidRPr="00300D74">
        <w:rPr>
          <w:rFonts w:ascii="Calibri" w:hAnsi="Calibri" w:cs="Calibri"/>
          <w:i/>
          <w:iCs/>
        </w:rPr>
        <w:t xml:space="preserve"> </w:t>
      </w:r>
      <w:r w:rsidRPr="00DF1426">
        <w:t xml:space="preserve">– mówi </w:t>
      </w:r>
      <w:r w:rsidR="00461B05" w:rsidRPr="00300D74">
        <w:rPr>
          <w:b/>
          <w:bCs/>
        </w:rPr>
        <w:t>Michał Madej</w:t>
      </w:r>
      <w:r w:rsidR="007D6650" w:rsidRPr="00DA6D7E">
        <w:t>,</w:t>
      </w:r>
      <w:r w:rsidR="00461B05" w:rsidRPr="00300D74">
        <w:rPr>
          <w:rFonts w:cs="Calibri"/>
        </w:rPr>
        <w:t xml:space="preserve"> zastępca dyrektora Biura Maklerskiego Alior Banku.</w:t>
      </w:r>
    </w:p>
    <w:p w14:paraId="4006BCB6" w14:textId="7D70E457" w:rsidR="001C43BC" w:rsidRDefault="001C43BC" w:rsidP="0011034C">
      <w:pPr>
        <w:jc w:val="both"/>
      </w:pPr>
      <w:r>
        <w:t>Z</w:t>
      </w:r>
      <w:r w:rsidRPr="0056675D">
        <w:t xml:space="preserve"> nowych możliwości</w:t>
      </w:r>
      <w:r>
        <w:t xml:space="preserve"> inwestycyjnych można skorzystać po podpisaniu</w:t>
      </w:r>
      <w:r w:rsidRPr="0056675D">
        <w:t xml:space="preserve"> </w:t>
      </w:r>
      <w:r>
        <w:t>umowy maklerskiej IKE</w:t>
      </w:r>
      <w:r w:rsidR="00CB56EB">
        <w:t xml:space="preserve"> lub</w:t>
      </w:r>
      <w:r>
        <w:t xml:space="preserve"> IKZE</w:t>
      </w:r>
      <w:r w:rsidR="00CB56EB">
        <w:t>, a w przypadku obecnych klientów</w:t>
      </w:r>
      <w:r w:rsidR="007D6650">
        <w:t xml:space="preserve"> </w:t>
      </w:r>
      <w:r w:rsidR="00DC2128">
        <w:t>–</w:t>
      </w:r>
      <w:r w:rsidR="00CB56EB">
        <w:t xml:space="preserve"> poprzez</w:t>
      </w:r>
      <w:r>
        <w:t xml:space="preserve"> </w:t>
      </w:r>
      <w:r w:rsidR="0066572D">
        <w:t>aktyw</w:t>
      </w:r>
      <w:r w:rsidR="00CB56EB">
        <w:t>ację</w:t>
      </w:r>
      <w:r>
        <w:t xml:space="preserve"> rynk</w:t>
      </w:r>
      <w:r w:rsidR="00CB56EB">
        <w:t>ów</w:t>
      </w:r>
      <w:r>
        <w:t xml:space="preserve"> </w:t>
      </w:r>
      <w:r w:rsidRPr="0056675D">
        <w:t>zagraniczn</w:t>
      </w:r>
      <w:r w:rsidR="00CB56EB">
        <w:t>ych</w:t>
      </w:r>
      <w:r>
        <w:t xml:space="preserve"> w </w:t>
      </w:r>
      <w:r w:rsidR="002C0544">
        <w:t>systemach internetowych</w:t>
      </w:r>
      <w:r w:rsidRPr="0056675D">
        <w:t xml:space="preserve">. </w:t>
      </w:r>
      <w:r w:rsidRPr="005E79AB">
        <w:t xml:space="preserve">Wpłaty </w:t>
      </w:r>
      <w:r w:rsidR="00CB56EB">
        <w:t xml:space="preserve">na rachunki </w:t>
      </w:r>
      <w:r w:rsidRPr="005E79AB">
        <w:t xml:space="preserve">dokonywane są w złotówkach, zgodnie z </w:t>
      </w:r>
      <w:r>
        <w:t xml:space="preserve">obowiązującymi </w:t>
      </w:r>
      <w:r w:rsidRPr="005E79AB">
        <w:t xml:space="preserve">limitami </w:t>
      </w:r>
      <w:r>
        <w:t>rocznymi</w:t>
      </w:r>
      <w:r w:rsidRPr="005E79AB">
        <w:t xml:space="preserve">. </w:t>
      </w:r>
      <w:r>
        <w:t>I</w:t>
      </w:r>
      <w:r w:rsidRPr="005E79AB">
        <w:t>nwestowa</w:t>
      </w:r>
      <w:r>
        <w:t>nie</w:t>
      </w:r>
      <w:r w:rsidRPr="005E79AB">
        <w:t xml:space="preserve"> w instrumenty zagraniczne</w:t>
      </w:r>
      <w:r>
        <w:t xml:space="preserve"> wymaga przewalutowania środków na wybraną walutę, które odbywa się w ramach subkont walutowych na jednym rachunku.</w:t>
      </w:r>
      <w:r w:rsidRPr="0056675D">
        <w:t xml:space="preserve"> </w:t>
      </w:r>
      <w:r>
        <w:t>Warto wspomnieć, że usługa przewalutowania dostępna jest teraz na wszystkich rachunkach maklerskich</w:t>
      </w:r>
      <w:r w:rsidR="0066572D">
        <w:t xml:space="preserve"> w Alior Banku</w:t>
      </w:r>
      <w:r>
        <w:t>, również niebędących IKE czy IKZE.</w:t>
      </w:r>
    </w:p>
    <w:p w14:paraId="68F33A3B" w14:textId="3FD1C4DA" w:rsidR="00455133" w:rsidRDefault="0066572D" w:rsidP="00455133">
      <w:pPr>
        <w:jc w:val="both"/>
      </w:pPr>
      <w:r>
        <w:t>W ofercie Alior Banku inwestycje maklerskie</w:t>
      </w:r>
      <w:r w:rsidR="005E79AB" w:rsidRPr="005E79AB">
        <w:t xml:space="preserve"> mogą być realizowane w: dolarach amerykańskich (USD), euro (EUR), funtach brytyjskich (GBP), koronach: norweskiej (NOK), szwedzkiej (SEK) i duńskiej (DKK</w:t>
      </w:r>
      <w:r w:rsidR="00DC28AE">
        <w:t>) oraz</w:t>
      </w:r>
      <w:r w:rsidR="00DC28AE" w:rsidRPr="00DC28AE">
        <w:t xml:space="preserve"> </w:t>
      </w:r>
      <w:r w:rsidR="00DC28AE" w:rsidRPr="005E79AB">
        <w:t>złotych (PLN)</w:t>
      </w:r>
      <w:r w:rsidR="005E79AB" w:rsidRPr="005E79AB">
        <w:t>.</w:t>
      </w:r>
      <w:r w:rsidR="005E79AB">
        <w:t xml:space="preserve"> </w:t>
      </w:r>
      <w:r w:rsidR="00CB56EB">
        <w:t xml:space="preserve">Klienci mają </w:t>
      </w:r>
      <w:r w:rsidR="001C43BC" w:rsidRPr="001C43BC">
        <w:t xml:space="preserve">dostęp </w:t>
      </w:r>
      <w:r w:rsidR="00CB56EB">
        <w:t>do</w:t>
      </w:r>
      <w:r w:rsidR="001C43BC" w:rsidRPr="001C43BC">
        <w:t xml:space="preserve"> bezpłatn</w:t>
      </w:r>
      <w:r w:rsidR="00CB56EB">
        <w:t>ych</w:t>
      </w:r>
      <w:r w:rsidR="001C43BC" w:rsidRPr="001C43BC">
        <w:t xml:space="preserve"> notowa</w:t>
      </w:r>
      <w:r w:rsidR="00CB56EB">
        <w:t>ń</w:t>
      </w:r>
      <w:r w:rsidR="001C43BC" w:rsidRPr="001C43BC">
        <w:t xml:space="preserve"> w czasie rzeczywistym z giełd w USA i Europie.</w:t>
      </w:r>
      <w:r w:rsidR="00DF1426">
        <w:t xml:space="preserve"> Inwestycje </w:t>
      </w:r>
      <w:r w:rsidR="00DF1426">
        <w:lastRenderedPageBreak/>
        <w:t>zagraniczne umożliwiają również uzyskiwanie przychodów z dywidend wypłacanych przez zagraniczne spółki.</w:t>
      </w:r>
    </w:p>
    <w:p w14:paraId="43316D4C" w14:textId="458ECB94" w:rsidR="001C43BC" w:rsidRPr="00300D74" w:rsidRDefault="001C43BC" w:rsidP="00455133">
      <w:pPr>
        <w:jc w:val="both"/>
        <w:rPr>
          <w:rFonts w:cs="Calibri"/>
          <w:i/>
          <w:iCs/>
        </w:rPr>
      </w:pPr>
      <w:r>
        <w:t xml:space="preserve">– </w:t>
      </w:r>
      <w:r w:rsidR="00DF1426" w:rsidRPr="00300D74">
        <w:rPr>
          <w:i/>
          <w:iCs/>
        </w:rPr>
        <w:t>Rozszerzenie dostępu do rynków zagranicznych w ramach IKE i IKZE to istotny element rozwoju oferty emerytalnej</w:t>
      </w:r>
      <w:r w:rsidR="007D6650" w:rsidRPr="00300D74">
        <w:rPr>
          <w:i/>
          <w:iCs/>
        </w:rPr>
        <w:t xml:space="preserve">, który </w:t>
      </w:r>
      <w:r w:rsidR="00DF1426" w:rsidRPr="00300D74">
        <w:rPr>
          <w:i/>
          <w:iCs/>
        </w:rPr>
        <w:t xml:space="preserve">wzmacnia naszą strategię budowania kompleksowej oferty inwestycyjnej. </w:t>
      </w:r>
      <w:r w:rsidRPr="00300D74">
        <w:rPr>
          <w:i/>
          <w:iCs/>
        </w:rPr>
        <w:t xml:space="preserve">Nowa oferta szczególnie </w:t>
      </w:r>
      <w:r w:rsidR="007D6650" w:rsidRPr="00300D74">
        <w:rPr>
          <w:i/>
          <w:iCs/>
        </w:rPr>
        <w:t xml:space="preserve">sprzyja </w:t>
      </w:r>
      <w:r w:rsidRPr="00300D74">
        <w:rPr>
          <w:i/>
          <w:iCs/>
        </w:rPr>
        <w:t>rosnącemu zainteresowaniu inwestowaniem pasywnym i budowani</w:t>
      </w:r>
      <w:r w:rsidR="007D6650" w:rsidRPr="00300D74">
        <w:rPr>
          <w:i/>
          <w:iCs/>
        </w:rPr>
        <w:t>u</w:t>
      </w:r>
      <w:r w:rsidRPr="00300D74">
        <w:rPr>
          <w:i/>
          <w:iCs/>
        </w:rPr>
        <w:t xml:space="preserve"> portfeli emerytalnych w oparciu o zagraniczne ETF-y</w:t>
      </w:r>
      <w:r w:rsidR="00DA6D7E">
        <w:rPr>
          <w:i/>
          <w:iCs/>
        </w:rPr>
        <w:t>,</w:t>
      </w:r>
      <w:r w:rsidRPr="00300D74">
        <w:rPr>
          <w:i/>
          <w:iCs/>
        </w:rPr>
        <w:t xml:space="preserve"> odwzorowujące globalne indeksy akcji i obligacji. Dzięki temu inwestorzy mogą tworzyć długoterminowe strategie emerytalne</w:t>
      </w:r>
      <w:r w:rsidR="00DA6D7E" w:rsidRPr="00300D74">
        <w:rPr>
          <w:i/>
          <w:iCs/>
        </w:rPr>
        <w:t>,</w:t>
      </w:r>
      <w:r w:rsidRPr="00300D74">
        <w:rPr>
          <w:i/>
          <w:iCs/>
        </w:rPr>
        <w:t xml:space="preserve"> obejmujące różne regiony świata i klasy aktywów w ramach jednego rachunku IKE lub IKZE</w:t>
      </w:r>
      <w:r w:rsidRPr="00DA6D7E">
        <w:rPr>
          <w:i/>
          <w:iCs/>
        </w:rPr>
        <w:t xml:space="preserve"> </w:t>
      </w:r>
      <w:r w:rsidRPr="00DA6D7E">
        <w:t xml:space="preserve">– </w:t>
      </w:r>
      <w:r w:rsidR="00DA6D7E" w:rsidRPr="00DA6D7E">
        <w:t xml:space="preserve">dodaje </w:t>
      </w:r>
      <w:r w:rsidRPr="00300D74">
        <w:rPr>
          <w:b/>
          <w:bCs/>
        </w:rPr>
        <w:t>Michał Madej</w:t>
      </w:r>
      <w:r w:rsidR="00DA6D7E" w:rsidRPr="00DA6D7E">
        <w:rPr>
          <w:b/>
          <w:bCs/>
        </w:rPr>
        <w:t>,</w:t>
      </w:r>
      <w:r w:rsidRPr="00300D74">
        <w:rPr>
          <w:rFonts w:cs="Calibri"/>
        </w:rPr>
        <w:t xml:space="preserve"> zastępca dyrektora Biura Maklerskiego Alior Banku.</w:t>
      </w:r>
    </w:p>
    <w:p w14:paraId="5455952A" w14:textId="77777777" w:rsidR="00461B05" w:rsidRPr="00DA6D7E" w:rsidRDefault="00461B05" w:rsidP="00210336">
      <w:pPr>
        <w:jc w:val="both"/>
      </w:pPr>
    </w:p>
    <w:p w14:paraId="4DD85E7A" w14:textId="183D859C" w:rsidR="00461B05" w:rsidRPr="00300D74" w:rsidRDefault="00461B05" w:rsidP="00461B05">
      <w:pPr>
        <w:tabs>
          <w:tab w:val="num" w:pos="720"/>
        </w:tabs>
        <w:rPr>
          <w:rFonts w:cs="Calibri"/>
        </w:rPr>
      </w:pPr>
      <w:r w:rsidRPr="00300D74">
        <w:rPr>
          <w:rFonts w:cs="Calibri"/>
        </w:rPr>
        <w:t xml:space="preserve">Więcej informacji na temat nowej oferty: </w:t>
      </w:r>
      <w:hyperlink r:id="rId11" w:history="1">
        <w:r w:rsidRPr="00DA6D7E">
          <w:rPr>
            <w:rStyle w:val="Hipercze"/>
          </w:rPr>
          <w:t>https://www.aliorbank.pl/biuro-maklerskie/gielda/rachunek-maklerski-ike-ikze.html</w:t>
        </w:r>
      </w:hyperlink>
      <w:r w:rsidRPr="00DA6D7E">
        <w:t xml:space="preserve"> </w:t>
      </w:r>
    </w:p>
    <w:p w14:paraId="23F01EC0" w14:textId="77777777" w:rsidR="00461B05" w:rsidRPr="00DA6D7E" w:rsidRDefault="00461B05" w:rsidP="00210336">
      <w:pPr>
        <w:jc w:val="both"/>
      </w:pPr>
    </w:p>
    <w:p w14:paraId="0712BD03" w14:textId="71F37583" w:rsidR="00224525" w:rsidRPr="00DA6D7E" w:rsidRDefault="0056675D" w:rsidP="00210336">
      <w:pPr>
        <w:jc w:val="both"/>
      </w:pPr>
      <w:r w:rsidRPr="00DA6D7E">
        <w:t xml:space="preserve">Szczegółowa lista dostępnych rynków, instrumentów oraz opłat znajduje się na stronie: </w:t>
      </w:r>
      <w:hyperlink r:id="rId12" w:history="1">
        <w:r w:rsidRPr="00DA6D7E">
          <w:rPr>
            <w:rStyle w:val="Hipercze"/>
          </w:rPr>
          <w:t>https://www.aliorbank.pl/biuro-maklerskie/gielda/rynki-zagraniczne.html</w:t>
        </w:r>
      </w:hyperlink>
      <w:r w:rsidRPr="00DA6D7E">
        <w:t xml:space="preserve"> </w:t>
      </w:r>
    </w:p>
    <w:p w14:paraId="288E94A8" w14:textId="77777777" w:rsidR="00461B05" w:rsidRPr="00DA6D7E" w:rsidRDefault="00461B05" w:rsidP="00210336">
      <w:pPr>
        <w:jc w:val="both"/>
      </w:pPr>
    </w:p>
    <w:p w14:paraId="01D36FC4" w14:textId="11D4F260" w:rsidR="00461B05" w:rsidRPr="00300D74" w:rsidRDefault="00461B05" w:rsidP="00DC2128">
      <w:pPr>
        <w:tabs>
          <w:tab w:val="num" w:pos="720"/>
        </w:tabs>
        <w:jc w:val="both"/>
        <w:rPr>
          <w:rFonts w:cs="Calibri"/>
          <w:sz w:val="22"/>
          <w:szCs w:val="22"/>
        </w:rPr>
      </w:pPr>
      <w:r w:rsidRPr="00300D74">
        <w:rPr>
          <w:rFonts w:cs="Calibri"/>
          <w:sz w:val="22"/>
          <w:szCs w:val="22"/>
        </w:rPr>
        <w:t>Niniejsza wiadomość ma wyłącznie charakter marketingowo</w:t>
      </w:r>
      <w:r w:rsidR="00DC2128">
        <w:rPr>
          <w:rFonts w:cs="Calibri"/>
          <w:sz w:val="22"/>
          <w:szCs w:val="22"/>
        </w:rPr>
        <w:t>-</w:t>
      </w:r>
      <w:r w:rsidRPr="00300D74">
        <w:rPr>
          <w:rFonts w:cs="Calibri"/>
          <w:sz w:val="22"/>
          <w:szCs w:val="22"/>
        </w:rPr>
        <w:t>informacyjny i jest upowszechniana w celu reklamy produktów i usług inwestycyjnych.</w:t>
      </w:r>
    </w:p>
    <w:p w14:paraId="27735EAD" w14:textId="77777777" w:rsidR="00461B05" w:rsidRPr="00300D74" w:rsidRDefault="00461B05" w:rsidP="00DC2128">
      <w:pPr>
        <w:tabs>
          <w:tab w:val="num" w:pos="720"/>
        </w:tabs>
        <w:jc w:val="both"/>
        <w:rPr>
          <w:rFonts w:cs="Calibri"/>
          <w:sz w:val="22"/>
          <w:szCs w:val="22"/>
        </w:rPr>
      </w:pPr>
      <w:r w:rsidRPr="00300D74">
        <w:rPr>
          <w:rFonts w:cs="Calibri"/>
          <w:sz w:val="22"/>
          <w:szCs w:val="22"/>
        </w:rPr>
        <w:t>Informacji zawartych w niniejszej wiadomości nie należy traktować jako porady inwestycyjnej, oferty lub rekomendacji zawarcia transakcji. Alior Bank SA informuje, że z każdą inwestycją wiąże się ryzyko poniesienia straty. Stopień ryzyka zależy od rodzaju i klasy aktywów będących przedmiotem inwestycji. Przed podjęciem decyzji inwestycyjnej należy, oprócz prognozy potencjalnego zysku, określić także czynniki ryzyka, jakie mogą wiązać się z daną inwestycją.</w:t>
      </w:r>
    </w:p>
    <w:p w14:paraId="1F4A560A" w14:textId="77777777" w:rsidR="00461B05" w:rsidRPr="00DA6D7E" w:rsidRDefault="00461B05" w:rsidP="00210336">
      <w:pPr>
        <w:jc w:val="both"/>
      </w:pPr>
    </w:p>
    <w:sectPr w:rsidR="00461B05" w:rsidRPr="00DA6D7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E64" w14:textId="77777777" w:rsidR="00791737" w:rsidRDefault="00791737" w:rsidP="003E01D9">
      <w:pPr>
        <w:spacing w:after="0" w:line="240" w:lineRule="auto"/>
      </w:pPr>
      <w:r>
        <w:separator/>
      </w:r>
    </w:p>
  </w:endnote>
  <w:endnote w:type="continuationSeparator" w:id="0">
    <w:p w14:paraId="243D9A5C" w14:textId="77777777" w:rsidR="00791737" w:rsidRDefault="00791737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0C69" w14:textId="77777777" w:rsidR="00791737" w:rsidRDefault="00791737" w:rsidP="003E01D9">
      <w:pPr>
        <w:spacing w:after="0" w:line="240" w:lineRule="auto"/>
      </w:pPr>
      <w:r>
        <w:separator/>
      </w:r>
    </w:p>
  </w:footnote>
  <w:footnote w:type="continuationSeparator" w:id="0">
    <w:p w14:paraId="63B25B2D" w14:textId="77777777" w:rsidR="00791737" w:rsidRDefault="00791737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351">
    <w:abstractNumId w:val="1"/>
  </w:num>
  <w:num w:numId="2" w16cid:durableId="10897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1303A"/>
    <w:rsid w:val="00022949"/>
    <w:rsid w:val="000548EC"/>
    <w:rsid w:val="00062EF9"/>
    <w:rsid w:val="00066ECD"/>
    <w:rsid w:val="00093E3F"/>
    <w:rsid w:val="000D0F50"/>
    <w:rsid w:val="000D198F"/>
    <w:rsid w:val="000F08DE"/>
    <w:rsid w:val="000F4CCC"/>
    <w:rsid w:val="000F63B0"/>
    <w:rsid w:val="00100DCF"/>
    <w:rsid w:val="00101007"/>
    <w:rsid w:val="00104B16"/>
    <w:rsid w:val="0011034C"/>
    <w:rsid w:val="001177FB"/>
    <w:rsid w:val="00156BD3"/>
    <w:rsid w:val="00162BBB"/>
    <w:rsid w:val="00164D0B"/>
    <w:rsid w:val="001B4C4C"/>
    <w:rsid w:val="001C43BC"/>
    <w:rsid w:val="001C5044"/>
    <w:rsid w:val="001D32F3"/>
    <w:rsid w:val="001E21A4"/>
    <w:rsid w:val="001E4934"/>
    <w:rsid w:val="001E691C"/>
    <w:rsid w:val="001F28D4"/>
    <w:rsid w:val="001F5097"/>
    <w:rsid w:val="00210336"/>
    <w:rsid w:val="0021617A"/>
    <w:rsid w:val="00224525"/>
    <w:rsid w:val="00234AF2"/>
    <w:rsid w:val="002504E6"/>
    <w:rsid w:val="00251FCC"/>
    <w:rsid w:val="00261EF5"/>
    <w:rsid w:val="00262E68"/>
    <w:rsid w:val="00271607"/>
    <w:rsid w:val="002767AF"/>
    <w:rsid w:val="00296B0C"/>
    <w:rsid w:val="002A45DB"/>
    <w:rsid w:val="002C0544"/>
    <w:rsid w:val="002C5841"/>
    <w:rsid w:val="002D3D65"/>
    <w:rsid w:val="002F3D99"/>
    <w:rsid w:val="002F5D9C"/>
    <w:rsid w:val="00300D74"/>
    <w:rsid w:val="00304F65"/>
    <w:rsid w:val="00305888"/>
    <w:rsid w:val="00306A4F"/>
    <w:rsid w:val="0032095F"/>
    <w:rsid w:val="00320D84"/>
    <w:rsid w:val="003213F2"/>
    <w:rsid w:val="0032356E"/>
    <w:rsid w:val="003544C4"/>
    <w:rsid w:val="003624FA"/>
    <w:rsid w:val="00370966"/>
    <w:rsid w:val="00372A46"/>
    <w:rsid w:val="00384C7E"/>
    <w:rsid w:val="003A1E21"/>
    <w:rsid w:val="003B0D9D"/>
    <w:rsid w:val="003B1B5F"/>
    <w:rsid w:val="003B2C27"/>
    <w:rsid w:val="003C10D0"/>
    <w:rsid w:val="003C24E4"/>
    <w:rsid w:val="003E01D9"/>
    <w:rsid w:val="00405D10"/>
    <w:rsid w:val="00414996"/>
    <w:rsid w:val="004155CD"/>
    <w:rsid w:val="00416B51"/>
    <w:rsid w:val="00422ECA"/>
    <w:rsid w:val="0042596C"/>
    <w:rsid w:val="0045171F"/>
    <w:rsid w:val="00454886"/>
    <w:rsid w:val="00455133"/>
    <w:rsid w:val="0046173C"/>
    <w:rsid w:val="00461B05"/>
    <w:rsid w:val="004805D7"/>
    <w:rsid w:val="00481484"/>
    <w:rsid w:val="004A70E6"/>
    <w:rsid w:val="004B2FEF"/>
    <w:rsid w:val="004C48F6"/>
    <w:rsid w:val="004E238B"/>
    <w:rsid w:val="004E2841"/>
    <w:rsid w:val="004F1A12"/>
    <w:rsid w:val="004F2E9E"/>
    <w:rsid w:val="00505CC3"/>
    <w:rsid w:val="00513024"/>
    <w:rsid w:val="005150AD"/>
    <w:rsid w:val="00534A45"/>
    <w:rsid w:val="00542259"/>
    <w:rsid w:val="0054553C"/>
    <w:rsid w:val="0056675D"/>
    <w:rsid w:val="005744B5"/>
    <w:rsid w:val="0058263A"/>
    <w:rsid w:val="00583413"/>
    <w:rsid w:val="0058697F"/>
    <w:rsid w:val="005D00C0"/>
    <w:rsid w:val="005D1883"/>
    <w:rsid w:val="005E79AB"/>
    <w:rsid w:val="00603513"/>
    <w:rsid w:val="00612437"/>
    <w:rsid w:val="0062047C"/>
    <w:rsid w:val="00620560"/>
    <w:rsid w:val="00621838"/>
    <w:rsid w:val="006325EE"/>
    <w:rsid w:val="00654A2A"/>
    <w:rsid w:val="0066572D"/>
    <w:rsid w:val="006A4884"/>
    <w:rsid w:val="006E25B3"/>
    <w:rsid w:val="006E689E"/>
    <w:rsid w:val="0072029C"/>
    <w:rsid w:val="00720DFD"/>
    <w:rsid w:val="00726862"/>
    <w:rsid w:val="00733ECE"/>
    <w:rsid w:val="00754501"/>
    <w:rsid w:val="00755219"/>
    <w:rsid w:val="00765D05"/>
    <w:rsid w:val="0077289B"/>
    <w:rsid w:val="00780E51"/>
    <w:rsid w:val="00791737"/>
    <w:rsid w:val="007B4ED9"/>
    <w:rsid w:val="007C29EA"/>
    <w:rsid w:val="007D6650"/>
    <w:rsid w:val="007E4CFB"/>
    <w:rsid w:val="00804365"/>
    <w:rsid w:val="00811177"/>
    <w:rsid w:val="008120F1"/>
    <w:rsid w:val="00815BE6"/>
    <w:rsid w:val="00835AC0"/>
    <w:rsid w:val="0084246E"/>
    <w:rsid w:val="00846653"/>
    <w:rsid w:val="0087133D"/>
    <w:rsid w:val="008728CB"/>
    <w:rsid w:val="0088792C"/>
    <w:rsid w:val="00891380"/>
    <w:rsid w:val="00896237"/>
    <w:rsid w:val="008D50FD"/>
    <w:rsid w:val="008E7E4A"/>
    <w:rsid w:val="009006E0"/>
    <w:rsid w:val="00911610"/>
    <w:rsid w:val="009230BE"/>
    <w:rsid w:val="00923B3E"/>
    <w:rsid w:val="009343E3"/>
    <w:rsid w:val="00935574"/>
    <w:rsid w:val="00940BB1"/>
    <w:rsid w:val="00941DC2"/>
    <w:rsid w:val="00953812"/>
    <w:rsid w:val="00991F11"/>
    <w:rsid w:val="009964B1"/>
    <w:rsid w:val="009E4795"/>
    <w:rsid w:val="009E4950"/>
    <w:rsid w:val="009F640C"/>
    <w:rsid w:val="00A0449E"/>
    <w:rsid w:val="00A126F4"/>
    <w:rsid w:val="00A43E1D"/>
    <w:rsid w:val="00A65D61"/>
    <w:rsid w:val="00A6693E"/>
    <w:rsid w:val="00A83FF8"/>
    <w:rsid w:val="00A87027"/>
    <w:rsid w:val="00A95F8C"/>
    <w:rsid w:val="00AA1731"/>
    <w:rsid w:val="00AA3D73"/>
    <w:rsid w:val="00AA4ED9"/>
    <w:rsid w:val="00AB15B4"/>
    <w:rsid w:val="00AD7390"/>
    <w:rsid w:val="00AF05C4"/>
    <w:rsid w:val="00AF4459"/>
    <w:rsid w:val="00AF556C"/>
    <w:rsid w:val="00B00A8E"/>
    <w:rsid w:val="00B33D8D"/>
    <w:rsid w:val="00B36A5A"/>
    <w:rsid w:val="00B40B2E"/>
    <w:rsid w:val="00B505D8"/>
    <w:rsid w:val="00B52DF5"/>
    <w:rsid w:val="00B62ECA"/>
    <w:rsid w:val="00B717BC"/>
    <w:rsid w:val="00BA36E4"/>
    <w:rsid w:val="00BC0403"/>
    <w:rsid w:val="00BC5B92"/>
    <w:rsid w:val="00BD149B"/>
    <w:rsid w:val="00BD41B0"/>
    <w:rsid w:val="00BE4D03"/>
    <w:rsid w:val="00BE5391"/>
    <w:rsid w:val="00C12D32"/>
    <w:rsid w:val="00C16AAB"/>
    <w:rsid w:val="00C30328"/>
    <w:rsid w:val="00C50596"/>
    <w:rsid w:val="00C524A9"/>
    <w:rsid w:val="00C567A4"/>
    <w:rsid w:val="00C6354F"/>
    <w:rsid w:val="00C64D2F"/>
    <w:rsid w:val="00C73C77"/>
    <w:rsid w:val="00C74D1F"/>
    <w:rsid w:val="00C76D4B"/>
    <w:rsid w:val="00C86B26"/>
    <w:rsid w:val="00C9099D"/>
    <w:rsid w:val="00C96BED"/>
    <w:rsid w:val="00CA7825"/>
    <w:rsid w:val="00CB56EB"/>
    <w:rsid w:val="00CB643D"/>
    <w:rsid w:val="00CE7470"/>
    <w:rsid w:val="00CF66C8"/>
    <w:rsid w:val="00D213C0"/>
    <w:rsid w:val="00D228B0"/>
    <w:rsid w:val="00D245FD"/>
    <w:rsid w:val="00D24BF7"/>
    <w:rsid w:val="00D26572"/>
    <w:rsid w:val="00D337B6"/>
    <w:rsid w:val="00D34302"/>
    <w:rsid w:val="00D34C2F"/>
    <w:rsid w:val="00D45229"/>
    <w:rsid w:val="00D61AC1"/>
    <w:rsid w:val="00D74796"/>
    <w:rsid w:val="00D84D6C"/>
    <w:rsid w:val="00DA45C6"/>
    <w:rsid w:val="00DA6D7E"/>
    <w:rsid w:val="00DB33E4"/>
    <w:rsid w:val="00DB42DB"/>
    <w:rsid w:val="00DC2128"/>
    <w:rsid w:val="00DC28AE"/>
    <w:rsid w:val="00DC7B6E"/>
    <w:rsid w:val="00DD40E4"/>
    <w:rsid w:val="00DE2DD0"/>
    <w:rsid w:val="00DF1426"/>
    <w:rsid w:val="00E05A3B"/>
    <w:rsid w:val="00E1100C"/>
    <w:rsid w:val="00E16360"/>
    <w:rsid w:val="00E20B5B"/>
    <w:rsid w:val="00E23CCD"/>
    <w:rsid w:val="00E30E29"/>
    <w:rsid w:val="00E36E0B"/>
    <w:rsid w:val="00E62D00"/>
    <w:rsid w:val="00E81B80"/>
    <w:rsid w:val="00E82DEB"/>
    <w:rsid w:val="00EB22FE"/>
    <w:rsid w:val="00EB24BC"/>
    <w:rsid w:val="00EE6371"/>
    <w:rsid w:val="00EF1EE0"/>
    <w:rsid w:val="00F10AFF"/>
    <w:rsid w:val="00F303DB"/>
    <w:rsid w:val="00F62F86"/>
    <w:rsid w:val="00F705BB"/>
    <w:rsid w:val="00F858EC"/>
    <w:rsid w:val="00F90B00"/>
    <w:rsid w:val="00F92760"/>
    <w:rsid w:val="00F94410"/>
    <w:rsid w:val="00F94616"/>
    <w:rsid w:val="00F97BD8"/>
    <w:rsid w:val="00FB568C"/>
    <w:rsid w:val="00FF56A4"/>
    <w:rsid w:val="0188F1FE"/>
    <w:rsid w:val="01CF44D8"/>
    <w:rsid w:val="0235742C"/>
    <w:rsid w:val="033C823C"/>
    <w:rsid w:val="035AF84C"/>
    <w:rsid w:val="053407E0"/>
    <w:rsid w:val="0581C815"/>
    <w:rsid w:val="073B40B2"/>
    <w:rsid w:val="084129FD"/>
    <w:rsid w:val="09217262"/>
    <w:rsid w:val="0961333A"/>
    <w:rsid w:val="0AAB48CD"/>
    <w:rsid w:val="0C20580A"/>
    <w:rsid w:val="0C437359"/>
    <w:rsid w:val="0D7D8E9E"/>
    <w:rsid w:val="0E947AAD"/>
    <w:rsid w:val="10FCAA99"/>
    <w:rsid w:val="12D85581"/>
    <w:rsid w:val="132CC60D"/>
    <w:rsid w:val="13B50D3A"/>
    <w:rsid w:val="146A6D99"/>
    <w:rsid w:val="14FF363D"/>
    <w:rsid w:val="1657EA55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7825DC"/>
    <w:rsid w:val="1F8D71BF"/>
    <w:rsid w:val="2094C928"/>
    <w:rsid w:val="2217288A"/>
    <w:rsid w:val="243B7C5D"/>
    <w:rsid w:val="24EB0D9E"/>
    <w:rsid w:val="258AF785"/>
    <w:rsid w:val="265B5882"/>
    <w:rsid w:val="269C79ED"/>
    <w:rsid w:val="26E1F9EB"/>
    <w:rsid w:val="282FC1E8"/>
    <w:rsid w:val="29D9B8AF"/>
    <w:rsid w:val="2C731396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7B6580E"/>
    <w:rsid w:val="3831ECD0"/>
    <w:rsid w:val="391AE530"/>
    <w:rsid w:val="3A5220D5"/>
    <w:rsid w:val="3A96FAF4"/>
    <w:rsid w:val="3AA7D966"/>
    <w:rsid w:val="3DD0B0A0"/>
    <w:rsid w:val="4298A8CF"/>
    <w:rsid w:val="43A60D4F"/>
    <w:rsid w:val="43C2A1D8"/>
    <w:rsid w:val="473B6327"/>
    <w:rsid w:val="494F2C85"/>
    <w:rsid w:val="4A5796D9"/>
    <w:rsid w:val="4A6F77FD"/>
    <w:rsid w:val="4ADD6478"/>
    <w:rsid w:val="4B93D160"/>
    <w:rsid w:val="4C5B9EF5"/>
    <w:rsid w:val="4CA9FD4E"/>
    <w:rsid w:val="4D9C7126"/>
    <w:rsid w:val="4E1C4FF2"/>
    <w:rsid w:val="4F161342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BBBE478"/>
    <w:rsid w:val="5C07654A"/>
    <w:rsid w:val="5C10966D"/>
    <w:rsid w:val="5E430692"/>
    <w:rsid w:val="60A4CBD3"/>
    <w:rsid w:val="620163E8"/>
    <w:rsid w:val="627868FD"/>
    <w:rsid w:val="632497FE"/>
    <w:rsid w:val="633E4DC6"/>
    <w:rsid w:val="63CDC556"/>
    <w:rsid w:val="65163ECB"/>
    <w:rsid w:val="67A99B86"/>
    <w:rsid w:val="68C97E2D"/>
    <w:rsid w:val="6AB8AFC1"/>
    <w:rsid w:val="6C108215"/>
    <w:rsid w:val="6C20AFE4"/>
    <w:rsid w:val="6CA17151"/>
    <w:rsid w:val="6CA886EF"/>
    <w:rsid w:val="6CADB773"/>
    <w:rsid w:val="6E44C9E7"/>
    <w:rsid w:val="6E8E890A"/>
    <w:rsid w:val="71D63345"/>
    <w:rsid w:val="722F4DBD"/>
    <w:rsid w:val="733289AE"/>
    <w:rsid w:val="73CBA118"/>
    <w:rsid w:val="74013C47"/>
    <w:rsid w:val="76591298"/>
    <w:rsid w:val="78150F72"/>
    <w:rsid w:val="787B9425"/>
    <w:rsid w:val="79996556"/>
    <w:rsid w:val="79F566B1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10234799-BFF7-40B5-83B0-318FEE9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iorbank.pl/biuro-maklerskie/gielda/rynki-zagraniczn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orbank.pl/biuro-maklerskie/gielda/rachunek-maklerski-ike-ikze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67458-5A54-4034-975A-9E0978833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00807E08-E6DD-45BF-A06F-B59E4805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5</cp:revision>
  <dcterms:created xsi:type="dcterms:W3CDTF">2026-04-24T07:52:00Z</dcterms:created>
  <dcterms:modified xsi:type="dcterms:W3CDTF">2026-04-28T07:14:00Z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