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6FCE2" w14:textId="3A410DE9" w:rsidR="005432BF" w:rsidRPr="00F53097" w:rsidRDefault="005432BF" w:rsidP="008170D0">
      <w:pPr>
        <w:pStyle w:val="mb-4"/>
        <w:spacing w:before="0" w:beforeAutospacing="0" w:after="0" w:afterAutospacing="0" w:line="420" w:lineRule="atLeast"/>
        <w:jc w:val="center"/>
        <w:rPr>
          <w:rStyle w:val="Enfasigrassetto"/>
          <w:rFonts w:ascii="Arial" w:hAnsi="Arial" w:cs="Arial"/>
          <w:sz w:val="28"/>
          <w:szCs w:val="28"/>
        </w:rPr>
      </w:pPr>
      <w:r w:rsidRPr="00F53097">
        <w:rPr>
          <w:rStyle w:val="Enfasigrassetto"/>
          <w:rFonts w:ascii="Arial" w:hAnsi="Arial" w:cs="Arial"/>
          <w:sz w:val="28"/>
          <w:szCs w:val="28"/>
        </w:rPr>
        <w:t xml:space="preserve">Bybit EU </w:t>
      </w:r>
      <w:r w:rsidR="00F43F21">
        <w:rPr>
          <w:rStyle w:val="Enfasigrassetto"/>
          <w:rFonts w:ascii="Arial" w:hAnsi="Arial" w:cs="Arial"/>
          <w:sz w:val="28"/>
          <w:szCs w:val="28"/>
        </w:rPr>
        <w:t>sceglie</w:t>
      </w:r>
      <w:r w:rsidRPr="00F53097">
        <w:rPr>
          <w:rStyle w:val="Enfasigrassetto"/>
          <w:rFonts w:ascii="Arial" w:hAnsi="Arial" w:cs="Arial"/>
          <w:sz w:val="28"/>
          <w:szCs w:val="28"/>
        </w:rPr>
        <w:t xml:space="preserve"> Blockpit</w:t>
      </w:r>
      <w:r w:rsidR="00F43F21">
        <w:rPr>
          <w:rStyle w:val="Enfasigrassetto"/>
          <w:rFonts w:ascii="Arial" w:hAnsi="Arial" w:cs="Arial"/>
          <w:sz w:val="28"/>
          <w:szCs w:val="28"/>
        </w:rPr>
        <w:t xml:space="preserve"> come</w:t>
      </w:r>
      <w:r w:rsidRPr="00F53097">
        <w:rPr>
          <w:rStyle w:val="Enfasigrassetto"/>
          <w:rFonts w:ascii="Arial" w:hAnsi="Arial" w:cs="Arial"/>
          <w:sz w:val="28"/>
          <w:szCs w:val="28"/>
        </w:rPr>
        <w:t xml:space="preserve"> partner</w:t>
      </w:r>
      <w:r w:rsidR="008170D0">
        <w:rPr>
          <w:rStyle w:val="Enfasigrassetto"/>
          <w:rFonts w:ascii="Arial" w:hAnsi="Arial" w:cs="Arial"/>
          <w:sz w:val="28"/>
          <w:szCs w:val="28"/>
        </w:rPr>
        <w:t xml:space="preserve"> </w:t>
      </w:r>
      <w:r w:rsidRPr="00F53097">
        <w:rPr>
          <w:rStyle w:val="Enfasigrassetto"/>
          <w:rFonts w:ascii="Arial" w:hAnsi="Arial" w:cs="Arial"/>
          <w:sz w:val="28"/>
          <w:szCs w:val="28"/>
        </w:rPr>
        <w:t>per la rendicontazione fiscale cripto in tutta l’area SEE</w:t>
      </w:r>
    </w:p>
    <w:p w14:paraId="04F58767" w14:textId="3357A89C" w:rsidR="005432BF" w:rsidRPr="005F39C1" w:rsidRDefault="005432BF" w:rsidP="005F39C1">
      <w:pPr>
        <w:pStyle w:val="mb-4"/>
        <w:spacing w:before="0" w:beforeAutospacing="0" w:after="0" w:afterAutospacing="0" w:line="420" w:lineRule="atLeast"/>
        <w:jc w:val="both"/>
        <w:rPr>
          <w:rFonts w:ascii="Arial" w:hAnsi="Arial" w:cs="Arial"/>
          <w:sz w:val="22"/>
          <w:szCs w:val="22"/>
        </w:rPr>
      </w:pPr>
      <w:r w:rsidRPr="00F53097">
        <w:rPr>
          <w:rFonts w:ascii="Arial" w:hAnsi="Arial" w:cs="Arial"/>
          <w:sz w:val="22"/>
          <w:szCs w:val="22"/>
        </w:rPr>
        <w:br/>
      </w:r>
      <w:r w:rsidRPr="005F39C1">
        <w:rPr>
          <w:rStyle w:val="Enfasigrassetto"/>
          <w:rFonts w:ascii="Arial" w:hAnsi="Arial" w:cs="Arial"/>
          <w:sz w:val="22"/>
          <w:szCs w:val="22"/>
        </w:rPr>
        <w:t>Vienna, 28 aprile 2026</w:t>
      </w:r>
      <w:r w:rsidRPr="005F39C1">
        <w:rPr>
          <w:rFonts w:ascii="Arial" w:hAnsi="Arial" w:cs="Arial"/>
          <w:sz w:val="22"/>
          <w:szCs w:val="22"/>
        </w:rPr>
        <w:t> - Bybit EU, fornitore di servizi per le cripto-attivit</w:t>
      </w:r>
      <w:r w:rsidR="00F53097" w:rsidRPr="005F39C1">
        <w:rPr>
          <w:rFonts w:ascii="Arial" w:hAnsi="Arial" w:cs="Arial"/>
          <w:sz w:val="22"/>
          <w:szCs w:val="22"/>
        </w:rPr>
        <w:t>à</w:t>
      </w:r>
      <w:r w:rsidRPr="005F39C1">
        <w:rPr>
          <w:rFonts w:ascii="Arial" w:hAnsi="Arial" w:cs="Arial"/>
          <w:sz w:val="22"/>
          <w:szCs w:val="22"/>
        </w:rPr>
        <w:t xml:space="preserve"> autorizzato ai sensi di MiCA con sede a Vienna, ha annunciato oggi una partnership strategica con </w:t>
      </w:r>
      <w:r w:rsidRPr="005F39C1">
        <w:rPr>
          <w:rStyle w:val="Enfasigrassetto"/>
          <w:rFonts w:ascii="Arial" w:hAnsi="Arial" w:cs="Arial"/>
          <w:sz w:val="22"/>
          <w:szCs w:val="22"/>
        </w:rPr>
        <w:t>Blockpit</w:t>
      </w:r>
      <w:r w:rsidRPr="005F39C1">
        <w:rPr>
          <w:rFonts w:ascii="Arial" w:hAnsi="Arial" w:cs="Arial"/>
          <w:sz w:val="22"/>
          <w:szCs w:val="22"/>
        </w:rPr>
        <w:t xml:space="preserve">, </w:t>
      </w:r>
      <w:r w:rsidR="00BB2A0A">
        <w:rPr>
          <w:rFonts w:ascii="Arial" w:hAnsi="Arial" w:cs="Arial"/>
          <w:sz w:val="22"/>
          <w:szCs w:val="22"/>
        </w:rPr>
        <w:t>leader</w:t>
      </w:r>
      <w:r w:rsidRPr="005F39C1">
        <w:rPr>
          <w:rFonts w:ascii="Arial" w:hAnsi="Arial" w:cs="Arial"/>
          <w:sz w:val="22"/>
          <w:szCs w:val="22"/>
        </w:rPr>
        <w:t xml:space="preserve"> europeo </w:t>
      </w:r>
      <w:r w:rsidR="00BB2A0A">
        <w:rPr>
          <w:rFonts w:ascii="Arial" w:hAnsi="Arial" w:cs="Arial"/>
          <w:sz w:val="22"/>
          <w:szCs w:val="22"/>
        </w:rPr>
        <w:t>nel</w:t>
      </w:r>
      <w:r w:rsidRPr="005F39C1">
        <w:rPr>
          <w:rFonts w:ascii="Arial" w:hAnsi="Arial" w:cs="Arial"/>
          <w:sz w:val="22"/>
          <w:szCs w:val="22"/>
        </w:rPr>
        <w:t xml:space="preserve"> software per la rendicontazione fiscale sulle criptovalute. Blockpit diventa la soluzione integrata per la tax reporting della base utenti di Bybit EU, offrendo agli investitori di </w:t>
      </w:r>
      <w:r w:rsidRPr="005F39C1">
        <w:rPr>
          <w:rStyle w:val="Enfasigrassetto"/>
          <w:rFonts w:ascii="Arial" w:hAnsi="Arial" w:cs="Arial"/>
          <w:b w:val="0"/>
          <w:bCs w:val="0"/>
          <w:sz w:val="22"/>
          <w:szCs w:val="22"/>
        </w:rPr>
        <w:t>29 Paesi</w:t>
      </w:r>
      <w:r w:rsidRPr="005F39C1">
        <w:rPr>
          <w:rFonts w:ascii="Arial" w:hAnsi="Arial" w:cs="Arial"/>
          <w:sz w:val="22"/>
          <w:szCs w:val="22"/>
        </w:rPr>
        <w:t> accesso diretto a un set completo di strumenti di rendicontazione fiscale sviluppati specificamente per il mercato europeo.</w:t>
      </w:r>
    </w:p>
    <w:p w14:paraId="08CAB72E" w14:textId="77777777" w:rsidR="005432BF" w:rsidRPr="005F39C1" w:rsidRDefault="005432BF" w:rsidP="005F39C1">
      <w:pPr>
        <w:pStyle w:val="mb-4"/>
        <w:spacing w:before="0" w:beforeAutospacing="0" w:after="0" w:afterAutospacing="0" w:line="420" w:lineRule="atLeast"/>
        <w:jc w:val="both"/>
        <w:rPr>
          <w:rFonts w:ascii="Arial" w:hAnsi="Arial" w:cs="Arial"/>
          <w:sz w:val="22"/>
          <w:szCs w:val="22"/>
        </w:rPr>
      </w:pPr>
    </w:p>
    <w:p w14:paraId="5A58383C" w14:textId="77777777" w:rsidR="005432BF" w:rsidRPr="005F39C1" w:rsidRDefault="005432BF" w:rsidP="005F39C1">
      <w:pPr>
        <w:pStyle w:val="mb-4"/>
        <w:spacing w:before="0" w:beforeAutospacing="0" w:after="0" w:afterAutospacing="0" w:line="420" w:lineRule="atLeast"/>
        <w:jc w:val="both"/>
        <w:rPr>
          <w:rFonts w:ascii="Arial" w:hAnsi="Arial" w:cs="Arial"/>
          <w:sz w:val="22"/>
          <w:szCs w:val="22"/>
        </w:rPr>
      </w:pPr>
      <w:r w:rsidRPr="005F39C1">
        <w:rPr>
          <w:rFonts w:ascii="Arial" w:hAnsi="Arial" w:cs="Arial"/>
          <w:sz w:val="22"/>
          <w:szCs w:val="22"/>
        </w:rPr>
        <w:t>Gli utenti Bybit EU possono ora collegare l’intera cronologia delle transazioni a Blockpit in pochi passaggi direttamente dalla piattaforma Bybit EU, grazie all’integrazione tramite </w:t>
      </w:r>
      <w:r w:rsidRPr="008170D0">
        <w:rPr>
          <w:rStyle w:val="Enfasigrassetto"/>
          <w:rFonts w:ascii="Arial" w:hAnsi="Arial" w:cs="Arial"/>
          <w:b w:val="0"/>
          <w:bCs w:val="0"/>
          <w:sz w:val="22"/>
          <w:szCs w:val="22"/>
        </w:rPr>
        <w:t>Tax API</w:t>
      </w:r>
      <w:r w:rsidRPr="008170D0">
        <w:rPr>
          <w:rFonts w:ascii="Arial" w:hAnsi="Arial" w:cs="Arial"/>
          <w:b/>
          <w:bCs/>
          <w:sz w:val="22"/>
          <w:szCs w:val="22"/>
        </w:rPr>
        <w:t>.</w:t>
      </w:r>
      <w:r w:rsidRPr="005F39C1">
        <w:rPr>
          <w:rFonts w:ascii="Arial" w:hAnsi="Arial" w:cs="Arial"/>
          <w:sz w:val="22"/>
          <w:szCs w:val="22"/>
        </w:rPr>
        <w:t xml:space="preserve"> Come offerta di lancio, tutti gli utenti Bybit EU ricevono il </w:t>
      </w:r>
      <w:r w:rsidRPr="005F39C1">
        <w:rPr>
          <w:rStyle w:val="Enfasigrassetto"/>
          <w:rFonts w:ascii="Arial" w:hAnsi="Arial" w:cs="Arial"/>
          <w:b w:val="0"/>
          <w:bCs w:val="0"/>
          <w:sz w:val="22"/>
          <w:szCs w:val="22"/>
        </w:rPr>
        <w:t>50% di sconto</w:t>
      </w:r>
      <w:r w:rsidRPr="005F39C1">
        <w:rPr>
          <w:rFonts w:ascii="Arial" w:hAnsi="Arial" w:cs="Arial"/>
          <w:sz w:val="22"/>
          <w:szCs w:val="22"/>
        </w:rPr>
        <w:t> sul loro primo report fiscale Blockpit.</w:t>
      </w:r>
    </w:p>
    <w:p w14:paraId="05722A05" w14:textId="331C513E" w:rsidR="005432BF" w:rsidRPr="005F39C1" w:rsidRDefault="005432BF" w:rsidP="005F39C1">
      <w:pPr>
        <w:pStyle w:val="Titolo3"/>
        <w:spacing w:before="360" w:after="240"/>
        <w:jc w:val="both"/>
        <w:rPr>
          <w:b/>
          <w:bCs/>
          <w:color w:val="auto"/>
          <w:spacing w:val="-9"/>
          <w:sz w:val="22"/>
          <w:szCs w:val="22"/>
        </w:rPr>
      </w:pPr>
      <w:r w:rsidRPr="005F39C1">
        <w:rPr>
          <w:b/>
          <w:bCs/>
          <w:color w:val="auto"/>
          <w:spacing w:val="-9"/>
          <w:sz w:val="22"/>
          <w:szCs w:val="22"/>
        </w:rPr>
        <w:t>Colmare un reale gap per gli investitori cr</w:t>
      </w:r>
      <w:r w:rsidR="00F53097" w:rsidRPr="005F39C1">
        <w:rPr>
          <w:b/>
          <w:bCs/>
          <w:color w:val="auto"/>
          <w:spacing w:val="-9"/>
          <w:sz w:val="22"/>
          <w:szCs w:val="22"/>
        </w:rPr>
        <w:t>I</w:t>
      </w:r>
      <w:r w:rsidRPr="005F39C1">
        <w:rPr>
          <w:b/>
          <w:bCs/>
          <w:color w:val="auto"/>
          <w:spacing w:val="-9"/>
          <w:sz w:val="22"/>
          <w:szCs w:val="22"/>
        </w:rPr>
        <w:t>pto europei</w:t>
      </w:r>
    </w:p>
    <w:p w14:paraId="07C2BB97" w14:textId="77777777" w:rsidR="005432BF" w:rsidRPr="005F39C1" w:rsidRDefault="005432BF" w:rsidP="005F39C1">
      <w:pPr>
        <w:pStyle w:val="mb-4"/>
        <w:spacing w:before="0" w:beforeAutospacing="0" w:after="240" w:afterAutospacing="0" w:line="420" w:lineRule="atLeast"/>
        <w:jc w:val="both"/>
        <w:rPr>
          <w:rFonts w:ascii="Arial" w:hAnsi="Arial" w:cs="Arial"/>
          <w:sz w:val="22"/>
          <w:szCs w:val="22"/>
        </w:rPr>
      </w:pPr>
      <w:r w:rsidRPr="005F39C1">
        <w:rPr>
          <w:rFonts w:ascii="Arial" w:hAnsi="Arial" w:cs="Arial"/>
          <w:sz w:val="22"/>
          <w:szCs w:val="22"/>
        </w:rPr>
        <w:t>La rendicontazione fiscale delle criptovalute rimane una delle sfide più complesse per gli investitori retail in Europa. I quadri regolamentari nei Paesi membri dell’UE stanno evolvendo rapidamente e agli investitori viene sempre più richiesto di mantenere registri accurati delle attività legate agli asset digitali. La maggior parte, tuttavia, non dispone degli strumenti necessari per farlo in modo efficiente.</w:t>
      </w:r>
    </w:p>
    <w:p w14:paraId="54A3450E" w14:textId="4CE6D156" w:rsidR="005432BF" w:rsidRPr="005F39C1" w:rsidRDefault="005432BF" w:rsidP="005F39C1">
      <w:pPr>
        <w:pStyle w:val="mb-4"/>
        <w:spacing w:before="0" w:beforeAutospacing="0" w:after="0" w:afterAutospacing="0" w:line="420" w:lineRule="atLeast"/>
        <w:jc w:val="both"/>
        <w:rPr>
          <w:rFonts w:ascii="Arial" w:hAnsi="Arial" w:cs="Arial"/>
          <w:sz w:val="22"/>
          <w:szCs w:val="22"/>
        </w:rPr>
      </w:pPr>
      <w:r w:rsidRPr="005F39C1">
        <w:rPr>
          <w:rFonts w:ascii="Arial" w:hAnsi="Arial" w:cs="Arial"/>
          <w:sz w:val="22"/>
          <w:szCs w:val="22"/>
        </w:rPr>
        <w:t>Blockpit supporta </w:t>
      </w:r>
      <w:r w:rsidRPr="005F39C1">
        <w:rPr>
          <w:rStyle w:val="Enfasigrassetto"/>
          <w:rFonts w:ascii="Arial" w:hAnsi="Arial" w:cs="Arial"/>
          <w:b w:val="0"/>
          <w:bCs w:val="0"/>
          <w:sz w:val="22"/>
          <w:szCs w:val="22"/>
        </w:rPr>
        <w:t>oltre 700 integrazioni</w:t>
      </w:r>
      <w:r w:rsidRPr="005F39C1">
        <w:rPr>
          <w:rFonts w:ascii="Arial" w:hAnsi="Arial" w:cs="Arial"/>
          <w:sz w:val="22"/>
          <w:szCs w:val="22"/>
        </w:rPr>
        <w:t> </w:t>
      </w:r>
      <w:r w:rsidR="008170D0">
        <w:rPr>
          <w:rFonts w:ascii="Arial" w:hAnsi="Arial" w:cs="Arial"/>
          <w:sz w:val="22"/>
          <w:szCs w:val="22"/>
        </w:rPr>
        <w:t>-</w:t>
      </w:r>
      <w:r w:rsidRPr="005F39C1">
        <w:rPr>
          <w:rFonts w:ascii="Arial" w:hAnsi="Arial" w:cs="Arial"/>
          <w:sz w:val="22"/>
          <w:szCs w:val="22"/>
        </w:rPr>
        <w:t xml:space="preserve"> includendo exchange, wallet e protocolli DeFi </w:t>
      </w:r>
      <w:r w:rsidR="008170D0">
        <w:rPr>
          <w:rFonts w:ascii="Arial" w:hAnsi="Arial" w:cs="Arial"/>
          <w:sz w:val="22"/>
          <w:szCs w:val="22"/>
        </w:rPr>
        <w:t>-</w:t>
      </w:r>
      <w:r w:rsidRPr="005F39C1">
        <w:rPr>
          <w:rFonts w:ascii="Arial" w:hAnsi="Arial" w:cs="Arial"/>
          <w:sz w:val="22"/>
          <w:szCs w:val="22"/>
        </w:rPr>
        <w:t xml:space="preserve"> e offre un’elevata localizzazione in tutti i principali mercati europei. Per gli utenti Bybit EU, l’integrazione copre attività </w:t>
      </w:r>
      <w:r w:rsidRPr="005F39C1">
        <w:rPr>
          <w:rStyle w:val="Enfasigrassetto"/>
          <w:rFonts w:ascii="Arial" w:hAnsi="Arial" w:cs="Arial"/>
          <w:b w:val="0"/>
          <w:bCs w:val="0"/>
          <w:sz w:val="22"/>
          <w:szCs w:val="22"/>
        </w:rPr>
        <w:t>spot</w:t>
      </w:r>
      <w:r w:rsidRPr="005F39C1">
        <w:rPr>
          <w:rFonts w:ascii="Arial" w:hAnsi="Arial" w:cs="Arial"/>
          <w:b/>
          <w:bCs/>
          <w:sz w:val="22"/>
          <w:szCs w:val="22"/>
        </w:rPr>
        <w:t>, </w:t>
      </w:r>
      <w:r w:rsidRPr="005F39C1">
        <w:rPr>
          <w:rStyle w:val="Enfasigrassetto"/>
          <w:rFonts w:ascii="Arial" w:hAnsi="Arial" w:cs="Arial"/>
          <w:b w:val="0"/>
          <w:bCs w:val="0"/>
          <w:sz w:val="22"/>
          <w:szCs w:val="22"/>
        </w:rPr>
        <w:t>earn</w:t>
      </w:r>
      <w:r w:rsidRPr="005F39C1">
        <w:rPr>
          <w:rFonts w:ascii="Arial" w:hAnsi="Arial" w:cs="Arial"/>
          <w:b/>
          <w:bCs/>
          <w:sz w:val="22"/>
          <w:szCs w:val="22"/>
        </w:rPr>
        <w:t> </w:t>
      </w:r>
      <w:r w:rsidRPr="005F39C1">
        <w:rPr>
          <w:rFonts w:ascii="Arial" w:hAnsi="Arial" w:cs="Arial"/>
          <w:sz w:val="22"/>
          <w:szCs w:val="22"/>
        </w:rPr>
        <w:t>e</w:t>
      </w:r>
      <w:r w:rsidRPr="005F39C1">
        <w:rPr>
          <w:rFonts w:ascii="Arial" w:hAnsi="Arial" w:cs="Arial"/>
          <w:b/>
          <w:bCs/>
          <w:sz w:val="22"/>
          <w:szCs w:val="22"/>
        </w:rPr>
        <w:t> </w:t>
      </w:r>
      <w:r w:rsidRPr="005F39C1">
        <w:rPr>
          <w:rStyle w:val="Enfasigrassetto"/>
          <w:rFonts w:ascii="Arial" w:hAnsi="Arial" w:cs="Arial"/>
          <w:b w:val="0"/>
          <w:bCs w:val="0"/>
          <w:sz w:val="22"/>
          <w:szCs w:val="22"/>
        </w:rPr>
        <w:t>transfer</w:t>
      </w:r>
      <w:r w:rsidRPr="005F39C1">
        <w:rPr>
          <w:rFonts w:ascii="Arial" w:hAnsi="Arial" w:cs="Arial"/>
          <w:sz w:val="22"/>
          <w:szCs w:val="22"/>
        </w:rPr>
        <w:t>, mentre i </w:t>
      </w:r>
      <w:r w:rsidRPr="005F39C1">
        <w:rPr>
          <w:rStyle w:val="Enfasigrassetto"/>
          <w:rFonts w:ascii="Arial" w:hAnsi="Arial" w:cs="Arial"/>
          <w:b w:val="0"/>
          <w:bCs w:val="0"/>
          <w:sz w:val="22"/>
          <w:szCs w:val="22"/>
        </w:rPr>
        <w:t>derivati</w:t>
      </w:r>
      <w:r w:rsidRPr="005F39C1">
        <w:rPr>
          <w:rFonts w:ascii="Arial" w:hAnsi="Arial" w:cs="Arial"/>
          <w:sz w:val="22"/>
          <w:szCs w:val="22"/>
        </w:rPr>
        <w:t> verranno inclusi una volta abilitata la copertura ai sensi di </w:t>
      </w:r>
      <w:r w:rsidRPr="005F39C1">
        <w:rPr>
          <w:rStyle w:val="Enfasigrassetto"/>
          <w:rFonts w:ascii="Arial" w:hAnsi="Arial" w:cs="Arial"/>
          <w:b w:val="0"/>
          <w:bCs w:val="0"/>
          <w:sz w:val="22"/>
          <w:szCs w:val="22"/>
        </w:rPr>
        <w:t>MiFID II</w:t>
      </w:r>
      <w:r w:rsidRPr="005F39C1">
        <w:rPr>
          <w:rFonts w:ascii="Arial" w:hAnsi="Arial" w:cs="Arial"/>
          <w:sz w:val="22"/>
          <w:szCs w:val="22"/>
        </w:rPr>
        <w:t>.</w:t>
      </w:r>
    </w:p>
    <w:p w14:paraId="03D077FC" w14:textId="77777777" w:rsidR="00F53097" w:rsidRPr="005F39C1" w:rsidRDefault="00F53097" w:rsidP="005F39C1">
      <w:pPr>
        <w:pStyle w:val="mb-4"/>
        <w:spacing w:before="0" w:beforeAutospacing="0" w:after="0" w:afterAutospacing="0" w:line="420" w:lineRule="atLeast"/>
        <w:jc w:val="both"/>
        <w:rPr>
          <w:rFonts w:ascii="Arial" w:hAnsi="Arial" w:cs="Arial"/>
          <w:sz w:val="22"/>
          <w:szCs w:val="22"/>
        </w:rPr>
      </w:pPr>
    </w:p>
    <w:p w14:paraId="169D0294" w14:textId="289E88BF" w:rsidR="005432BF" w:rsidRPr="005F39C1" w:rsidRDefault="005432BF" w:rsidP="005F39C1">
      <w:pPr>
        <w:pStyle w:val="mb-4"/>
        <w:spacing w:before="0" w:beforeAutospacing="0" w:after="0" w:afterAutospacing="0" w:line="420" w:lineRule="atLeast"/>
        <w:jc w:val="both"/>
        <w:rPr>
          <w:rFonts w:ascii="Arial" w:hAnsi="Arial" w:cs="Arial"/>
          <w:sz w:val="22"/>
          <w:szCs w:val="22"/>
        </w:rPr>
      </w:pPr>
      <w:r w:rsidRPr="005F39C1">
        <w:rPr>
          <w:rFonts w:ascii="Arial" w:hAnsi="Arial" w:cs="Arial"/>
          <w:sz w:val="22"/>
          <w:szCs w:val="22"/>
        </w:rPr>
        <w:t xml:space="preserve">Per Bybit EU, </w:t>
      </w:r>
      <w:r w:rsidR="00F53097" w:rsidRPr="005F39C1">
        <w:rPr>
          <w:rFonts w:ascii="Arial" w:hAnsi="Arial" w:cs="Arial"/>
          <w:sz w:val="22"/>
          <w:szCs w:val="22"/>
        </w:rPr>
        <w:t>la collaborazione</w:t>
      </w:r>
      <w:r w:rsidRPr="005F39C1">
        <w:rPr>
          <w:rFonts w:ascii="Arial" w:hAnsi="Arial" w:cs="Arial"/>
          <w:sz w:val="22"/>
          <w:szCs w:val="22"/>
        </w:rPr>
        <w:t xml:space="preserve"> riflette una direzione strategica più ampia. “Man mano che Bybit EU matura come piattaforma, le </w:t>
      </w:r>
      <w:r w:rsidR="00616E50">
        <w:rPr>
          <w:rFonts w:ascii="Arial" w:hAnsi="Arial" w:cs="Arial"/>
          <w:sz w:val="22"/>
          <w:szCs w:val="22"/>
        </w:rPr>
        <w:t>soluzioni integrate</w:t>
      </w:r>
      <w:r w:rsidRPr="005F39C1">
        <w:rPr>
          <w:rFonts w:ascii="Arial" w:hAnsi="Arial" w:cs="Arial"/>
          <w:sz w:val="22"/>
          <w:szCs w:val="22"/>
        </w:rPr>
        <w:t xml:space="preserve"> che sviluppiamo rispecchiano gli utenti </w:t>
      </w:r>
      <w:r w:rsidR="00616E50">
        <w:rPr>
          <w:rFonts w:ascii="Arial" w:hAnsi="Arial" w:cs="Arial"/>
          <w:sz w:val="22"/>
          <w:szCs w:val="22"/>
        </w:rPr>
        <w:t>a cui ci rivolgiamo</w:t>
      </w:r>
      <w:r w:rsidRPr="005F39C1">
        <w:rPr>
          <w:rFonts w:ascii="Arial" w:hAnsi="Arial" w:cs="Arial"/>
          <w:sz w:val="22"/>
          <w:szCs w:val="22"/>
        </w:rPr>
        <w:t xml:space="preserve">: investitori con una visione di lungo periodo, che prendono sul serio il proprio portafoglio e desiderano un’infrastruttura all’altezza di questa ambizione”, ha </w:t>
      </w:r>
      <w:r w:rsidRPr="005F39C1">
        <w:rPr>
          <w:rFonts w:ascii="Arial" w:hAnsi="Arial" w:cs="Arial"/>
          <w:sz w:val="22"/>
          <w:szCs w:val="22"/>
        </w:rPr>
        <w:lastRenderedPageBreak/>
        <w:t>dichiarato </w:t>
      </w:r>
      <w:r w:rsidRPr="005F39C1">
        <w:rPr>
          <w:rStyle w:val="Enfasigrassetto"/>
          <w:rFonts w:ascii="Arial" w:hAnsi="Arial" w:cs="Arial"/>
          <w:sz w:val="22"/>
          <w:szCs w:val="22"/>
        </w:rPr>
        <w:t>Georg Harer</w:t>
      </w:r>
      <w:r w:rsidRPr="005F39C1">
        <w:rPr>
          <w:rFonts w:ascii="Arial" w:hAnsi="Arial" w:cs="Arial"/>
          <w:sz w:val="22"/>
          <w:szCs w:val="22"/>
        </w:rPr>
        <w:t xml:space="preserve">, </w:t>
      </w:r>
      <w:r w:rsidRPr="00377920">
        <w:rPr>
          <w:rFonts w:ascii="Arial" w:hAnsi="Arial" w:cs="Arial"/>
          <w:b/>
          <w:bCs/>
          <w:sz w:val="22"/>
          <w:szCs w:val="22"/>
        </w:rPr>
        <w:t>Co-CEO di Bybit EU</w:t>
      </w:r>
      <w:r w:rsidRPr="005F39C1">
        <w:rPr>
          <w:rFonts w:ascii="Arial" w:hAnsi="Arial" w:cs="Arial"/>
          <w:sz w:val="22"/>
          <w:szCs w:val="22"/>
        </w:rPr>
        <w:t>. “La partnership con Blockpit rientra in questo impegno.”</w:t>
      </w:r>
    </w:p>
    <w:p w14:paraId="6CF3F12B" w14:textId="77777777" w:rsidR="00F53097" w:rsidRPr="005F39C1" w:rsidRDefault="00F53097" w:rsidP="005F39C1">
      <w:pPr>
        <w:pStyle w:val="mb-4"/>
        <w:spacing w:before="0" w:beforeAutospacing="0" w:after="0" w:afterAutospacing="0" w:line="420" w:lineRule="atLeast"/>
        <w:jc w:val="both"/>
        <w:rPr>
          <w:rFonts w:ascii="Arial" w:hAnsi="Arial" w:cs="Arial"/>
          <w:sz w:val="22"/>
          <w:szCs w:val="22"/>
        </w:rPr>
      </w:pPr>
    </w:p>
    <w:p w14:paraId="2078AF1A" w14:textId="1040E6DA" w:rsidR="005432BF" w:rsidRDefault="005432BF" w:rsidP="005F39C1">
      <w:pPr>
        <w:pStyle w:val="mb-4"/>
        <w:spacing w:before="0" w:beforeAutospacing="0" w:after="0" w:afterAutospacing="0" w:line="420" w:lineRule="atLeast"/>
        <w:jc w:val="both"/>
        <w:rPr>
          <w:rFonts w:ascii="Arial" w:hAnsi="Arial" w:cs="Arial"/>
          <w:sz w:val="22"/>
          <w:szCs w:val="22"/>
        </w:rPr>
      </w:pPr>
      <w:r w:rsidRPr="005F39C1">
        <w:rPr>
          <w:rStyle w:val="Enfasigrassetto"/>
          <w:rFonts w:ascii="Arial" w:hAnsi="Arial" w:cs="Arial"/>
          <w:sz w:val="22"/>
          <w:szCs w:val="22"/>
        </w:rPr>
        <w:t>Florian Wimmer</w:t>
      </w:r>
      <w:r w:rsidRPr="005F39C1">
        <w:rPr>
          <w:rFonts w:ascii="Arial" w:hAnsi="Arial" w:cs="Arial"/>
          <w:sz w:val="22"/>
          <w:szCs w:val="22"/>
        </w:rPr>
        <w:t xml:space="preserve">, </w:t>
      </w:r>
      <w:r w:rsidRPr="00377920">
        <w:rPr>
          <w:rFonts w:ascii="Arial" w:hAnsi="Arial" w:cs="Arial"/>
          <w:b/>
          <w:bCs/>
          <w:sz w:val="22"/>
          <w:szCs w:val="22"/>
        </w:rPr>
        <w:t>CEO di Blockpit</w:t>
      </w:r>
      <w:r w:rsidRPr="005F39C1">
        <w:rPr>
          <w:rFonts w:ascii="Arial" w:hAnsi="Arial" w:cs="Arial"/>
          <w:sz w:val="22"/>
          <w:szCs w:val="22"/>
        </w:rPr>
        <w:t>, sottolinea che l’ampiezza dell’offerta di Bybit EU è stata centrale nell</w:t>
      </w:r>
      <w:r w:rsidR="00F53097" w:rsidRPr="005F39C1">
        <w:rPr>
          <w:rFonts w:ascii="Arial" w:hAnsi="Arial" w:cs="Arial"/>
          <w:sz w:val="22"/>
          <w:szCs w:val="22"/>
        </w:rPr>
        <w:t>’accordo</w:t>
      </w:r>
      <w:r w:rsidRPr="005F39C1">
        <w:rPr>
          <w:rFonts w:ascii="Arial" w:hAnsi="Arial" w:cs="Arial"/>
          <w:sz w:val="22"/>
          <w:szCs w:val="22"/>
        </w:rPr>
        <w:t>: “Bybit EU offre una gamma diversificata di strumenti finanziari nel mondo cr</w:t>
      </w:r>
      <w:r w:rsidR="00F53097" w:rsidRPr="005F39C1">
        <w:rPr>
          <w:rFonts w:ascii="Arial" w:hAnsi="Arial" w:cs="Arial"/>
          <w:sz w:val="22"/>
          <w:szCs w:val="22"/>
        </w:rPr>
        <w:t>i</w:t>
      </w:r>
      <w:r w:rsidRPr="005F39C1">
        <w:rPr>
          <w:rFonts w:ascii="Arial" w:hAnsi="Arial" w:cs="Arial"/>
          <w:sz w:val="22"/>
          <w:szCs w:val="22"/>
        </w:rPr>
        <w:t xml:space="preserve">pto </w:t>
      </w:r>
      <w:r w:rsidR="00F53097" w:rsidRPr="005F39C1">
        <w:rPr>
          <w:rFonts w:ascii="Arial" w:hAnsi="Arial" w:cs="Arial"/>
          <w:sz w:val="22"/>
          <w:szCs w:val="22"/>
        </w:rPr>
        <w:t>-</w:t>
      </w:r>
      <w:r w:rsidRPr="005F39C1">
        <w:rPr>
          <w:rFonts w:ascii="Arial" w:hAnsi="Arial" w:cs="Arial"/>
          <w:sz w:val="22"/>
          <w:szCs w:val="22"/>
        </w:rPr>
        <w:t xml:space="preserve"> spot, margin, prodotti earn e altro. Questa </w:t>
      </w:r>
      <w:r w:rsidR="005F39C1" w:rsidRPr="005F39C1">
        <w:rPr>
          <w:rFonts w:ascii="Arial" w:hAnsi="Arial" w:cs="Arial"/>
          <w:sz w:val="22"/>
          <w:szCs w:val="22"/>
        </w:rPr>
        <w:t>varietà</w:t>
      </w:r>
      <w:r w:rsidRPr="005F39C1">
        <w:rPr>
          <w:rFonts w:ascii="Arial" w:hAnsi="Arial" w:cs="Arial"/>
          <w:sz w:val="22"/>
          <w:szCs w:val="22"/>
        </w:rPr>
        <w:t xml:space="preserve"> comporta una reale complessità per gli investitori che cercano di tenere sotto controllo la propria rendicontazione. La nostra integrazione offre agli utenti Bybit EU gli strumenti per gestire tale </w:t>
      </w:r>
      <w:r w:rsidR="005F39C1" w:rsidRPr="005F39C1">
        <w:rPr>
          <w:rFonts w:ascii="Arial" w:hAnsi="Arial" w:cs="Arial"/>
          <w:sz w:val="22"/>
          <w:szCs w:val="22"/>
        </w:rPr>
        <w:t>eterogeneità</w:t>
      </w:r>
      <w:r w:rsidRPr="005F39C1">
        <w:rPr>
          <w:rFonts w:ascii="Arial" w:hAnsi="Arial" w:cs="Arial"/>
          <w:sz w:val="22"/>
          <w:szCs w:val="22"/>
        </w:rPr>
        <w:t xml:space="preserve"> in un unico luogo, su tutte le classi di asset.”</w:t>
      </w:r>
    </w:p>
    <w:p w14:paraId="53792259" w14:textId="77777777" w:rsidR="00616E50" w:rsidRPr="005F39C1" w:rsidRDefault="00616E50" w:rsidP="005F39C1">
      <w:pPr>
        <w:pStyle w:val="mb-4"/>
        <w:spacing w:before="0" w:beforeAutospacing="0" w:after="0" w:afterAutospacing="0" w:line="420" w:lineRule="atLeast"/>
        <w:jc w:val="both"/>
        <w:rPr>
          <w:rFonts w:ascii="Arial" w:hAnsi="Arial" w:cs="Arial"/>
          <w:sz w:val="22"/>
          <w:szCs w:val="22"/>
        </w:rPr>
      </w:pPr>
    </w:p>
    <w:p w14:paraId="50E228EC" w14:textId="77777777" w:rsidR="005432BF" w:rsidRPr="005F39C1" w:rsidRDefault="006E7470" w:rsidP="005F39C1">
      <w:pPr>
        <w:jc w:val="both"/>
      </w:pPr>
      <w:r>
        <w:rPr>
          <w:noProof/>
        </w:rPr>
        <w:pict w14:anchorId="3926E27A">
          <v:rect id="_x0000_i1025" alt="" style="width:325.3pt;height:.05pt;mso-width-percent:0;mso-height-percent:0;mso-width-percent:0;mso-height-percent:0" o:hrpct="675" o:hralign="center" o:hrstd="t" o:hr="t" fillcolor="#a0a0a0" stroked="f"/>
        </w:pict>
      </w:r>
    </w:p>
    <w:p w14:paraId="0F48D395" w14:textId="77777777" w:rsidR="005432BF" w:rsidRPr="005F39C1" w:rsidRDefault="005432BF" w:rsidP="005F39C1">
      <w:pPr>
        <w:pStyle w:val="Titolo3"/>
        <w:spacing w:before="360" w:after="240"/>
        <w:jc w:val="both"/>
        <w:rPr>
          <w:b/>
          <w:bCs/>
          <w:color w:val="auto"/>
          <w:spacing w:val="-9"/>
          <w:sz w:val="22"/>
          <w:szCs w:val="22"/>
        </w:rPr>
      </w:pPr>
      <w:r w:rsidRPr="005F39C1">
        <w:rPr>
          <w:b/>
          <w:bCs/>
          <w:color w:val="auto"/>
          <w:spacing w:val="-9"/>
          <w:sz w:val="22"/>
          <w:szCs w:val="22"/>
        </w:rPr>
        <w:t>Informazioni su Blockpit</w:t>
      </w:r>
    </w:p>
    <w:p w14:paraId="77E9B98B" w14:textId="41CB029D" w:rsidR="005432BF" w:rsidRPr="005F39C1" w:rsidRDefault="005432BF" w:rsidP="005F39C1">
      <w:pPr>
        <w:pStyle w:val="mb-4"/>
        <w:spacing w:before="0" w:beforeAutospacing="0" w:after="0" w:afterAutospacing="0" w:line="420" w:lineRule="atLeast"/>
        <w:jc w:val="both"/>
        <w:rPr>
          <w:rFonts w:ascii="Arial" w:hAnsi="Arial" w:cs="Arial"/>
          <w:sz w:val="22"/>
          <w:szCs w:val="22"/>
        </w:rPr>
      </w:pPr>
      <w:r w:rsidRPr="005F39C1">
        <w:rPr>
          <w:rFonts w:ascii="Arial" w:hAnsi="Arial" w:cs="Arial"/>
          <w:sz w:val="22"/>
          <w:szCs w:val="22"/>
        </w:rPr>
        <w:t>Fondat</w:t>
      </w:r>
      <w:r w:rsidR="00377920">
        <w:rPr>
          <w:rFonts w:ascii="Arial" w:hAnsi="Arial" w:cs="Arial"/>
          <w:sz w:val="22"/>
          <w:szCs w:val="22"/>
        </w:rPr>
        <w:t>a</w:t>
      </w:r>
      <w:r w:rsidRPr="005F39C1">
        <w:rPr>
          <w:rFonts w:ascii="Arial" w:hAnsi="Arial" w:cs="Arial"/>
          <w:sz w:val="22"/>
          <w:szCs w:val="22"/>
        </w:rPr>
        <w:t xml:space="preserve"> nel 2017 e con sede in Austria, </w:t>
      </w:r>
      <w:r w:rsidRPr="00616E50">
        <w:rPr>
          <w:rStyle w:val="Enfasigrassetto"/>
          <w:rFonts w:ascii="Arial" w:hAnsi="Arial" w:cs="Arial"/>
          <w:b w:val="0"/>
          <w:bCs w:val="0"/>
          <w:sz w:val="22"/>
          <w:szCs w:val="22"/>
        </w:rPr>
        <w:t>Blockpit</w:t>
      </w:r>
      <w:r w:rsidRPr="00616E50">
        <w:rPr>
          <w:rFonts w:ascii="Arial" w:hAnsi="Arial" w:cs="Arial"/>
          <w:b/>
          <w:bCs/>
          <w:sz w:val="22"/>
          <w:szCs w:val="22"/>
        </w:rPr>
        <w:t> </w:t>
      </w:r>
      <w:r w:rsidRPr="005F39C1">
        <w:rPr>
          <w:rFonts w:ascii="Arial" w:hAnsi="Arial" w:cs="Arial"/>
          <w:sz w:val="22"/>
          <w:szCs w:val="22"/>
        </w:rPr>
        <w:t>è il principale fornitore europeo di software per la rendicontazione fiscale sulle criptovalute. Utilizzata da investitori e professionisti fiscali in </w:t>
      </w:r>
      <w:r w:rsidRPr="005F39C1">
        <w:rPr>
          <w:rStyle w:val="Enfasigrassetto"/>
          <w:rFonts w:ascii="Arial" w:hAnsi="Arial" w:cs="Arial"/>
          <w:b w:val="0"/>
          <w:bCs w:val="0"/>
          <w:sz w:val="22"/>
          <w:szCs w:val="22"/>
        </w:rPr>
        <w:t>36 Paesi</w:t>
      </w:r>
      <w:r w:rsidRPr="005F39C1">
        <w:rPr>
          <w:rFonts w:ascii="Arial" w:hAnsi="Arial" w:cs="Arial"/>
          <w:sz w:val="22"/>
          <w:szCs w:val="22"/>
        </w:rPr>
        <w:t>, la piattaforma offre un calcolatore fiscale cr</w:t>
      </w:r>
      <w:r w:rsidR="005F39C1">
        <w:rPr>
          <w:rFonts w:ascii="Arial" w:hAnsi="Arial" w:cs="Arial"/>
          <w:sz w:val="22"/>
          <w:szCs w:val="22"/>
        </w:rPr>
        <w:t>i</w:t>
      </w:r>
      <w:r w:rsidRPr="005F39C1">
        <w:rPr>
          <w:rFonts w:ascii="Arial" w:hAnsi="Arial" w:cs="Arial"/>
          <w:sz w:val="22"/>
          <w:szCs w:val="22"/>
        </w:rPr>
        <w:t>pto, un portfolio tracker, strumenti di ottimizzazione fiscale e reportistica “source of funds”, il tutto sviluppato secondo gli standard </w:t>
      </w:r>
      <w:r w:rsidRPr="005F39C1">
        <w:rPr>
          <w:rStyle w:val="Enfasigrassetto"/>
          <w:rFonts w:ascii="Arial" w:hAnsi="Arial" w:cs="Arial"/>
          <w:b w:val="0"/>
          <w:bCs w:val="0"/>
          <w:sz w:val="22"/>
          <w:szCs w:val="22"/>
        </w:rPr>
        <w:t>GDPR</w:t>
      </w:r>
      <w:r w:rsidRPr="005F39C1">
        <w:rPr>
          <w:rFonts w:ascii="Arial" w:hAnsi="Arial" w:cs="Arial"/>
          <w:sz w:val="22"/>
          <w:szCs w:val="22"/>
        </w:rPr>
        <w:t>. Blockpit si integra con oltre </w:t>
      </w:r>
      <w:r w:rsidRPr="005F39C1">
        <w:rPr>
          <w:rStyle w:val="Enfasigrassetto"/>
          <w:rFonts w:ascii="Arial" w:hAnsi="Arial" w:cs="Arial"/>
          <w:b w:val="0"/>
          <w:bCs w:val="0"/>
          <w:sz w:val="22"/>
          <w:szCs w:val="22"/>
        </w:rPr>
        <w:t>700</w:t>
      </w:r>
      <w:r w:rsidRPr="005F39C1">
        <w:rPr>
          <w:rFonts w:ascii="Arial" w:hAnsi="Arial" w:cs="Arial"/>
          <w:sz w:val="22"/>
          <w:szCs w:val="22"/>
        </w:rPr>
        <w:t> exchange, wallet e protocolli DeFi. </w:t>
      </w:r>
      <w:hyperlink r:id="rId8" w:tgtFrame="_blank" w:history="1">
        <w:r w:rsidRPr="005F39C1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www.blockpit.io</w:t>
        </w:r>
      </w:hyperlink>
    </w:p>
    <w:p w14:paraId="0000000C" w14:textId="77777777" w:rsidR="007574B7" w:rsidRDefault="007574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</w:pPr>
    </w:p>
    <w:p w14:paraId="7F082822" w14:textId="77777777" w:rsidR="005432BF" w:rsidRDefault="005432B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color w:val="FF9C2E"/>
        </w:rPr>
      </w:pPr>
    </w:p>
    <w:p w14:paraId="0000000D" w14:textId="77777777" w:rsidR="007574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color w:val="FF9C2E"/>
        </w:rPr>
      </w:pPr>
      <w:r>
        <w:rPr>
          <w:color w:val="FF9C2E"/>
        </w:rPr>
        <w:t xml:space="preserve">#BybitEU / #CryptoHub / #BybitCard </w:t>
      </w:r>
    </w:p>
    <w:p w14:paraId="0000000E" w14:textId="77777777" w:rsidR="007574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color w:val="202020"/>
        </w:rPr>
      </w:pPr>
      <w:r>
        <w:rPr>
          <w:color w:val="202020"/>
        </w:rPr>
        <w:t xml:space="preserve"> </w:t>
      </w:r>
    </w:p>
    <w:p w14:paraId="3912D545" w14:textId="2C4C7565" w:rsidR="005F39C1" w:rsidRPr="004F4704" w:rsidRDefault="005F39C1" w:rsidP="004F4704">
      <w:pPr>
        <w:spacing w:line="420" w:lineRule="atLeast"/>
        <w:jc w:val="both"/>
        <w:rPr>
          <w:rFonts w:eastAsia="Times New Roman"/>
          <w:b/>
          <w:bCs/>
          <w:sz w:val="20"/>
          <w:szCs w:val="20"/>
          <w:lang w:val="it-IT"/>
        </w:rPr>
      </w:pPr>
      <w:r w:rsidRPr="004F4704">
        <w:rPr>
          <w:rFonts w:eastAsia="Times New Roman"/>
          <w:b/>
          <w:bCs/>
          <w:sz w:val="20"/>
          <w:szCs w:val="20"/>
          <w:lang w:val="it-IT"/>
        </w:rPr>
        <w:t>Informazioni su Bybit EU</w:t>
      </w:r>
    </w:p>
    <w:p w14:paraId="7963B7F0" w14:textId="731EC5DE" w:rsidR="005F39C1" w:rsidRPr="004F4704" w:rsidRDefault="005F39C1" w:rsidP="004F4704">
      <w:pPr>
        <w:spacing w:line="420" w:lineRule="atLeast"/>
        <w:jc w:val="both"/>
        <w:rPr>
          <w:rFonts w:eastAsia="Times New Roman"/>
          <w:sz w:val="20"/>
          <w:szCs w:val="20"/>
          <w:lang w:val="it-IT"/>
        </w:rPr>
      </w:pPr>
      <w:r w:rsidRPr="004F4704">
        <w:rPr>
          <w:rFonts w:eastAsia="Times New Roman"/>
          <w:sz w:val="20"/>
          <w:szCs w:val="20"/>
          <w:lang w:val="it-IT"/>
        </w:rPr>
        <w:t>Bybit EU GmbH è un fornitore di servizi per le cripto-attività (CASP) con sede in Austria, autorizzato in Austria ai sensi del Regolamento sui mercati delle cripto-attività (MiCAR). Bybit EU serve clienti in tutto lo Spazio Economico Europeo (SEE) - ad eccezione di Malta - tramite la piattaforma </w:t>
      </w:r>
      <w:hyperlink r:id="rId9">
        <w:r w:rsidRPr="004F4704">
          <w:rPr>
            <w:rStyle w:val="Collegamentoipertestuale"/>
            <w:rFonts w:eastAsia="Times New Roman"/>
            <w:sz w:val="20"/>
            <w:szCs w:val="20"/>
          </w:rPr>
          <w:t>bybit.eu</w:t>
        </w:r>
      </w:hyperlink>
      <w:r w:rsidRPr="004F4704">
        <w:rPr>
          <w:rFonts w:eastAsia="Times New Roman"/>
          <w:sz w:val="20"/>
          <w:szCs w:val="20"/>
          <w:lang w:val="it-IT"/>
        </w:rPr>
        <w:t>.</w:t>
      </w:r>
    </w:p>
    <w:p w14:paraId="019478EA" w14:textId="08DBBB32" w:rsidR="005F39C1" w:rsidRPr="004F4704" w:rsidRDefault="005F39C1" w:rsidP="004F4704">
      <w:pPr>
        <w:spacing w:after="240" w:line="420" w:lineRule="atLeast"/>
        <w:jc w:val="both"/>
        <w:rPr>
          <w:rFonts w:eastAsia="Times New Roman"/>
          <w:sz w:val="20"/>
          <w:szCs w:val="20"/>
          <w:lang w:val="it-IT"/>
        </w:rPr>
      </w:pPr>
      <w:r w:rsidRPr="004F4704">
        <w:rPr>
          <w:rFonts w:eastAsia="Times New Roman"/>
          <w:sz w:val="20"/>
          <w:szCs w:val="20"/>
          <w:lang w:val="it-IT"/>
        </w:rPr>
        <w:t>Bybit EU GmbH è autorizzata a offrire i seguenti servizi:</w:t>
      </w:r>
    </w:p>
    <w:p w14:paraId="37EF4CC0" w14:textId="77777777" w:rsidR="005F39C1" w:rsidRPr="004F4704" w:rsidRDefault="005F39C1" w:rsidP="004F4704">
      <w:pPr>
        <w:numPr>
          <w:ilvl w:val="0"/>
          <w:numId w:val="2"/>
        </w:numPr>
        <w:spacing w:line="240" w:lineRule="auto"/>
        <w:ind w:left="1080"/>
        <w:jc w:val="both"/>
        <w:rPr>
          <w:rFonts w:eastAsia="Times New Roman"/>
          <w:sz w:val="20"/>
          <w:szCs w:val="20"/>
          <w:lang w:val="it-IT"/>
        </w:rPr>
      </w:pPr>
      <w:r w:rsidRPr="004F4704">
        <w:rPr>
          <w:rFonts w:eastAsia="Times New Roman"/>
          <w:sz w:val="20"/>
          <w:szCs w:val="20"/>
          <w:lang w:val="it-IT"/>
        </w:rPr>
        <w:t>custodia e amministrazione di cripto-attività per conto dei clienti;</w:t>
      </w:r>
    </w:p>
    <w:p w14:paraId="72602DE0" w14:textId="77777777" w:rsidR="005F39C1" w:rsidRPr="004F4704" w:rsidRDefault="005F39C1" w:rsidP="004F4704">
      <w:pPr>
        <w:numPr>
          <w:ilvl w:val="0"/>
          <w:numId w:val="2"/>
        </w:numPr>
        <w:spacing w:line="240" w:lineRule="auto"/>
        <w:ind w:left="1080"/>
        <w:jc w:val="both"/>
        <w:rPr>
          <w:rFonts w:eastAsia="Times New Roman"/>
          <w:sz w:val="20"/>
          <w:szCs w:val="20"/>
          <w:lang w:val="it-IT"/>
        </w:rPr>
      </w:pPr>
      <w:r w:rsidRPr="004F4704">
        <w:rPr>
          <w:rFonts w:eastAsia="Times New Roman"/>
          <w:sz w:val="20"/>
          <w:szCs w:val="20"/>
          <w:lang w:val="it-IT"/>
        </w:rPr>
        <w:t>scambio di cripto-attività con fondi;</w:t>
      </w:r>
    </w:p>
    <w:p w14:paraId="6ECCE4A8" w14:textId="77777777" w:rsidR="005F39C1" w:rsidRPr="004F4704" w:rsidRDefault="005F39C1" w:rsidP="004F4704">
      <w:pPr>
        <w:numPr>
          <w:ilvl w:val="0"/>
          <w:numId w:val="2"/>
        </w:numPr>
        <w:spacing w:line="240" w:lineRule="auto"/>
        <w:ind w:left="1080"/>
        <w:jc w:val="both"/>
        <w:rPr>
          <w:rFonts w:eastAsia="Times New Roman"/>
          <w:sz w:val="20"/>
          <w:szCs w:val="20"/>
          <w:lang w:val="it-IT"/>
        </w:rPr>
      </w:pPr>
      <w:r w:rsidRPr="004F4704">
        <w:rPr>
          <w:rFonts w:eastAsia="Times New Roman"/>
          <w:sz w:val="20"/>
          <w:szCs w:val="20"/>
          <w:lang w:val="it-IT"/>
        </w:rPr>
        <w:t>scambio di cripto-attività con altre cripto-attività;</w:t>
      </w:r>
    </w:p>
    <w:p w14:paraId="456CEBA7" w14:textId="5D5535FC" w:rsidR="005F39C1" w:rsidRPr="004F4704" w:rsidRDefault="005F39C1" w:rsidP="004F4704">
      <w:pPr>
        <w:numPr>
          <w:ilvl w:val="0"/>
          <w:numId w:val="2"/>
        </w:numPr>
        <w:spacing w:line="240" w:lineRule="auto"/>
        <w:ind w:left="1080"/>
        <w:jc w:val="both"/>
        <w:rPr>
          <w:rFonts w:eastAsia="Times New Roman"/>
          <w:sz w:val="20"/>
          <w:szCs w:val="20"/>
          <w:lang w:val="it-IT"/>
        </w:rPr>
      </w:pPr>
      <w:r w:rsidRPr="004F4704">
        <w:rPr>
          <w:rFonts w:eastAsia="Times New Roman"/>
          <w:sz w:val="20"/>
          <w:szCs w:val="20"/>
          <w:lang w:val="it-IT"/>
        </w:rPr>
        <w:t>collocamento di cripto-attività;</w:t>
      </w:r>
    </w:p>
    <w:p w14:paraId="7E9951C9" w14:textId="77777777" w:rsidR="005F39C1" w:rsidRPr="004F4704" w:rsidRDefault="005F39C1" w:rsidP="004F4704">
      <w:pPr>
        <w:numPr>
          <w:ilvl w:val="0"/>
          <w:numId w:val="2"/>
        </w:numPr>
        <w:spacing w:line="240" w:lineRule="auto"/>
        <w:ind w:left="1080"/>
        <w:jc w:val="both"/>
        <w:rPr>
          <w:rFonts w:eastAsia="Times New Roman"/>
          <w:sz w:val="20"/>
          <w:szCs w:val="20"/>
          <w:lang w:val="it-IT"/>
        </w:rPr>
      </w:pPr>
      <w:r w:rsidRPr="004F4704">
        <w:rPr>
          <w:rFonts w:eastAsia="Times New Roman"/>
          <w:sz w:val="20"/>
          <w:szCs w:val="20"/>
          <w:lang w:val="it-IT"/>
        </w:rPr>
        <w:t>servizi di trasferimento di cripto-attività per conto dei clienti.</w:t>
      </w:r>
    </w:p>
    <w:p w14:paraId="5AE39057" w14:textId="77777777" w:rsidR="005F39C1" w:rsidRPr="004F4704" w:rsidRDefault="005F39C1" w:rsidP="004F4704">
      <w:pPr>
        <w:spacing w:line="420" w:lineRule="atLeast"/>
        <w:jc w:val="both"/>
        <w:rPr>
          <w:rFonts w:eastAsia="Times New Roman"/>
          <w:sz w:val="20"/>
          <w:szCs w:val="20"/>
          <w:lang w:val="it-IT"/>
        </w:rPr>
      </w:pPr>
      <w:r w:rsidRPr="004F4704">
        <w:rPr>
          <w:rFonts w:eastAsia="Times New Roman"/>
          <w:sz w:val="20"/>
          <w:szCs w:val="20"/>
          <w:lang w:val="it-IT"/>
        </w:rPr>
        <w:lastRenderedPageBreak/>
        <w:t>Bybit EU GmbH non è l’operatore di una piattaforma di negoziazione di cripto-attività e non fornisce consulenza in materia di investimenti.</w:t>
      </w:r>
    </w:p>
    <w:p w14:paraId="00000019" w14:textId="77777777" w:rsidR="007574B7" w:rsidRPr="004F4704" w:rsidRDefault="007574B7">
      <w:pPr>
        <w:rPr>
          <w:color w:val="202020"/>
          <w:sz w:val="20"/>
          <w:szCs w:val="20"/>
        </w:rPr>
      </w:pPr>
      <w:bookmarkStart w:id="0" w:name="_heading=h.totanxkjzeuw" w:colFirst="0" w:colLast="0"/>
      <w:bookmarkEnd w:id="0"/>
    </w:p>
    <w:p w14:paraId="7B3E37BB" w14:textId="77777777" w:rsidR="004F4704" w:rsidRPr="004F4704" w:rsidRDefault="004F47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color w:val="202020"/>
          <w:sz w:val="20"/>
          <w:szCs w:val="20"/>
        </w:rPr>
      </w:pPr>
    </w:p>
    <w:p w14:paraId="4AF85165" w14:textId="20D692C4" w:rsidR="004F4704" w:rsidRPr="004F4704" w:rsidRDefault="004F47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sz w:val="20"/>
          <w:szCs w:val="20"/>
        </w:rPr>
      </w:pPr>
      <w:r w:rsidRPr="004F4704">
        <w:rPr>
          <w:b/>
          <w:bCs/>
          <w:sz w:val="20"/>
          <w:szCs w:val="20"/>
        </w:rPr>
        <w:t>Disclaimer:</w:t>
      </w:r>
      <w:r w:rsidRPr="004F4704">
        <w:rPr>
          <w:sz w:val="20"/>
          <w:szCs w:val="20"/>
        </w:rPr>
        <w:t> </w:t>
      </w:r>
      <w:r w:rsidR="00616E50">
        <w:rPr>
          <w:sz w:val="20"/>
          <w:szCs w:val="20"/>
        </w:rPr>
        <w:t>il</w:t>
      </w:r>
      <w:r w:rsidRPr="004F4704">
        <w:rPr>
          <w:sz w:val="20"/>
          <w:szCs w:val="20"/>
        </w:rPr>
        <w:t xml:space="preserve"> presente comunicato stampa è fornito esclusivamente a scopo informativo e non costituisce consulenza in materia di investimenti né un’offerta di acquisto o vendita di asset digitali. Gli utenti sono gli unici responsabili della valutazione dei propri obblighi fiscali e dovrebbero consultare un professionista fiscale indipendente. Offerta soggetta a termini e condizioni. I prodotti e i servizi qui menzionati sono soggetti alle leggi e ai regolamenti applicabili nelle rispettive giurisdizioni e potrebbero non essere disponibili in alcune aree geografiche. In qualità di exchange centralizzato, Bybit EU può offrire determinati prodotti, incluso lo staking, che operano su base off-chain, in cui gli asset degli utenti sono detenuti da Bybit EU e i reward sono calcolati e distribuiti internamente senza registrare le transazioni sulla blockchain. Le performance passate non sono indicative di risultati futuri. Gli utenti dovrebbero valutare attentamente tutti i rischi prima di partecipare a qualsiasi attività legata agli asset digitali.</w:t>
      </w:r>
    </w:p>
    <w:p w14:paraId="0000001E" w14:textId="77777777" w:rsidR="007574B7" w:rsidRDefault="007574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color w:val="FF9C2E"/>
        </w:rPr>
      </w:pPr>
    </w:p>
    <w:p w14:paraId="7A4E802D" w14:textId="77777777" w:rsidR="00A33AC5" w:rsidRDefault="00A33A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color w:val="FF9C2E"/>
        </w:rPr>
      </w:pPr>
    </w:p>
    <w:p w14:paraId="36C382B6" w14:textId="77777777" w:rsidR="00A33AC5" w:rsidRPr="00C31B89" w:rsidRDefault="00A33AC5" w:rsidP="00A33AC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C31B89">
        <w:rPr>
          <w:rStyle w:val="normaltextrun"/>
          <w:rFonts w:ascii="Arial" w:eastAsiaTheme="majorEastAsia" w:hAnsi="Arial" w:cs="Arial"/>
          <w:b/>
          <w:bCs/>
          <w:sz w:val="20"/>
          <w:szCs w:val="20"/>
          <w:lang w:val="en-US"/>
        </w:rPr>
        <w:t>Contatti stampa</w:t>
      </w:r>
      <w:r w:rsidRPr="00C31B89">
        <w:rPr>
          <w:rStyle w:val="eop"/>
          <w:rFonts w:ascii="Arial" w:eastAsiaTheme="majorEastAsia" w:hAnsi="Arial" w:cs="Arial"/>
          <w:sz w:val="20"/>
          <w:szCs w:val="20"/>
        </w:rPr>
        <w:t> </w:t>
      </w:r>
    </w:p>
    <w:p w14:paraId="057A4DBF" w14:textId="77777777" w:rsidR="00A33AC5" w:rsidRPr="00C31B89" w:rsidRDefault="00A33AC5" w:rsidP="00A33AC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C31B89">
        <w:rPr>
          <w:rStyle w:val="normaltextrun"/>
          <w:rFonts w:ascii="Arial" w:eastAsiaTheme="majorEastAsia" w:hAnsi="Arial" w:cs="Arial"/>
          <w:sz w:val="20"/>
          <w:szCs w:val="20"/>
          <w:lang w:val="en-US"/>
        </w:rPr>
        <w:t>Nicolò Marcon, Alessandro Zambetti</w:t>
      </w:r>
      <w:r w:rsidRPr="00C31B89">
        <w:rPr>
          <w:rStyle w:val="eop"/>
          <w:rFonts w:ascii="Arial" w:eastAsiaTheme="majorEastAsia" w:hAnsi="Arial" w:cs="Arial"/>
          <w:sz w:val="20"/>
          <w:szCs w:val="20"/>
        </w:rPr>
        <w:t> </w:t>
      </w:r>
    </w:p>
    <w:p w14:paraId="400552C2" w14:textId="77777777" w:rsidR="00A33AC5" w:rsidRPr="00C31B89" w:rsidRDefault="00A33AC5" w:rsidP="00A33AC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eastAsiaTheme="majorEastAsia" w:hAnsi="Arial" w:cs="Arial"/>
          <w:sz w:val="20"/>
          <w:szCs w:val="20"/>
        </w:rPr>
      </w:pPr>
      <w:hyperlink r:id="rId10" w:tgtFrame="_blank" w:history="1">
        <w:r w:rsidRPr="00C31B89">
          <w:rPr>
            <w:rStyle w:val="normaltextrun"/>
            <w:rFonts w:ascii="Arial" w:eastAsiaTheme="majorEastAsia" w:hAnsi="Arial" w:cs="Arial"/>
            <w:b/>
            <w:bCs/>
            <w:color w:val="467886"/>
            <w:sz w:val="20"/>
            <w:szCs w:val="20"/>
            <w:u w:val="single"/>
            <w:lang w:val="en-US"/>
          </w:rPr>
          <w:t>bybitIT@teamlewis.com</w:t>
        </w:r>
      </w:hyperlink>
      <w:r w:rsidRPr="00C31B89">
        <w:rPr>
          <w:rStyle w:val="eop"/>
          <w:rFonts w:ascii="Arial" w:eastAsiaTheme="majorEastAsia" w:hAnsi="Arial" w:cs="Arial"/>
          <w:sz w:val="20"/>
          <w:szCs w:val="20"/>
        </w:rPr>
        <w:t> </w:t>
      </w:r>
    </w:p>
    <w:p w14:paraId="2744A310" w14:textId="77777777" w:rsidR="00A33AC5" w:rsidRPr="00C31B89" w:rsidRDefault="00A33AC5" w:rsidP="00A33AC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C31B89">
        <w:rPr>
          <w:rStyle w:val="eop"/>
          <w:rFonts w:ascii="Arial" w:eastAsiaTheme="majorEastAsia" w:hAnsi="Arial" w:cs="Arial"/>
          <w:sz w:val="20"/>
          <w:szCs w:val="20"/>
        </w:rPr>
        <w:t>Cell: +39 3389241387</w:t>
      </w:r>
    </w:p>
    <w:p w14:paraId="0F305456" w14:textId="77777777" w:rsidR="00A33AC5" w:rsidRPr="00C31B89" w:rsidRDefault="00A33AC5" w:rsidP="00A33AC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eastAsiaTheme="majorEastAsia" w:hAnsi="Arial" w:cs="Arial"/>
          <w:sz w:val="20"/>
          <w:szCs w:val="20"/>
        </w:rPr>
      </w:pPr>
      <w:hyperlink r:id="rId11" w:tgtFrame="_blank" w:history="1">
        <w:r w:rsidRPr="00C31B89">
          <w:rPr>
            <w:rStyle w:val="normaltextrun"/>
            <w:rFonts w:ascii="Arial" w:eastAsiaTheme="majorEastAsia" w:hAnsi="Arial" w:cs="Arial"/>
            <w:b/>
            <w:bCs/>
            <w:color w:val="467886"/>
            <w:sz w:val="20"/>
            <w:szCs w:val="20"/>
            <w:u w:val="single"/>
            <w:lang w:val="en-US"/>
          </w:rPr>
          <w:t>www.bybit.eu</w:t>
        </w:r>
      </w:hyperlink>
      <w:r w:rsidRPr="00C31B89">
        <w:rPr>
          <w:rStyle w:val="eop"/>
          <w:rFonts w:ascii="Arial" w:eastAsiaTheme="majorEastAsia" w:hAnsi="Arial" w:cs="Arial"/>
          <w:sz w:val="20"/>
          <w:szCs w:val="20"/>
        </w:rPr>
        <w:t> </w:t>
      </w:r>
    </w:p>
    <w:p w14:paraId="0000001F" w14:textId="77777777" w:rsidR="007574B7" w:rsidRDefault="007574B7"/>
    <w:sectPr w:rsidR="007574B7">
      <w:head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E3FD8" w14:textId="77777777" w:rsidR="006E7470" w:rsidRDefault="006E7470" w:rsidP="005432BF">
      <w:pPr>
        <w:spacing w:line="240" w:lineRule="auto"/>
      </w:pPr>
      <w:r>
        <w:separator/>
      </w:r>
    </w:p>
  </w:endnote>
  <w:endnote w:type="continuationSeparator" w:id="0">
    <w:p w14:paraId="23975942" w14:textId="77777777" w:rsidR="006E7470" w:rsidRDefault="006E7470" w:rsidP="005432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86E8319-72CD-9444-B799-8149FE1BB4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1D3A2AB-E003-E741-8BBF-9943660EE71A}"/>
    <w:embedBold r:id="rId3" w:fontKey="{ABAD967C-D541-774B-8B0E-32914E776E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BAEFBF0C-78E5-334B-898C-FB76FA74E49E}"/>
    <w:embedBold r:id="rId5" w:fontKey="{0DCD4AF8-F81E-A244-BA68-49A35944849A}"/>
    <w:embedItalic r:id="rId6" w:fontKey="{D550F463-5A5B-E44E-BB75-595BFD5A396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D0D0917-D702-1E4A-9506-986659DB10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A7A1EF0-C24C-DC46-A30B-C2686CC3AD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ABDD5F" w14:textId="77777777" w:rsidR="006E7470" w:rsidRDefault="006E7470" w:rsidP="005432BF">
      <w:pPr>
        <w:spacing w:line="240" w:lineRule="auto"/>
      </w:pPr>
      <w:r>
        <w:separator/>
      </w:r>
    </w:p>
  </w:footnote>
  <w:footnote w:type="continuationSeparator" w:id="0">
    <w:p w14:paraId="3ED616CD" w14:textId="77777777" w:rsidR="006E7470" w:rsidRDefault="006E7470" w:rsidP="005432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7B1FA" w14:textId="008D78B0" w:rsidR="005432BF" w:rsidRDefault="005432BF">
    <w:pPr>
      <w:pStyle w:val="Intestazione"/>
    </w:pPr>
    <w:r>
      <w:rPr>
        <w:noProof/>
      </w:rPr>
      <w:drawing>
        <wp:inline distT="114300" distB="114300" distL="114300" distR="114300" wp14:anchorId="4E5B9E4D" wp14:editId="2BD4C9D0">
          <wp:extent cx="928688" cy="68361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8688" cy="6836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42C3255" w14:textId="77777777" w:rsidR="005432BF" w:rsidRDefault="005432BF">
    <w:pPr>
      <w:pStyle w:val="Intestazione"/>
    </w:pPr>
  </w:p>
  <w:p w14:paraId="482615EB" w14:textId="77777777" w:rsidR="005432BF" w:rsidRDefault="005432B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A40FF"/>
    <w:multiLevelType w:val="multilevel"/>
    <w:tmpl w:val="56BA7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CFA585B"/>
    <w:multiLevelType w:val="multilevel"/>
    <w:tmpl w:val="A4FC0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50660154">
    <w:abstractNumId w:val="1"/>
  </w:num>
  <w:num w:numId="2" w16cid:durableId="909313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4B7"/>
    <w:rsid w:val="00090128"/>
    <w:rsid w:val="000E3856"/>
    <w:rsid w:val="0035643A"/>
    <w:rsid w:val="00377920"/>
    <w:rsid w:val="004F4704"/>
    <w:rsid w:val="00511734"/>
    <w:rsid w:val="005432BF"/>
    <w:rsid w:val="005D16FD"/>
    <w:rsid w:val="005F39C1"/>
    <w:rsid w:val="00616E50"/>
    <w:rsid w:val="006E7470"/>
    <w:rsid w:val="0073507B"/>
    <w:rsid w:val="007574B7"/>
    <w:rsid w:val="008170D0"/>
    <w:rsid w:val="00A33AC5"/>
    <w:rsid w:val="00B15A74"/>
    <w:rsid w:val="00BA2E76"/>
    <w:rsid w:val="00BB2A0A"/>
    <w:rsid w:val="00BE5BB7"/>
    <w:rsid w:val="00CD23B0"/>
    <w:rsid w:val="00F43F21"/>
    <w:rsid w:val="00F53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E9C2F"/>
  <w15:docId w15:val="{2E83AFF3-5350-BA47-9FCF-BCD77FB09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5432B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32BF"/>
  </w:style>
  <w:style w:type="paragraph" w:styleId="Pidipagina">
    <w:name w:val="footer"/>
    <w:basedOn w:val="Normale"/>
    <w:link w:val="PidipaginaCarattere"/>
    <w:uiPriority w:val="99"/>
    <w:unhideWhenUsed/>
    <w:rsid w:val="005432B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32BF"/>
  </w:style>
  <w:style w:type="paragraph" w:customStyle="1" w:styleId="mb-4">
    <w:name w:val="mb-4"/>
    <w:basedOn w:val="Normale"/>
    <w:rsid w:val="00543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Enfasigrassetto">
    <w:name w:val="Strong"/>
    <w:basedOn w:val="Carpredefinitoparagrafo"/>
    <w:uiPriority w:val="22"/>
    <w:qFormat/>
    <w:rsid w:val="005432B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5432BF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F39C1"/>
    <w:rPr>
      <w:color w:val="605E5C"/>
      <w:shd w:val="clear" w:color="auto" w:fill="E1DFDD"/>
    </w:rPr>
  </w:style>
  <w:style w:type="paragraph" w:customStyle="1" w:styleId="paragraph">
    <w:name w:val="paragraph"/>
    <w:basedOn w:val="Normale"/>
    <w:rsid w:val="00A33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customStyle="1" w:styleId="normaltextrun">
    <w:name w:val="normaltextrun"/>
    <w:basedOn w:val="Carpredefinitoparagrafo"/>
    <w:rsid w:val="00A33AC5"/>
  </w:style>
  <w:style w:type="character" w:customStyle="1" w:styleId="eop">
    <w:name w:val="eop"/>
    <w:basedOn w:val="Carpredefinitoparagrafo"/>
    <w:rsid w:val="00A33A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lockpit.io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ybit.e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bybitIT@teamlewi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ybit.e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NX2FoSblwFUBVW/89l+c3geHDQ==">CgMxLjAyDmgudG90YW54a2p6ZXV3OABqLQoUc3VnZ2VzdC5reWozNTJvY2JoODcSFUhlbnJpYyBBYnJhaGFtLVdpbnRlcnIhMXNtaW5PZ2F5LVRYY0ZMWlFNOHlNWncyTFgxa0xVTkZY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40bbf2ee-4281-4141-b54d-3de5dd07adf1}" enabled="1" method="Standard" siteId="{633cbf82-b979-478d-8f42-ffc892e59dc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786</Words>
  <Characters>4634</Characters>
  <Application>Microsoft Office Word</Application>
  <DocSecurity>0</DocSecurity>
  <Lines>87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Alessandro Zambetti</cp:lastModifiedBy>
  <cp:revision>10</cp:revision>
  <dcterms:created xsi:type="dcterms:W3CDTF">2026-04-27T15:23:00Z</dcterms:created>
  <dcterms:modified xsi:type="dcterms:W3CDTF">2026-04-27T18:31:00Z</dcterms:modified>
</cp:coreProperties>
</file>