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67F6" w14:textId="71006629" w:rsidR="007B20D3" w:rsidRPr="005007B8" w:rsidRDefault="00A72B08">
      <w:pPr>
        <w:pStyle w:val="Tekstpodstawowy"/>
        <w:ind w:left="4302"/>
        <w:rPr>
          <w:rFonts w:ascii="Times New Roman"/>
          <w:sz w:val="20"/>
          <w:lang w:val="en-GB"/>
        </w:rPr>
      </w:pPr>
      <w:r w:rsidRPr="005007B8">
        <w:rPr>
          <w:i/>
          <w:iCs/>
          <w:noProof/>
          <w:color w:val="040033"/>
          <w:sz w:val="14"/>
          <w:szCs w:val="14"/>
          <w:lang w:val="en-GB"/>
        </w:rPr>
        <w:drawing>
          <wp:anchor distT="0" distB="0" distL="114300" distR="114300" simplePos="0" relativeHeight="251661312" behindDoc="0" locked="0" layoutInCell="1" allowOverlap="1" wp14:anchorId="7222FBC1" wp14:editId="0E1FB8E8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6832600" cy="2277745"/>
            <wp:effectExtent l="0" t="0" r="6350" b="8255"/>
            <wp:wrapSquare wrapText="bothSides"/>
            <wp:docPr id="8747876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63B69" w14:textId="6350CF52" w:rsidR="00B30EC3" w:rsidRPr="005007B8" w:rsidRDefault="00B30EC3">
      <w:pPr>
        <w:pStyle w:val="Tekstpodstawowy"/>
        <w:ind w:left="4302"/>
        <w:rPr>
          <w:rFonts w:ascii="Times New Roman"/>
          <w:sz w:val="14"/>
          <w:szCs w:val="14"/>
          <w:lang w:val="en-GB"/>
        </w:rPr>
      </w:pPr>
    </w:p>
    <w:p w14:paraId="34E63B6A" w14:textId="3226C124" w:rsidR="00B30EC3" w:rsidRPr="005007B8" w:rsidRDefault="00B30EC3">
      <w:pPr>
        <w:pStyle w:val="Tekstpodstawowy"/>
        <w:rPr>
          <w:rFonts w:ascii="Times New Roman"/>
          <w:sz w:val="14"/>
          <w:szCs w:val="14"/>
          <w:lang w:val="en-GB"/>
        </w:rPr>
      </w:pPr>
    </w:p>
    <w:p w14:paraId="07C93FE3" w14:textId="4ABC9AAE" w:rsidR="00916C3F" w:rsidRPr="00E64181" w:rsidRDefault="00E64181" w:rsidP="00916C3F">
      <w:pPr>
        <w:pStyle w:val="Tekstpodstawowy"/>
        <w:spacing w:before="13" w:after="1"/>
        <w:rPr>
          <w:i/>
          <w:iCs/>
          <w:color w:val="040033"/>
          <w:sz w:val="14"/>
          <w:szCs w:val="14"/>
          <w:lang w:val="pl-PL"/>
        </w:rPr>
      </w:pPr>
      <w:r>
        <w:rPr>
          <w:i/>
          <w:iCs/>
          <w:color w:val="040033"/>
          <w:sz w:val="14"/>
          <w:szCs w:val="14"/>
          <w:lang w:val="pl-PL"/>
        </w:rPr>
        <w:t>Informacja prasowa</w:t>
      </w:r>
    </w:p>
    <w:p w14:paraId="14A2A000" w14:textId="47E80D7B" w:rsidR="00916C3F" w:rsidRPr="00E64181" w:rsidRDefault="00E64181" w:rsidP="00916C3F">
      <w:pPr>
        <w:pStyle w:val="Tekstpodstawowy"/>
        <w:spacing w:before="13" w:after="1"/>
        <w:rPr>
          <w:i/>
          <w:iCs/>
          <w:color w:val="040033"/>
          <w:sz w:val="14"/>
          <w:szCs w:val="14"/>
          <w:lang w:val="pl-PL"/>
        </w:rPr>
      </w:pPr>
      <w:r>
        <w:rPr>
          <w:i/>
          <w:iCs/>
          <w:color w:val="040033"/>
          <w:sz w:val="14"/>
          <w:szCs w:val="14"/>
          <w:lang w:val="pl-PL"/>
        </w:rPr>
        <w:t>27 kwietnia</w:t>
      </w:r>
      <w:r w:rsidR="00916C3F" w:rsidRPr="00E64181">
        <w:rPr>
          <w:i/>
          <w:iCs/>
          <w:color w:val="040033"/>
          <w:sz w:val="14"/>
          <w:szCs w:val="14"/>
          <w:lang w:val="pl-PL"/>
        </w:rPr>
        <w:t xml:space="preserve"> 202</w:t>
      </w:r>
      <w:r w:rsidR="0012333F" w:rsidRPr="00E64181">
        <w:rPr>
          <w:i/>
          <w:iCs/>
          <w:color w:val="040033"/>
          <w:sz w:val="14"/>
          <w:szCs w:val="14"/>
          <w:lang w:val="pl-PL"/>
        </w:rPr>
        <w:t>6</w:t>
      </w:r>
    </w:p>
    <w:p w14:paraId="6B539D05" w14:textId="77777777" w:rsidR="00A72B08" w:rsidRPr="00E64181" w:rsidRDefault="00A72B08" w:rsidP="00916C3F">
      <w:pPr>
        <w:pStyle w:val="Tekstpodstawowy"/>
        <w:spacing w:before="13" w:after="1"/>
        <w:rPr>
          <w:i/>
          <w:iCs/>
          <w:color w:val="040033"/>
          <w:sz w:val="14"/>
          <w:szCs w:val="14"/>
          <w:lang w:val="pl-PL"/>
        </w:rPr>
      </w:pPr>
    </w:p>
    <w:p w14:paraId="52BEC911" w14:textId="7CE434D6" w:rsidR="00346CBA" w:rsidRPr="00E64181" w:rsidRDefault="00E64181" w:rsidP="00E64181">
      <w:pPr>
        <w:pStyle w:val="Tekstpodstawowy"/>
        <w:ind w:left="1191" w:right="1189"/>
        <w:jc w:val="center"/>
        <w:rPr>
          <w:color w:val="74758B"/>
          <w:lang w:val="pl-PL"/>
        </w:rPr>
      </w:pPr>
      <w:r w:rsidRPr="00E64181">
        <w:rPr>
          <w:rFonts w:ascii="Times New Roman" w:eastAsia="Times New Roman" w:hAnsi="Times New Roman" w:cs="Times New Roman"/>
          <w:b/>
          <w:bCs/>
          <w:i/>
          <w:iCs/>
          <w:color w:val="040033"/>
          <w:sz w:val="54"/>
          <w:szCs w:val="54"/>
          <w:lang w:val="pl-PL"/>
        </w:rPr>
        <w:t>Accor podsumowuje wyniki za pierwszy kwartał 2026 roku</w:t>
      </w:r>
    </w:p>
    <w:p w14:paraId="0C513FED" w14:textId="77777777" w:rsidR="00E64181" w:rsidRDefault="00E64181" w:rsidP="00C97CAD">
      <w:pPr>
        <w:pStyle w:val="Tekstpodstawowy"/>
        <w:spacing w:line="331" w:lineRule="auto"/>
        <w:ind w:right="1189"/>
        <w:jc w:val="both"/>
        <w:rPr>
          <w:b/>
          <w:bCs/>
          <w:color w:val="040033"/>
          <w:lang w:val="en-GB"/>
        </w:rPr>
      </w:pPr>
    </w:p>
    <w:p w14:paraId="5055FA49" w14:textId="258342B1" w:rsidR="00C97CAD" w:rsidRDefault="00B86C06" w:rsidP="00C97CAD">
      <w:pPr>
        <w:pStyle w:val="Tekstpodstawowy"/>
        <w:spacing w:line="331" w:lineRule="auto"/>
        <w:ind w:right="1189"/>
        <w:jc w:val="both"/>
        <w:rPr>
          <w:b/>
          <w:bCs/>
          <w:color w:val="040033"/>
          <w:lang w:val="pl-PL"/>
        </w:rPr>
      </w:pPr>
      <w:r w:rsidRPr="00B86C06">
        <w:rPr>
          <w:b/>
          <w:bCs/>
          <w:color w:val="040033"/>
          <w:lang w:val="pl-PL"/>
        </w:rPr>
        <w:t>Accor, wiodąca grupa hotelowa na świecie, odnotowała w pierwszym kwartale 2026 roku przychody w wysokości 1 313 mln €, co oznacza wzrost o 2,3% przy stałych kursach walut. Przychody z zarządzania i franczyzy wzrosły o 8,3% do poziomu 332 mln €, a wzrost sieci netto wyniósł 3,8% w ciągu ostatnich 12 miesięcy</w:t>
      </w:r>
      <w:r w:rsidR="00DD4AB0" w:rsidRPr="00DD4AB0">
        <w:rPr>
          <w:b/>
          <w:bCs/>
          <w:color w:val="040033"/>
          <w:lang w:val="pl-PL"/>
        </w:rPr>
        <w:t>.</w:t>
      </w:r>
    </w:p>
    <w:p w14:paraId="3674D098" w14:textId="77777777" w:rsidR="00DD4AB0" w:rsidRPr="00DD4AB0" w:rsidRDefault="00DD4AB0" w:rsidP="00C97CAD">
      <w:pPr>
        <w:pStyle w:val="Tekstpodstawowy"/>
        <w:spacing w:line="331" w:lineRule="auto"/>
        <w:ind w:right="1189"/>
        <w:jc w:val="both"/>
        <w:rPr>
          <w:b/>
          <w:bCs/>
          <w:color w:val="040033"/>
          <w:lang w:val="pl-PL"/>
        </w:rPr>
      </w:pPr>
    </w:p>
    <w:p w14:paraId="13BC425B" w14:textId="46C3C2F1" w:rsidR="00B17376" w:rsidRPr="000473D3" w:rsidRDefault="000473D3" w:rsidP="00916C3F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>
        <w:rPr>
          <w:color w:val="040033"/>
          <w:lang w:val="pl-PL"/>
        </w:rPr>
        <w:t>-</w:t>
      </w:r>
      <w:r w:rsidR="00062742" w:rsidRPr="000473D3">
        <w:rPr>
          <w:color w:val="040033"/>
          <w:lang w:val="pl-PL"/>
        </w:rPr>
        <w:t xml:space="preserve"> </w:t>
      </w:r>
      <w:r>
        <w:rPr>
          <w:color w:val="040033"/>
          <w:lang w:val="pl-PL"/>
        </w:rPr>
        <w:t>„</w:t>
      </w:r>
      <w:r w:rsidR="001C32D4" w:rsidRPr="001C32D4">
        <w:rPr>
          <w:i/>
          <w:iCs/>
          <w:color w:val="040033"/>
          <w:lang w:val="pl-PL"/>
        </w:rPr>
        <w:t>W pierwszym kwartale 2026 roku Grupa ponownie odnotowała stabilny wzrost. Silna dynamika z początku roku zrównoważyła skutki konfliktu na Bliskim Wschodzie. Nasze zespoły sprawnie dostosowują operacje do potrzeb właścicieli hoteli i gości. Wdrożyliśmy środki ochrony, które ograniczają wpływ obecnej sytuacji na nasze wyniki. Dzięki temu przygotowujemy się na ożywienie rynku i wykorzystujemy wzrost w regionach o dużym popycie, takich jak Europa i Azja Południowo-Wschodnia. Nasza szeroka obecność geograficzna, wyjątkowe portfolio marek oraz zdolność do adaptacji dają nam pewność, że w 2026 roku dostarczymy jeszcze lepsze efekty</w:t>
      </w:r>
      <w:r>
        <w:rPr>
          <w:color w:val="040033"/>
          <w:lang w:val="pl-PL"/>
        </w:rPr>
        <w:t xml:space="preserve">” – komentuje </w:t>
      </w:r>
      <w:r w:rsidRPr="000473D3">
        <w:rPr>
          <w:b/>
          <w:bCs/>
          <w:color w:val="040033"/>
          <w:lang w:val="pl-PL"/>
        </w:rPr>
        <w:t>Sébastien Bazin, Chairman and CEO Accor</w:t>
      </w:r>
      <w:r>
        <w:rPr>
          <w:b/>
          <w:bCs/>
          <w:color w:val="040033"/>
          <w:lang w:val="pl-PL"/>
        </w:rPr>
        <w:t>.</w:t>
      </w:r>
    </w:p>
    <w:p w14:paraId="09B7B8DC" w14:textId="77777777" w:rsidR="00CE6A83" w:rsidRPr="000473D3" w:rsidRDefault="00CE6A83" w:rsidP="00916C3F">
      <w:pPr>
        <w:pStyle w:val="Tekstpodstawowy"/>
        <w:spacing w:line="331" w:lineRule="auto"/>
        <w:ind w:left="1191" w:right="1189"/>
        <w:jc w:val="both"/>
        <w:rPr>
          <w:color w:val="040033"/>
          <w:lang w:val="pl-PL"/>
        </w:rPr>
      </w:pPr>
    </w:p>
    <w:p w14:paraId="287781DB" w14:textId="77777777" w:rsidR="00C94024" w:rsidRPr="00C94024" w:rsidRDefault="00C94024" w:rsidP="00C94024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C94024">
        <w:rPr>
          <w:color w:val="040033"/>
          <w:lang w:val="pl-PL"/>
        </w:rPr>
        <w:t>W pierwszym kwartale bieżącego roku Accor odnotował przychody w wysokości 1 313 mln €, co stanowi wzrost o 2,3% przy stałych kursach walut w porównaniu z pierwszym kwartałem 2025 roku. Wynik ten obejmuje wzrost o 4,6% w dywizji Premium, Midscale and Economy (PM&amp;E). Przychody w dywizji Luxury &amp; Lifestyle (L&amp;L) spadły o 0,7%, co wynika głównie z planowanej sprzedaży części aktywów (wpływ na poziomie 6,2%).</w:t>
      </w:r>
    </w:p>
    <w:p w14:paraId="0BBD78F7" w14:textId="77777777" w:rsidR="00C94024" w:rsidRPr="00C94024" w:rsidRDefault="00C94024" w:rsidP="00C94024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7ED65D5D" w14:textId="77777777" w:rsidR="00C94024" w:rsidRPr="00C94024" w:rsidRDefault="00C94024" w:rsidP="00C94024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C94024">
        <w:rPr>
          <w:color w:val="040033"/>
          <w:lang w:val="pl-PL"/>
        </w:rPr>
        <w:t>Kluczowy wskaźnik RevPAR (przychód na dostępny pokój) wzrósł o 5,1% w porównaniu z pierwszym kwartałem 2025 roku. Na ten wynik wpłynął wzrost o 4,5% w dywizji PM&amp;E oraz o 6,0% w dywizji Luxury &amp; Lifestyle.</w:t>
      </w:r>
    </w:p>
    <w:p w14:paraId="00C8BD7D" w14:textId="77777777" w:rsidR="00C94024" w:rsidRPr="00C94024" w:rsidRDefault="00C94024" w:rsidP="00C94024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432F79F3" w14:textId="301A0BE6" w:rsidR="00451097" w:rsidRDefault="00C94024" w:rsidP="00C94024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C94024">
        <w:rPr>
          <w:color w:val="040033"/>
          <w:lang w:val="pl-PL"/>
        </w:rPr>
        <w:t>W pierwszym kwartale 2026 roku Accor otworzył 48 hoteli (ponad 6 700 pokoi). Pod koniec marca 2026 roku Grupa dysponowała portfolio 5 815 hoteli (879 676 pokoi). Obecnie sieć planowanych otwarć obejmuje 1 545 nowych inwestycji (260 000 pokoi) w przygotowaniu.</w:t>
      </w:r>
    </w:p>
    <w:p w14:paraId="7D014E99" w14:textId="77777777" w:rsidR="00C94024" w:rsidRPr="00451097" w:rsidRDefault="00C94024" w:rsidP="00C94024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6A589892" w14:textId="61089A36" w:rsidR="00451097" w:rsidRPr="00451097" w:rsidRDefault="00451097" w:rsidP="00451097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451097">
        <w:rPr>
          <w:color w:val="040033"/>
          <w:lang w:val="pl-PL"/>
        </w:rPr>
        <w:t>Pełny raport w języku angielskim dostępny jest</w:t>
      </w:r>
      <w:r>
        <w:rPr>
          <w:color w:val="040033"/>
          <w:lang w:val="pl-PL"/>
        </w:rPr>
        <w:t xml:space="preserve"> </w:t>
      </w:r>
      <w:hyperlink r:id="rId8" w:history="1">
        <w:r w:rsidRPr="00451097">
          <w:rPr>
            <w:rStyle w:val="Hipercze"/>
            <w:lang w:val="pl-PL"/>
          </w:rPr>
          <w:t>tutaj</w:t>
        </w:r>
      </w:hyperlink>
      <w:r>
        <w:rPr>
          <w:color w:val="040033"/>
          <w:lang w:val="pl-PL"/>
        </w:rPr>
        <w:t xml:space="preserve">. </w:t>
      </w:r>
    </w:p>
    <w:p w14:paraId="69DBC5B3" w14:textId="12EFCBBD" w:rsidR="008005FC" w:rsidRPr="00451097" w:rsidRDefault="00E540A9" w:rsidP="007C70A2">
      <w:pPr>
        <w:tabs>
          <w:tab w:val="left" w:pos="3773"/>
        </w:tabs>
        <w:spacing w:before="114" w:line="331" w:lineRule="auto"/>
        <w:ind w:right="1196"/>
        <w:jc w:val="both"/>
        <w:rPr>
          <w:iCs/>
          <w:sz w:val="19"/>
          <w:lang w:val="pl-PL"/>
        </w:rPr>
      </w:pPr>
      <w:r w:rsidRPr="00451097">
        <w:rPr>
          <w:iCs/>
          <w:sz w:val="19"/>
          <w:lang w:val="pl-PL"/>
        </w:rPr>
        <w:tab/>
        <w:t xml:space="preserve"> </w:t>
      </w:r>
    </w:p>
    <w:p w14:paraId="52AD82D6" w14:textId="6B90D565" w:rsidR="007B20D3" w:rsidRPr="00EC6227" w:rsidRDefault="007B20D3" w:rsidP="00451097">
      <w:pPr>
        <w:ind w:right="1"/>
        <w:rPr>
          <w:b/>
          <w:sz w:val="15"/>
          <w:lang w:val="pl-PL"/>
        </w:rPr>
      </w:pPr>
      <w:r w:rsidRPr="00EC6227">
        <w:rPr>
          <w:b/>
          <w:color w:val="040033"/>
          <w:spacing w:val="-2"/>
          <w:sz w:val="15"/>
          <w:lang w:val="pl-PL"/>
        </w:rPr>
        <w:t>ACCOR</w:t>
      </w:r>
    </w:p>
    <w:p w14:paraId="2896BF44" w14:textId="77777777" w:rsidR="007B20D3" w:rsidRPr="00EC6227" w:rsidRDefault="007B20D3" w:rsidP="007B20D3">
      <w:pPr>
        <w:pStyle w:val="Tekstpodstawowy"/>
        <w:spacing w:before="15"/>
        <w:rPr>
          <w:color w:val="74758B"/>
          <w:sz w:val="18"/>
          <w:szCs w:val="22"/>
          <w:lang w:val="pl-PL"/>
        </w:rPr>
      </w:pPr>
    </w:p>
    <w:p w14:paraId="33B550A1" w14:textId="63648589" w:rsidR="007B20D3" w:rsidRPr="00EC6227" w:rsidRDefault="007C70A2" w:rsidP="00F50531">
      <w:pPr>
        <w:pStyle w:val="Tekstpodstawowy"/>
        <w:ind w:right="1138"/>
        <w:jc w:val="both"/>
        <w:rPr>
          <w:sz w:val="16"/>
          <w:szCs w:val="16"/>
          <w:lang w:val="pl-PL"/>
        </w:rPr>
      </w:pPr>
      <w:hyperlink r:id="rId9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Accor</w:t>
        </w:r>
      </w:hyperlink>
      <w:r w:rsidR="00F50531" w:rsidRPr="00EC6227">
        <w:rPr>
          <w:sz w:val="18"/>
          <w:szCs w:val="18"/>
          <w:lang w:val="pl-PL"/>
        </w:rPr>
        <w:t> </w:t>
      </w:r>
      <w:r w:rsidR="006C1142" w:rsidRPr="00EC6227">
        <w:rPr>
          <w:sz w:val="18"/>
          <w:szCs w:val="18"/>
          <w:lang w:val="pl-PL"/>
        </w:rPr>
        <w:t>to wiodąca na świecie grupa hotelarska oferująca usługi w ponad 110 krajach w ponad 5 800 obiektach, 10 000 lokalach gastronomicznych, ośrodkach wellness i elastycznych miejscach pracy. Grupa posiada jeden z najbardziej zróżnicowanych ekosystemów hotelarskich w branży, obejmujący około 45 marek hotelowych, od luksusowych po ekonomiczne, a także Lifestyle wraz z Ennismore. ALL Accor – platforma rezerwacyjna i program lojalnościowy – daje swoim uczestnikom dostęp do unikalnych nagród, usług i doświadczeń. Accor jest zaangażowany w podejmowanie pozytywnych działań w zakresie etyki biznesowej, odpowiedzialnej turystyki, zrównoważonego rozwoju, działań na rzecz społeczności lokalnej oraz różnorodności i integracji. Założona w 1967 roku spółka Accor SA ma siedzibę we Francji i jest notowana na giełdzie Euronext w Paryżu (kod ISIN: FR0000120404) oraz na rynku pozagiełdowym (Ticker: ACCYY) w Stanach Zjednoczonych. Więcej informacji można znaleźć na stronie</w:t>
      </w:r>
      <w:r w:rsidR="00EC6227" w:rsidRPr="00EC6227">
        <w:rPr>
          <w:sz w:val="18"/>
          <w:szCs w:val="18"/>
          <w:lang w:val="pl-PL"/>
        </w:rPr>
        <w:t>:</w:t>
      </w:r>
      <w:hyperlink r:id="rId10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group.accor.com</w:t>
        </w:r>
      </w:hyperlink>
      <w:r w:rsidR="00F50531" w:rsidRPr="00EC6227">
        <w:rPr>
          <w:sz w:val="18"/>
          <w:szCs w:val="18"/>
          <w:lang w:val="pl-PL"/>
        </w:rPr>
        <w:t> </w:t>
      </w:r>
      <w:r w:rsidR="00EC6227" w:rsidRPr="00EC6227">
        <w:rPr>
          <w:sz w:val="18"/>
          <w:szCs w:val="18"/>
          <w:lang w:val="pl-PL"/>
        </w:rPr>
        <w:t>lu</w:t>
      </w:r>
      <w:r w:rsidR="00EC6227">
        <w:rPr>
          <w:sz w:val="18"/>
          <w:szCs w:val="18"/>
          <w:lang w:val="pl-PL"/>
        </w:rPr>
        <w:t xml:space="preserve">b w social mediach: </w:t>
      </w:r>
      <w:hyperlink r:id="rId11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X</w:t>
        </w:r>
      </w:hyperlink>
      <w:r w:rsidR="00F50531" w:rsidRPr="00EC6227">
        <w:rPr>
          <w:sz w:val="18"/>
          <w:szCs w:val="18"/>
          <w:lang w:val="pl-PL"/>
        </w:rPr>
        <w:t>, </w:t>
      </w:r>
      <w:hyperlink r:id="rId12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Facebook</w:t>
        </w:r>
      </w:hyperlink>
      <w:r w:rsidR="00F50531" w:rsidRPr="00EC6227">
        <w:rPr>
          <w:sz w:val="18"/>
          <w:szCs w:val="18"/>
          <w:lang w:val="pl-PL"/>
        </w:rPr>
        <w:t>, </w:t>
      </w:r>
      <w:hyperlink r:id="rId13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LinkedIn,</w:t>
        </w:r>
      </w:hyperlink>
      <w:r w:rsidR="00F50531" w:rsidRPr="00EC6227">
        <w:rPr>
          <w:sz w:val="18"/>
          <w:szCs w:val="18"/>
          <w:lang w:val="pl-PL"/>
        </w:rPr>
        <w:t> </w:t>
      </w:r>
      <w:hyperlink r:id="rId14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Instagram</w:t>
        </w:r>
      </w:hyperlink>
      <w:r w:rsidR="00EC6227">
        <w:rPr>
          <w:sz w:val="18"/>
          <w:szCs w:val="18"/>
          <w:lang w:val="pl-PL"/>
        </w:rPr>
        <w:t xml:space="preserve"> i </w:t>
      </w:r>
      <w:hyperlink r:id="rId15" w:history="1">
        <w:r w:rsidR="00F50531" w:rsidRPr="00EC6227">
          <w:rPr>
            <w:rStyle w:val="Hipercze"/>
            <w:b/>
            <w:bCs/>
            <w:sz w:val="18"/>
            <w:szCs w:val="18"/>
            <w:lang w:val="pl-PL"/>
          </w:rPr>
          <w:t>TikTok</w:t>
        </w:r>
      </w:hyperlink>
      <w:r w:rsidR="00F50531" w:rsidRPr="00EC6227">
        <w:rPr>
          <w:sz w:val="18"/>
          <w:szCs w:val="18"/>
          <w:lang w:val="pl-PL"/>
        </w:rPr>
        <w:t>.</w:t>
      </w:r>
    </w:p>
    <w:tbl>
      <w:tblPr>
        <w:tblStyle w:val="TableNormal"/>
        <w:tblpPr w:leftFromText="141" w:rightFromText="141" w:vertAnchor="text" w:horzAnchor="margin" w:tblpY="270"/>
        <w:tblW w:w="0" w:type="auto"/>
        <w:tblLayout w:type="fixed"/>
        <w:tblLook w:val="01E0" w:firstRow="1" w:lastRow="1" w:firstColumn="1" w:lastColumn="1" w:noHBand="0" w:noVBand="0"/>
      </w:tblPr>
      <w:tblGrid>
        <w:gridCol w:w="4447"/>
        <w:gridCol w:w="2644"/>
      </w:tblGrid>
      <w:tr w:rsidR="000677E8" w:rsidRPr="005007B8" w14:paraId="0088EADE" w14:textId="77777777" w:rsidTr="000677E8">
        <w:trPr>
          <w:trHeight w:val="361"/>
        </w:trPr>
        <w:tc>
          <w:tcPr>
            <w:tcW w:w="4447" w:type="dxa"/>
          </w:tcPr>
          <w:p w14:paraId="3BCCFBD9" w14:textId="10B38DF8" w:rsidR="000677E8" w:rsidRPr="005007B8" w:rsidRDefault="0079626E" w:rsidP="000677E8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en-GB"/>
              </w:rPr>
            </w:pPr>
            <w:r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en-GB"/>
              </w:rPr>
              <w:t xml:space="preserve">Kontakt dla </w:t>
            </w:r>
            <w:r w:rsidR="007C70A2"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en-GB"/>
              </w:rPr>
              <w:t>prasy</w:t>
            </w:r>
            <w:r w:rsidR="000677E8" w:rsidRPr="005007B8"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en-GB"/>
              </w:rPr>
              <w:t>:</w:t>
            </w:r>
          </w:p>
          <w:p w14:paraId="41E693E4" w14:textId="77777777" w:rsidR="000677E8" w:rsidRPr="005007B8" w:rsidRDefault="000677E8" w:rsidP="000677E8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en-GB"/>
              </w:rPr>
            </w:pPr>
          </w:p>
          <w:p w14:paraId="45C4666C" w14:textId="77777777" w:rsidR="000677E8" w:rsidRPr="005007B8" w:rsidRDefault="000677E8" w:rsidP="000677E8">
            <w:pPr>
              <w:pStyle w:val="TableParagraph"/>
              <w:spacing w:before="74"/>
              <w:ind w:left="50"/>
              <w:jc w:val="left"/>
              <w:rPr>
                <w:b/>
                <w:color w:val="040033"/>
                <w:sz w:val="18"/>
                <w:lang w:val="en-GB"/>
              </w:rPr>
            </w:pPr>
            <w:r w:rsidRPr="005007B8">
              <w:rPr>
                <w:b/>
                <w:color w:val="040033"/>
                <w:sz w:val="18"/>
                <w:lang w:val="en-GB"/>
              </w:rPr>
              <w:t>Agnieszka Kalinowska</w:t>
            </w:r>
          </w:p>
          <w:p w14:paraId="1A9A19D9" w14:textId="77777777" w:rsidR="000677E8" w:rsidRPr="005007B8" w:rsidRDefault="000677E8" w:rsidP="000677E8">
            <w:pPr>
              <w:pStyle w:val="TableParagraph"/>
              <w:spacing w:before="74"/>
              <w:ind w:left="50"/>
              <w:jc w:val="left"/>
              <w:rPr>
                <w:color w:val="040033"/>
                <w:sz w:val="18"/>
                <w:lang w:val="en-GB"/>
              </w:rPr>
            </w:pPr>
            <w:r w:rsidRPr="005007B8">
              <w:rPr>
                <w:color w:val="040033"/>
                <w:sz w:val="18"/>
                <w:lang w:val="en-GB"/>
              </w:rPr>
              <w:t>Senior Manager Media Relations &amp; PR Poland &amp; Eastern Europe</w:t>
            </w:r>
          </w:p>
          <w:p w14:paraId="24DE60CB" w14:textId="77777777" w:rsidR="000677E8" w:rsidRPr="005007B8" w:rsidRDefault="007C70A2" w:rsidP="000677E8">
            <w:pPr>
              <w:pStyle w:val="Textedesaisie"/>
              <w:spacing w:line="276" w:lineRule="auto"/>
              <w:rPr>
                <w:iCs/>
                <w:sz w:val="19"/>
              </w:rPr>
            </w:pPr>
            <w:hyperlink r:id="rId16" w:history="1">
              <w:r w:rsidR="000677E8" w:rsidRPr="005007B8">
                <w:rPr>
                  <w:rStyle w:val="Hipercze"/>
                  <w:iCs/>
                  <w:sz w:val="19"/>
                </w:rPr>
                <w:t>Agnieszka.KALINOWSKA@accor.com</w:t>
              </w:r>
            </w:hyperlink>
          </w:p>
          <w:p w14:paraId="0233FFC0" w14:textId="77777777" w:rsidR="000677E8" w:rsidRPr="005007B8" w:rsidRDefault="000677E8" w:rsidP="000677E8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sz w:val="26"/>
                <w:lang w:val="en-GB"/>
              </w:rPr>
            </w:pPr>
          </w:p>
        </w:tc>
        <w:tc>
          <w:tcPr>
            <w:tcW w:w="2644" w:type="dxa"/>
          </w:tcPr>
          <w:p w14:paraId="1FE71E7A" w14:textId="77777777" w:rsidR="000677E8" w:rsidRPr="005007B8" w:rsidRDefault="000677E8" w:rsidP="000677E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en-GB"/>
              </w:rPr>
            </w:pPr>
          </w:p>
        </w:tc>
      </w:tr>
      <w:tr w:rsidR="000677E8" w:rsidRPr="005007B8" w14:paraId="70FDC31B" w14:textId="77777777" w:rsidTr="000677E8">
        <w:trPr>
          <w:trHeight w:val="977"/>
        </w:trPr>
        <w:tc>
          <w:tcPr>
            <w:tcW w:w="4447" w:type="dxa"/>
          </w:tcPr>
          <w:p w14:paraId="1FA70823" w14:textId="77777777" w:rsidR="000677E8" w:rsidRPr="005007B8" w:rsidRDefault="000677E8" w:rsidP="000677E8">
            <w:pPr>
              <w:pStyle w:val="TableParagraph"/>
              <w:spacing w:before="74"/>
              <w:ind w:left="50"/>
              <w:jc w:val="left"/>
              <w:rPr>
                <w:b/>
                <w:sz w:val="18"/>
                <w:lang w:val="en-GB"/>
              </w:rPr>
            </w:pPr>
            <w:r w:rsidRPr="005007B8">
              <w:rPr>
                <w:b/>
                <w:color w:val="040033"/>
                <w:sz w:val="18"/>
                <w:lang w:val="en-GB"/>
              </w:rPr>
              <w:t>Charlotte</w:t>
            </w:r>
            <w:r w:rsidRPr="005007B8">
              <w:rPr>
                <w:b/>
                <w:color w:val="040033"/>
                <w:spacing w:val="-4"/>
                <w:sz w:val="18"/>
                <w:lang w:val="en-GB"/>
              </w:rPr>
              <w:t xml:space="preserve"> </w:t>
            </w:r>
            <w:r w:rsidRPr="005007B8">
              <w:rPr>
                <w:b/>
                <w:color w:val="040033"/>
                <w:spacing w:val="-2"/>
                <w:sz w:val="18"/>
                <w:lang w:val="en-GB"/>
              </w:rPr>
              <w:t>Thouvard</w:t>
            </w:r>
          </w:p>
          <w:p w14:paraId="65EFF71D" w14:textId="77777777" w:rsidR="000677E8" w:rsidRPr="005007B8" w:rsidRDefault="000677E8" w:rsidP="000677E8">
            <w:pPr>
              <w:pStyle w:val="TableParagraph"/>
              <w:spacing w:before="22"/>
              <w:ind w:left="50"/>
              <w:jc w:val="left"/>
              <w:rPr>
                <w:sz w:val="18"/>
                <w:lang w:val="en-GB"/>
              </w:rPr>
            </w:pPr>
            <w:r w:rsidRPr="005007B8">
              <w:rPr>
                <w:color w:val="040033"/>
                <w:sz w:val="18"/>
                <w:lang w:val="en-GB"/>
              </w:rPr>
              <w:t>Senior</w:t>
            </w:r>
            <w:r w:rsidRPr="005007B8">
              <w:rPr>
                <w:color w:val="040033"/>
                <w:spacing w:val="-11"/>
                <w:sz w:val="18"/>
                <w:lang w:val="en-GB"/>
              </w:rPr>
              <w:t xml:space="preserve"> </w:t>
            </w:r>
            <w:r w:rsidRPr="005007B8">
              <w:rPr>
                <w:color w:val="040033"/>
                <w:sz w:val="18"/>
                <w:lang w:val="en-GB"/>
              </w:rPr>
              <w:t>Vice</w:t>
            </w:r>
            <w:r w:rsidRPr="005007B8">
              <w:rPr>
                <w:color w:val="040033"/>
                <w:spacing w:val="-10"/>
                <w:sz w:val="18"/>
                <w:lang w:val="en-GB"/>
              </w:rPr>
              <w:t xml:space="preserve"> </w:t>
            </w:r>
            <w:r w:rsidRPr="005007B8">
              <w:rPr>
                <w:color w:val="040033"/>
                <w:sz w:val="18"/>
                <w:lang w:val="en-GB"/>
              </w:rPr>
              <w:t>President</w:t>
            </w:r>
            <w:r w:rsidRPr="005007B8">
              <w:rPr>
                <w:color w:val="040033"/>
                <w:spacing w:val="-10"/>
                <w:sz w:val="18"/>
                <w:lang w:val="en-GB"/>
              </w:rPr>
              <w:t xml:space="preserve"> </w:t>
            </w:r>
            <w:r w:rsidRPr="005007B8">
              <w:rPr>
                <w:color w:val="040033"/>
                <w:sz w:val="18"/>
                <w:lang w:val="en-GB"/>
              </w:rPr>
              <w:t>Global</w:t>
            </w:r>
            <w:r w:rsidRPr="005007B8">
              <w:rPr>
                <w:color w:val="040033"/>
                <w:spacing w:val="-11"/>
                <w:sz w:val="18"/>
                <w:lang w:val="en-GB"/>
              </w:rPr>
              <w:t xml:space="preserve"> </w:t>
            </w:r>
            <w:r w:rsidRPr="005007B8">
              <w:rPr>
                <w:color w:val="040033"/>
                <w:sz w:val="18"/>
                <w:lang w:val="en-GB"/>
              </w:rPr>
              <w:t xml:space="preserve">Communications </w:t>
            </w:r>
            <w:hyperlink r:id="rId17">
              <w:r w:rsidRPr="005007B8">
                <w:rPr>
                  <w:color w:val="040033"/>
                  <w:spacing w:val="-2"/>
                  <w:sz w:val="18"/>
                  <w:lang w:val="en-GB"/>
                </w:rPr>
                <w:t>charlotte.thouvard@accor.com</w:t>
              </w:r>
            </w:hyperlink>
          </w:p>
        </w:tc>
        <w:tc>
          <w:tcPr>
            <w:tcW w:w="2644" w:type="dxa"/>
          </w:tcPr>
          <w:p w14:paraId="7AB0F040" w14:textId="4D800DE2" w:rsidR="000677E8" w:rsidRPr="005007B8" w:rsidRDefault="000677E8" w:rsidP="000677E8">
            <w:pPr>
              <w:pStyle w:val="TableParagraph"/>
              <w:spacing w:before="10" w:line="218" w:lineRule="exact"/>
              <w:ind w:left="281" w:right="47"/>
              <w:jc w:val="left"/>
              <w:rPr>
                <w:sz w:val="18"/>
                <w:lang w:val="en-GB"/>
              </w:rPr>
            </w:pPr>
          </w:p>
        </w:tc>
      </w:tr>
      <w:tr w:rsidR="000677E8" w:rsidRPr="005007B8" w14:paraId="528FDEDE" w14:textId="77777777" w:rsidTr="000677E8">
        <w:trPr>
          <w:trHeight w:val="367"/>
        </w:trPr>
        <w:tc>
          <w:tcPr>
            <w:tcW w:w="4447" w:type="dxa"/>
          </w:tcPr>
          <w:p w14:paraId="5232C663" w14:textId="44D5A37E" w:rsidR="000677E8" w:rsidRPr="005007B8" w:rsidRDefault="000677E8" w:rsidP="005007B8">
            <w:pPr>
              <w:pStyle w:val="TableParagraph"/>
              <w:spacing w:before="0" w:line="294" w:lineRule="exact"/>
              <w:jc w:val="left"/>
              <w:rPr>
                <w:rFonts w:ascii="Times New Roman"/>
                <w:b/>
                <w:i/>
                <w:sz w:val="26"/>
                <w:u w:val="single"/>
                <w:lang w:val="en-GB"/>
              </w:rPr>
            </w:pPr>
          </w:p>
        </w:tc>
        <w:tc>
          <w:tcPr>
            <w:tcW w:w="2644" w:type="dxa"/>
          </w:tcPr>
          <w:p w14:paraId="00F1AD3E" w14:textId="77777777" w:rsidR="000677E8" w:rsidRPr="005007B8" w:rsidRDefault="000677E8" w:rsidP="000677E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en-GB"/>
              </w:rPr>
            </w:pPr>
          </w:p>
        </w:tc>
      </w:tr>
      <w:tr w:rsidR="000677E8" w:rsidRPr="005007B8" w14:paraId="675454A8" w14:textId="77777777" w:rsidTr="000677E8">
        <w:trPr>
          <w:trHeight w:val="969"/>
        </w:trPr>
        <w:tc>
          <w:tcPr>
            <w:tcW w:w="4447" w:type="dxa"/>
          </w:tcPr>
          <w:p w14:paraId="7465BF17" w14:textId="77777777" w:rsidR="000677E8" w:rsidRPr="005007B8" w:rsidRDefault="000677E8" w:rsidP="000677E8">
            <w:pPr>
              <w:pStyle w:val="TableParagraph"/>
              <w:spacing w:before="73"/>
              <w:ind w:left="50"/>
              <w:jc w:val="left"/>
              <w:rPr>
                <w:b/>
                <w:sz w:val="18"/>
                <w:lang w:val="en-GB"/>
              </w:rPr>
            </w:pPr>
            <w:r w:rsidRPr="005007B8">
              <w:rPr>
                <w:b/>
                <w:color w:val="040033"/>
                <w:sz w:val="18"/>
                <w:lang w:val="en-GB"/>
              </w:rPr>
              <w:t>Pierre-Loup</w:t>
            </w:r>
            <w:r w:rsidRPr="005007B8">
              <w:rPr>
                <w:b/>
                <w:color w:val="040033"/>
                <w:spacing w:val="-4"/>
                <w:sz w:val="18"/>
                <w:lang w:val="en-GB"/>
              </w:rPr>
              <w:t xml:space="preserve"> </w:t>
            </w:r>
            <w:r w:rsidRPr="005007B8">
              <w:rPr>
                <w:b/>
                <w:color w:val="040033"/>
                <w:spacing w:val="-2"/>
                <w:sz w:val="18"/>
                <w:lang w:val="en-GB"/>
              </w:rPr>
              <w:t>Etienne</w:t>
            </w:r>
          </w:p>
          <w:p w14:paraId="7E60D5DB" w14:textId="77777777" w:rsidR="000677E8" w:rsidRPr="005007B8" w:rsidRDefault="000677E8" w:rsidP="000677E8">
            <w:pPr>
              <w:pStyle w:val="TableParagraph"/>
              <w:spacing w:before="3" w:line="218" w:lineRule="exact"/>
              <w:ind w:left="50" w:right="1560"/>
              <w:jc w:val="left"/>
              <w:rPr>
                <w:sz w:val="18"/>
                <w:lang w:val="en-GB"/>
              </w:rPr>
            </w:pPr>
            <w:r w:rsidRPr="005007B8">
              <w:rPr>
                <w:color w:val="040033"/>
                <w:sz w:val="18"/>
                <w:lang w:val="en-GB"/>
              </w:rPr>
              <w:t xml:space="preserve">SVP Investor Relations and Financial Communications </w:t>
            </w:r>
            <w:hyperlink r:id="rId18">
              <w:r w:rsidRPr="005007B8">
                <w:rPr>
                  <w:color w:val="040033"/>
                  <w:spacing w:val="-2"/>
                  <w:sz w:val="18"/>
                  <w:lang w:val="en-GB"/>
                </w:rPr>
                <w:t>pierre-loup.etienne@accor.com</w:t>
              </w:r>
            </w:hyperlink>
          </w:p>
        </w:tc>
        <w:tc>
          <w:tcPr>
            <w:tcW w:w="2644" w:type="dxa"/>
          </w:tcPr>
          <w:p w14:paraId="63F9202D" w14:textId="77777777" w:rsidR="000677E8" w:rsidRPr="005007B8" w:rsidRDefault="000677E8" w:rsidP="000677E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en-GB"/>
              </w:rPr>
            </w:pPr>
          </w:p>
        </w:tc>
      </w:tr>
    </w:tbl>
    <w:p w14:paraId="4DE30814" w14:textId="77777777" w:rsidR="007B20D3" w:rsidRPr="005007B8" w:rsidRDefault="007B20D3" w:rsidP="007B20D3">
      <w:pPr>
        <w:pStyle w:val="Tekstpodstawowy"/>
        <w:spacing w:before="240"/>
        <w:rPr>
          <w:sz w:val="20"/>
          <w:lang w:val="en-GB"/>
        </w:rPr>
      </w:pPr>
    </w:p>
    <w:p w14:paraId="34E63EEF" w14:textId="77777777" w:rsidR="0016286F" w:rsidRPr="005007B8" w:rsidRDefault="0016286F">
      <w:pPr>
        <w:rPr>
          <w:lang w:val="en-GB"/>
        </w:rPr>
      </w:pPr>
    </w:p>
    <w:sectPr w:rsidR="0016286F" w:rsidRPr="005007B8" w:rsidSect="00A72B08">
      <w:headerReference w:type="default" r:id="rId19"/>
      <w:footerReference w:type="default" r:id="rId20"/>
      <w:pgSz w:w="11910" w:h="16840"/>
      <w:pgMar w:top="1417" w:right="1417" w:bottom="1417" w:left="1417" w:header="10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1835F" w14:textId="77777777" w:rsidR="00D366B2" w:rsidRDefault="00D366B2">
      <w:r>
        <w:separator/>
      </w:r>
    </w:p>
  </w:endnote>
  <w:endnote w:type="continuationSeparator" w:id="0">
    <w:p w14:paraId="6B6C3E12" w14:textId="77777777" w:rsidR="00D366B2" w:rsidRDefault="00D3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63F0C" w14:textId="77777777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34E63F0F" wp14:editId="34E63F10">
              <wp:simplePos x="0" y="0"/>
              <wp:positionH relativeFrom="page">
                <wp:posOffset>6278117</wp:posOffset>
              </wp:positionH>
              <wp:positionV relativeFrom="page">
                <wp:posOffset>10195928</wp:posOffset>
              </wp:positionV>
              <wp:extent cx="215900" cy="1720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63F11" w14:textId="77777777" w:rsidR="00B30EC3" w:rsidRDefault="0016286F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3F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94.35pt;margin-top:802.85pt;width:17pt;height:13.5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" filled="f" stroked="f">
              <v:textbox inset="0,0,0,0">
                <w:txbxContent>
                  <w:p w14:paraId="34E63F11" w14:textId="77777777" w:rsidR="00B30EC3" w:rsidRDefault="0016286F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3053E" w14:textId="77777777" w:rsidR="00D366B2" w:rsidRDefault="00D366B2">
      <w:r>
        <w:separator/>
      </w:r>
    </w:p>
  </w:footnote>
  <w:footnote w:type="continuationSeparator" w:id="0">
    <w:p w14:paraId="5A3B7E3F" w14:textId="77777777" w:rsidR="00D366B2" w:rsidRDefault="00D3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D8D33" w14:textId="77777777" w:rsidR="00122284" w:rsidRDefault="00122284">
    <w:pPr>
      <w:pStyle w:val="Tekstpodstawowy"/>
      <w:spacing w:line="14" w:lineRule="auto"/>
      <w:rPr>
        <w:sz w:val="20"/>
      </w:rPr>
    </w:pPr>
  </w:p>
  <w:p w14:paraId="34E63F0B" w14:textId="4EAB06B8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63680" behindDoc="1" locked="0" layoutInCell="1" allowOverlap="1" wp14:anchorId="34E63F0D" wp14:editId="2A7EEAE6">
          <wp:simplePos x="0" y="0"/>
          <wp:positionH relativeFrom="page">
            <wp:posOffset>3495675</wp:posOffset>
          </wp:positionH>
          <wp:positionV relativeFrom="page">
            <wp:posOffset>457200</wp:posOffset>
          </wp:positionV>
          <wp:extent cx="585166" cy="480743"/>
          <wp:effectExtent l="0" t="0" r="5715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166" cy="480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32D26"/>
    <w:multiLevelType w:val="hybridMultilevel"/>
    <w:tmpl w:val="933E4F80"/>
    <w:lvl w:ilvl="0" w:tplc="6926389C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1092349A">
      <w:numFmt w:val="bullet"/>
      <w:lvlText w:val="o"/>
      <w:lvlJc w:val="left"/>
      <w:pPr>
        <w:ind w:left="22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2" w:tplc="64DCE2C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3" w:tplc="50AA01A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C6EE1132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5" w:tplc="F140D006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 w:tplc="1242DDCA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7" w:tplc="2FB6ADC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FF4EF962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186F76"/>
    <w:multiLevelType w:val="hybridMultilevel"/>
    <w:tmpl w:val="C1D2204C"/>
    <w:lvl w:ilvl="0" w:tplc="62442D90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09E4954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740084A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D7A2092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B4B8A896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358ED79C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FF064B4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7E5287BE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FEF46E8C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803687"/>
    <w:multiLevelType w:val="hybridMultilevel"/>
    <w:tmpl w:val="3A22A33A"/>
    <w:lvl w:ilvl="0" w:tplc="4FB8A578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5D2C2FC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E9B2DCD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4C9C4A7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4E08DA5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FA2AAAC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8AEAA33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B4FA6A6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D7EAB5D2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num w:numId="1" w16cid:durableId="684984717">
    <w:abstractNumId w:val="2"/>
  </w:num>
  <w:num w:numId="2" w16cid:durableId="1916013923">
    <w:abstractNumId w:val="1"/>
  </w:num>
  <w:num w:numId="3" w16cid:durableId="18141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C3"/>
    <w:rsid w:val="00025CDE"/>
    <w:rsid w:val="000473D3"/>
    <w:rsid w:val="00052170"/>
    <w:rsid w:val="0005646F"/>
    <w:rsid w:val="00062742"/>
    <w:rsid w:val="000677E8"/>
    <w:rsid w:val="00080B74"/>
    <w:rsid w:val="000847CB"/>
    <w:rsid w:val="000D05F3"/>
    <w:rsid w:val="000D10AB"/>
    <w:rsid w:val="000E71AE"/>
    <w:rsid w:val="001015BF"/>
    <w:rsid w:val="001220CA"/>
    <w:rsid w:val="00122284"/>
    <w:rsid w:val="0012333F"/>
    <w:rsid w:val="00141ADF"/>
    <w:rsid w:val="00142C68"/>
    <w:rsid w:val="0016286F"/>
    <w:rsid w:val="00162D2F"/>
    <w:rsid w:val="001A1003"/>
    <w:rsid w:val="001C050D"/>
    <w:rsid w:val="001C32D4"/>
    <w:rsid w:val="001C4D1A"/>
    <w:rsid w:val="001C79A1"/>
    <w:rsid w:val="001D4A75"/>
    <w:rsid w:val="001F1101"/>
    <w:rsid w:val="00234425"/>
    <w:rsid w:val="002416F0"/>
    <w:rsid w:val="0026351D"/>
    <w:rsid w:val="00264CDE"/>
    <w:rsid w:val="00280183"/>
    <w:rsid w:val="00281814"/>
    <w:rsid w:val="002B0FBD"/>
    <w:rsid w:val="002C40FA"/>
    <w:rsid w:val="002D2095"/>
    <w:rsid w:val="002D65AA"/>
    <w:rsid w:val="002D6F2D"/>
    <w:rsid w:val="002F5E22"/>
    <w:rsid w:val="00346CBA"/>
    <w:rsid w:val="00346D3E"/>
    <w:rsid w:val="00346E3D"/>
    <w:rsid w:val="0037352F"/>
    <w:rsid w:val="003849A7"/>
    <w:rsid w:val="003A6C41"/>
    <w:rsid w:val="003B29C1"/>
    <w:rsid w:val="003B7598"/>
    <w:rsid w:val="003D1AA1"/>
    <w:rsid w:val="003E1530"/>
    <w:rsid w:val="00404623"/>
    <w:rsid w:val="00420732"/>
    <w:rsid w:val="00451097"/>
    <w:rsid w:val="00455B87"/>
    <w:rsid w:val="00456BCD"/>
    <w:rsid w:val="00467B1D"/>
    <w:rsid w:val="004773FF"/>
    <w:rsid w:val="004950DD"/>
    <w:rsid w:val="004B40D5"/>
    <w:rsid w:val="004C2B23"/>
    <w:rsid w:val="005007B8"/>
    <w:rsid w:val="00534408"/>
    <w:rsid w:val="00542F09"/>
    <w:rsid w:val="005A11DD"/>
    <w:rsid w:val="005E7E6A"/>
    <w:rsid w:val="005F1499"/>
    <w:rsid w:val="00633529"/>
    <w:rsid w:val="006535B3"/>
    <w:rsid w:val="00667F24"/>
    <w:rsid w:val="006747D3"/>
    <w:rsid w:val="006758DB"/>
    <w:rsid w:val="00684599"/>
    <w:rsid w:val="006A7BD5"/>
    <w:rsid w:val="006B4120"/>
    <w:rsid w:val="006B44FC"/>
    <w:rsid w:val="006C1142"/>
    <w:rsid w:val="006C2CBF"/>
    <w:rsid w:val="006F28BA"/>
    <w:rsid w:val="00703679"/>
    <w:rsid w:val="0072634C"/>
    <w:rsid w:val="00736690"/>
    <w:rsid w:val="007939E6"/>
    <w:rsid w:val="0079626E"/>
    <w:rsid w:val="007B20D3"/>
    <w:rsid w:val="007B24BB"/>
    <w:rsid w:val="007C70A2"/>
    <w:rsid w:val="007D3F1E"/>
    <w:rsid w:val="008005FC"/>
    <w:rsid w:val="00806ABB"/>
    <w:rsid w:val="00862207"/>
    <w:rsid w:val="008843B6"/>
    <w:rsid w:val="008A2E9B"/>
    <w:rsid w:val="008A4E12"/>
    <w:rsid w:val="008B101B"/>
    <w:rsid w:val="008E3D61"/>
    <w:rsid w:val="00904A0B"/>
    <w:rsid w:val="00916C3F"/>
    <w:rsid w:val="009235E7"/>
    <w:rsid w:val="009608C6"/>
    <w:rsid w:val="00987AC8"/>
    <w:rsid w:val="009A2C2B"/>
    <w:rsid w:val="009A3371"/>
    <w:rsid w:val="009A3868"/>
    <w:rsid w:val="009C5698"/>
    <w:rsid w:val="00A15275"/>
    <w:rsid w:val="00A36054"/>
    <w:rsid w:val="00A603C8"/>
    <w:rsid w:val="00A60550"/>
    <w:rsid w:val="00A72B08"/>
    <w:rsid w:val="00A758EE"/>
    <w:rsid w:val="00A854ED"/>
    <w:rsid w:val="00AB7AB0"/>
    <w:rsid w:val="00B17376"/>
    <w:rsid w:val="00B214C6"/>
    <w:rsid w:val="00B30EC3"/>
    <w:rsid w:val="00B34B21"/>
    <w:rsid w:val="00B665E3"/>
    <w:rsid w:val="00B70107"/>
    <w:rsid w:val="00B86C06"/>
    <w:rsid w:val="00B94C91"/>
    <w:rsid w:val="00BC7DF2"/>
    <w:rsid w:val="00C81F05"/>
    <w:rsid w:val="00C94024"/>
    <w:rsid w:val="00C95C3B"/>
    <w:rsid w:val="00C9784E"/>
    <w:rsid w:val="00C97CAD"/>
    <w:rsid w:val="00CB3804"/>
    <w:rsid w:val="00CE6A83"/>
    <w:rsid w:val="00D13EB3"/>
    <w:rsid w:val="00D15D37"/>
    <w:rsid w:val="00D261F2"/>
    <w:rsid w:val="00D366B2"/>
    <w:rsid w:val="00D572BF"/>
    <w:rsid w:val="00DB2F2A"/>
    <w:rsid w:val="00DB4493"/>
    <w:rsid w:val="00DB584F"/>
    <w:rsid w:val="00DB6F09"/>
    <w:rsid w:val="00DC6B3F"/>
    <w:rsid w:val="00DD0755"/>
    <w:rsid w:val="00DD4AB0"/>
    <w:rsid w:val="00DF1335"/>
    <w:rsid w:val="00DF1DAF"/>
    <w:rsid w:val="00E145F0"/>
    <w:rsid w:val="00E23FF3"/>
    <w:rsid w:val="00E31861"/>
    <w:rsid w:val="00E540A9"/>
    <w:rsid w:val="00E64181"/>
    <w:rsid w:val="00E810BF"/>
    <w:rsid w:val="00E96CF4"/>
    <w:rsid w:val="00EA1EA8"/>
    <w:rsid w:val="00EA7270"/>
    <w:rsid w:val="00EB47ED"/>
    <w:rsid w:val="00EC6227"/>
    <w:rsid w:val="00EF6928"/>
    <w:rsid w:val="00F22C08"/>
    <w:rsid w:val="00F364C8"/>
    <w:rsid w:val="00F50531"/>
    <w:rsid w:val="00F50E4B"/>
    <w:rsid w:val="00F62885"/>
    <w:rsid w:val="00F7727F"/>
    <w:rsid w:val="00F953EC"/>
    <w:rsid w:val="00FE52F6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3B69"/>
  <w15:docId w15:val="{FDD87256-5080-4ED7-82FC-3745B63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0DD"/>
    <w:rPr>
      <w:rFonts w:ascii="Verdana" w:eastAsia="Verdana" w:hAnsi="Verdana" w:cs="Verdana"/>
    </w:rPr>
  </w:style>
  <w:style w:type="paragraph" w:styleId="Nagwek1">
    <w:name w:val="heading 1"/>
    <w:basedOn w:val="Normalny"/>
    <w:uiPriority w:val="9"/>
    <w:qFormat/>
    <w:pPr>
      <w:ind w:left="119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91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1" w:right="1"/>
      <w:jc w:val="center"/>
    </w:pPr>
    <w:rPr>
      <w:rFonts w:ascii="Times New Roman" w:eastAsia="Times New Roman" w:hAnsi="Times New Roman" w:cs="Times New Roman"/>
      <w:b/>
      <w:bCs/>
      <w:i/>
      <w:iCs/>
      <w:sz w:val="54"/>
      <w:szCs w:val="54"/>
    </w:rPr>
  </w:style>
  <w:style w:type="paragraph" w:styleId="Akapitzlist">
    <w:name w:val="List Paragraph"/>
    <w:basedOn w:val="Normalny"/>
    <w:uiPriority w:val="1"/>
    <w:qFormat/>
    <w:pPr>
      <w:ind w:left="191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6"/>
      <w:jc w:val="center"/>
    </w:pPr>
  </w:style>
  <w:style w:type="character" w:styleId="Hipercze">
    <w:name w:val="Hyperlink"/>
    <w:basedOn w:val="Domylnaczcionkaakapitu"/>
    <w:uiPriority w:val="99"/>
    <w:unhideWhenUsed/>
    <w:rsid w:val="007B20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D3"/>
    <w:rPr>
      <w:color w:val="605E5C"/>
      <w:shd w:val="clear" w:color="auto" w:fill="E1DFDD"/>
    </w:rPr>
  </w:style>
  <w:style w:type="paragraph" w:customStyle="1" w:styleId="Textedesaisie">
    <w:name w:val="Texte de saisie"/>
    <w:basedOn w:val="Normalny"/>
    <w:qFormat/>
    <w:rsid w:val="0016286F"/>
    <w:pPr>
      <w:widowControl/>
      <w:autoSpaceDE/>
      <w:autoSpaceDN/>
      <w:spacing w:line="220" w:lineRule="atLeast"/>
      <w:jc w:val="both"/>
    </w:pPr>
    <w:rPr>
      <w:rFonts w:cs="Times New Roman"/>
      <w:color w:val="74758C"/>
      <w:sz w:val="18"/>
      <w:szCs w:val="19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122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284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122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28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accor.com/first-quarter-2026-revenue-solid-activity-in-a-challenging-environment/?lang=eng" TargetMode="External"/><Relationship Id="rId13" Type="http://schemas.openxmlformats.org/officeDocument/2006/relationships/hyperlink" Target="https://www.linkedin.com/company/accor/" TargetMode="External"/><Relationship Id="rId18" Type="http://schemas.openxmlformats.org/officeDocument/2006/relationships/hyperlink" Target="mailto:pierre-loup.etienne@accor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Accor/" TargetMode="External"/><Relationship Id="rId17" Type="http://schemas.openxmlformats.org/officeDocument/2006/relationships/hyperlink" Target="mailto:charlotte.thouvard@acco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gnieszka.KALINOWSKA@accor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Acc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iktok.com/%40accor?lang=fr" TargetMode="External"/><Relationship Id="rId10" Type="http://schemas.openxmlformats.org/officeDocument/2006/relationships/hyperlink" Target="https://group.accor.com/fr-F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oup.accor.com/fr-FR" TargetMode="External"/><Relationship Id="rId14" Type="http://schemas.openxmlformats.org/officeDocument/2006/relationships/hyperlink" Target="https://www.instagram.com/acco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Pierre-Loup</dc:creator>
  <cp:lastModifiedBy>Florek, Wojciech</cp:lastModifiedBy>
  <cp:revision>18</cp:revision>
  <dcterms:created xsi:type="dcterms:W3CDTF">2026-04-27T10:46:00Z</dcterms:created>
  <dcterms:modified xsi:type="dcterms:W3CDTF">2026-04-27T12:08:00Z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02da99f7c58340df94e248814829d1394039f9a0d10b90a88946516690828137</vt:lpwstr>
  </property>
</Properties>
</file>