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Stabilny popyt przy rekordowo niskiej powierzchni w budowie na warszawskiej mapie biurowej</w:t>
      </w:r>
    </w:p>
    <w:p w:rsidR="00000000" w:rsidDel="00000000" w:rsidP="00000000" w:rsidRDefault="00000000" w:rsidRPr="00000000" w14:paraId="00000002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Warszawski rynek biurowy mierzy się z dalszym spowolnieniem po stronie przyszłej podaży. Jak wynika z najnowszego raportu międzynarodowej firmy doradczej Cushman &amp; Wakefield, wolumen powierzchni w budowie spadł do zaledwie 118 000 mkw. – poziomu nienotowanego od 30 lat. Aktywność najemców w pierwszym kwartale utrzymała się na relatywnie stabilnym poziomie, osiągając niecałe 134 tys. mkw., choć pozytywnie wyróżniły się nowe umowy, które odpowiadały za 51% całkowitego popytu. Najemcy poszukujący małych i średnich powierzchni pozostają aktywni na rynku relokacji.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PODAŻ: NAJMNIEJ POWIERZCHNI W BUDOWIE OD 30 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pierwszym kwartale 2026 roku całkowite zasoby powierzchni biurowej w Warszawie wyniosły 6,28 mln mkw. W analizowanym okresie do użytku oddano trzy budynki biurowe o łącznej powierzchni blisko 43 000 mkw.: nowo wybudowane Studio A (24 000 mkw. – Skanska) oraz Vena (15 400 mkw. – PHN), a także budynek po renowacji – Przemysłowa 26a (3 500 mkw. – Powiśle Nieruchomości).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Wraz z oddawaniem do użytkowania kolejnych projektów, obserwowany jest dalszy spadek wolumenu powierzchni biurowej w budowie. Na koniec pierwszego kwartału 2026 roku wynosił on zaledwie 118 000 mkw., co stanowi nowe minimum w Warszawie na przestrzeni ostatnich 30 lat.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Obecnie wśród największych inwestycji realizowanych w Warszawie znajdują się m.in. wieża biurowa Skyliner II (Karimpol), flagowy projekt Strabag Real Estate – Upper One oraz biurowiec Afi Tower (AFI / Echo Investment). Najbliższe przyszłe inwestycje obejmują rozpoczęcie przez Ghelamco prac nad drugim etapem kompleksu VIBE, a także proces wyburzania starszego biurowca przy ul. Prostej 69, na którego miejscu inwestor – spółka CPI – planuje realizację nowego projektu biurowego LightOn </w:t>
      </w:r>
      <w:r w:rsidDel="00000000" w:rsidR="00000000" w:rsidRPr="00000000">
        <w:rPr>
          <w:sz w:val="20"/>
          <w:szCs w:val="20"/>
          <w:rtl w:val="0"/>
        </w:rPr>
        <w:t xml:space="preserve">– tłumaczy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Vitalii Arkhypenko, Analityk Rynku, Cushman &amp; Wakefield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POPYT: SPOKOJNY PIERWSZY KWARTAŁ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Aktywność najemców w pierwszym kwartale 2026 roku wyniosła 133 800 mkw., co oznacza spadek o około 9% w porównaniu z analogicznym okresem roku poprzedniego, jednocześnie pozostając na poziomie zbliżonym do roku 2024.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analizowanym okresie zawarto ponad 180 transakcji, z czego 34 dotyczyły powierzchni przekraczających 1000 mkw. W strukturze transakcji w okresie styczeń-marzec dominowały nowe umowy, które odpowiadały za 51% całkowitego wolumenu. Renegocjacje stanowiły 39%, ekspansje 9%, natomiast powierzchnie zajęte przez właściciela około 1%.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Wśród największych transakcji zawartych w analizowanym okresie znalazły się m.in. renegocjacja umowy najmu przez firmę P4 (Play) w budynku Neopark B na ponad 8850 mkw., renegocjacja firmy Baxter w Nordic Park na około 4700 mkw., a także umowa przednajmu podpisana przez Mindspace w budynku Skyliner II na blisko 4400 mkw.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Z naszych obserwacji wynika, że utrzymujące się zainteresowanie powierzchniami biurowymi w Warszawie jest w dużej mierze wspierane przez dynamiczny rozwój centrów usług wspólnych. Jednocześnie sektorami o potencjale wzrostu, poza usługami dla biznesu, pozostają firmy z branży IT, bankowości, sektora publicznego oraz farmaceutycznego. Oprócz wysokiego zainteresowania strefą centralną obserwowany jest również stabilny popyt poza centrum, w szczególności w strefach Służewiec oraz Korytarz Jerozolimskich. Dodatkową opcją dla najemców pozostają także niszowe strefy biurowe, takie jak strefa Wschód, Północ czy korytarz Puławskiej. Lokalizacje te stanowią atrakcyjną i kosztowo konkurencyjną alternatywę – zarówno dla dużych firm, dążących do utrzymania części działów w mniej centralnych lokalizacjach, jak i dla mniejszych podmiotów, działających w ograniczonej skali lub dopiero wchodzących na rynek</w:t>
      </w:r>
      <w:r w:rsidDel="00000000" w:rsidR="00000000" w:rsidRPr="00000000">
        <w:rPr>
          <w:sz w:val="20"/>
          <w:szCs w:val="20"/>
          <w:rtl w:val="0"/>
        </w:rPr>
        <w:t xml:space="preserve"> – mówi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Ewa Derlatka-Chilewicz, Head of Research Poland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Cushman &amp; Wakefield.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Cushman &amp; Wakefield prognozuje utrzymanie aktywności najemców na warszawskim rynku biurowym w najbliższych kwartałach na poziomie zbliżonym do lat 2023–2024. Jednocześnie tempo rozwoju rynku może ulegać zmianom w zależności od ogólnego klimatu gospodarczego oraz strategii firm międzynarodowych w zakresie redukcji kosztów lub ekspansji.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WSKAŹNIK PUSTOSTANÓW: LEKKA KOREKTA DOSTĘPNOŚCI, PRZY UTRZYMUJĄCYM SIĘ TRENDZIE SPADKOWYM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koniec marca 2026 roku wskaźnik powierzchni niewynajętej w Warszawie wyniósł 9,5%, co oznacza wzrost o 0,4 pp. w ujęciu kwartalnym, przy jednoczesnym spadku o 1,0 pp. w porównaniu z analogicznym okresem 2025 roku.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Obecny, nieznaczny wzrost dostępności wynika przede wszystkim z oddania na rynek nowych budynków biurowych. Jednocześnie obserwowany jest stabilny, dodatni poziom absorpcji, przejawiający się wyższym wolumenem najmu w porównaniu do powierzchni zwalnianych. W perspektywie ograniczonej nowej podaży w latach 2026-2028 oczekiwany jest dalszy spadek wskaźnika powierzchni niewynajętej. Struktura pustostanów pozostaje nadal wyraźnie zróżnicowana lokalizacyjnie. Obecnie wyższy poziom niewynajętej powierzchni utrzymuje się w strefach niecentralnych (12,2%), podczas gdy w strefie centralnej dostępność na koniec I kwartału 2026 roku kształtowała się na niskim poziomie 6,5%</w:t>
      </w:r>
      <w:r w:rsidDel="00000000" w:rsidR="00000000" w:rsidRPr="00000000">
        <w:rPr>
          <w:sz w:val="20"/>
          <w:szCs w:val="20"/>
          <w:rtl w:val="0"/>
        </w:rPr>
        <w:t xml:space="preserve"> – dodaje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Paweł Kłosiński, Senior Office Leasing Manager,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Cushman &amp; Wakefield.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Trwająca kompresja dostępnej powierzchni biurowej w centralnych lokalizacjach może nadal prowadzić do wzrostu stawek czynszowych w Centrum. W połączeniu z ograniczoną liczbą nowych inwestycji sytuacja ta może sprzyjać zarówno poprawie pozycji konkurencyjnej starszych projektów centralnych, jak i wzrostowi zainteresowania wybranymi lokalizacjami poza centrum. Trend ten może również zachęcać właścicieli starszych budynków do przeprowadzania modernizacji, umożliwiających skuteczniejsze konkurowanie o utrzymanie obecnych, a także pozyskanie nowych najemców.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STAWKI CZYNSZÓW: DALSZY WZROST PRZEDE WSZYSTKIM W CENTRUM, NIEZNACZNIE POZA CENTRUM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marcu 2026 roku stawki „premium” za najlepsze powierzchnie biurowe w Warszawie wyniosły przeciętnie 24,00-29,00 EUR/ mkw./ miesiąc w strefie Centrum oraz 15,00-19,00 EUR/ mkw./ miesiąc w lokalizacjach niecentralnych. Wzrosty czynszu obserwowaliśmy przede wszystkim w budynkach w Centrum (zarówno w trakcie budowy, jak i w istniejących). Czynsze w budynkach poza centrum również doświadczyły wzrostów, choć o niższej skali – zbliżonej lub nieznacznie wyższej względem wskaźnika inflacji.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Cushman &amp; Wakefield przewiduje, że w kolejnych kwartałach, presja na wzrost stawek czynszu będzie widoczna nadal przede wszystkim w projektach w budowie oraz w najbardziej atrakcyjnych obiektach zlokalizowanych w Centrum czy wybranych strefach przycentralnych. Podczas gdy w większości obiektów w lokalizacjach niecentralnych wzrost czynszów będzie ograniczony ze względu na większą konkurencję i relatywnie wyższy poziom wakatu.</w:t>
      </w:r>
    </w:p>
    <w:p w:rsidR="00000000" w:rsidDel="00000000" w:rsidP="00000000" w:rsidRDefault="00000000" w:rsidRPr="00000000" w14:paraId="00000014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KONIEC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O Cushman &amp; Wakefield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Cushman &amp; Wakefield (NYSE: CWK) jest wiodącą na świecie firmą świadczącą usługi na rynku nieruchomości komercyjnych na rzecz najemców i inwestorów. Zatrudnia ok. 53 tys. pracowników w ponad 350 biurach i niemal 60 krajach na całym świecie. W 2025 roku jej przychody wyniosły 10,3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 Better never settles</w:t>
      </w:r>
      <w:r w:rsidDel="00000000" w:rsidR="00000000" w:rsidRPr="00000000">
        <w:rPr>
          <w:sz w:val="16"/>
          <w:szCs w:val="16"/>
          <w:rtl w:val="0"/>
        </w:rPr>
        <w:t xml:space="preserve"> Cushman &amp; Wakefield otrzymuje wiele wyróżnień oraz nagród w konkursach branżowych i biznesowych. Dodatkowe informacje na stronie </w:t>
      </w:r>
      <w:hyperlink r:id="rId7">
        <w:r w:rsidDel="00000000" w:rsidR="00000000" w:rsidRPr="00000000">
          <w:rPr>
            <w:color w:val="4472c4"/>
            <w:sz w:val="16"/>
            <w:szCs w:val="16"/>
            <w:u w:val="single"/>
            <w:rtl w:val="0"/>
          </w:rPr>
          <w:t xml:space="preserve">www.cushmanwakefield.com</w:t>
        </w:r>
      </w:hyperlink>
      <w:r w:rsidDel="00000000" w:rsidR="00000000" w:rsidRPr="00000000">
        <w:rPr>
          <w:sz w:val="16"/>
          <w:szCs w:val="16"/>
          <w:rtl w:val="0"/>
        </w:rPr>
        <w:t xml:space="preserve">.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9" w:w="11907" w:orient="portrait"/>
      <w:pgMar w:bottom="2880" w:top="3600" w:left="1224" w:right="1008" w:header="180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Layout w:type="fixed"/>
      <w:tblLook w:val="0400"/>
    </w:tblPr>
    <w:tblGrid>
      <w:gridCol w:w="9000"/>
      <w:tblGridChange w:id="0">
        <w:tblGrid>
          <w:gridCol w:w="900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1B">
          <w:pPr>
            <w:pStyle w:val="Heading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Dodatkowe informacje:</w:t>
          </w:r>
        </w:p>
      </w:tc>
    </w:tr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10095.0" w:type="dxa"/>
            <w:jc w:val="left"/>
            <w:tblLayout w:type="fixed"/>
            <w:tblLook w:val="04A0"/>
          </w:tblPr>
          <w:tblGrid>
            <w:gridCol w:w="3467"/>
            <w:gridCol w:w="3763"/>
            <w:gridCol w:w="2865"/>
            <w:tblGridChange w:id="0">
              <w:tblGrid>
                <w:gridCol w:w="3467"/>
                <w:gridCol w:w="3763"/>
                <w:gridCol w:w="2865"/>
              </w:tblGrid>
            </w:tblGridChange>
          </w:tblGrid>
          <w:tr>
            <w:trPr>
              <w:cantSplit w:val="0"/>
              <w:trHeight w:val="1164" w:hRule="atLeast"/>
              <w:tblHeader w:val="0"/>
            </w:trPr>
            <w:tc>
              <w:tcPr/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tbl>
                <w:tblPr>
                  <w:tblStyle w:val="Table3"/>
                  <w:tblW w:w="24344.0" w:type="dxa"/>
                  <w:jc w:val="left"/>
                  <w:tblInd w:w="27.0" w:type="dxa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6086"/>
                  <w:gridCol w:w="6086"/>
                  <w:gridCol w:w="6086"/>
                  <w:gridCol w:w="6086"/>
                  <w:tblGridChange w:id="0">
                    <w:tblGrid>
                      <w:gridCol w:w="6086"/>
                      <w:gridCol w:w="6086"/>
                      <w:gridCol w:w="6086"/>
                      <w:gridCol w:w="6086"/>
                    </w:tblGrid>
                  </w:tblGridChange>
                </w:tblGrid>
                <w:tr>
                  <w:trPr>
                    <w:cantSplit w:val="0"/>
                    <w:trHeight w:val="738" w:hRule="atLeast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E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Karolina Samczyńska-Fiślak</w:t>
                      </w:r>
                    </w:p>
                    <w:p w:rsidR="00000000" w:rsidDel="00000000" w:rsidP="00000000" w:rsidRDefault="00000000" w:rsidRPr="00000000" w14:paraId="0000001F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Cushman &amp; Wakefield </w:t>
                      </w:r>
                    </w:p>
                    <w:p w:rsidR="00000000" w:rsidDel="00000000" w:rsidP="00000000" w:rsidRDefault="00000000" w:rsidRPr="00000000" w14:paraId="00000020">
                      <w:pPr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u w:val="none"/>
                          <w:rtl w:val="0"/>
                        </w:rPr>
                        <w:t xml:space="preserve">Tel: + 48 22 820 20 20; 691 060 202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1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tabs>
                          <w:tab w:val="right" w:leader="none" w:pos="4688"/>
                        </w:tabs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e-mail: </w:t>
                      </w:r>
                      <w:hyperlink r:id="rId1">
                        <w:r w:rsidDel="00000000" w:rsidR="00000000" w:rsidRPr="00000000">
                          <w:rPr>
                            <w:rFonts w:ascii="Calibri" w:cs="Calibri" w:eastAsia="Calibri" w:hAnsi="Calibri"/>
                            <w:b w:val="1"/>
                            <w:bCs w:val="1"/>
                            <w:i w:val="0"/>
                            <w:iCs w:val="0"/>
                            <w:smallCaps w:val="0"/>
                            <w:strike w:val="0"/>
                            <w:color w:val="008b98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media.poland@cushwake.pl</w:t>
                        </w:r>
                      </w:hyperlink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2">
                      <w:pPr>
                        <w:keepNext w:val="0"/>
                        <w:keepLines w:val="0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3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4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696b6b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Layout w:type="fixed"/>
      <w:tblLook w:val="0400"/>
    </w:tblPr>
    <w:tblGrid>
      <w:gridCol w:w="5670"/>
      <w:gridCol w:w="3330"/>
      <w:tblGridChange w:id="0">
        <w:tblGrid>
          <w:gridCol w:w="5670"/>
          <w:gridCol w:w="333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C">
          <w:pPr>
            <w:pStyle w:val="Heading2"/>
            <w:rPr>
              <w:rFonts w:ascii="Arial" w:cs="Arial" w:eastAsia="Arial" w:hAnsi="Arial"/>
              <w:color w:val="696b6b"/>
            </w:rPr>
          </w:pPr>
          <w:r w:rsidDel="00000000" w:rsidR="00000000" w:rsidRPr="00000000">
            <w:rPr>
              <w:rFonts w:ascii="Arial" w:cs="Arial" w:eastAsia="Arial" w:hAnsi="Arial"/>
              <w:color w:val="696b6b"/>
              <w:rtl w:val="0"/>
            </w:rPr>
            <w:t xml:space="preserve">Media Contact:</w:t>
          </w:r>
        </w:p>
      </w:tc>
      <w:tc>
        <w:tcPr>
          <w:vAlign w:val="bottom"/>
        </w:tcPr>
        <w:p w:rsidR="00000000" w:rsidDel="00000000" w:rsidP="00000000" w:rsidRDefault="00000000" w:rsidRPr="00000000" w14:paraId="0000002D">
          <w:pPr>
            <w:spacing w:after="100" w:line="24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6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E">
          <w:pPr>
            <w:keepNext w:val="1"/>
            <w:keepLines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96b6b"/>
              <w:sz w:val="18"/>
              <w:szCs w:val="18"/>
              <w:rtl w:val="0"/>
            </w:rPr>
            <w:t xml:space="preserve">Name</w:t>
          </w:r>
        </w:p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Title</w:t>
          </w:r>
        </w:p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+1 000 000 0000</w:t>
          </w:r>
        </w:p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hyperlink r:id="rId1">
            <w:r w:rsidDel="00000000" w:rsidR="00000000" w:rsidRPr="00000000">
              <w:rPr>
                <w:color w:val="4472c4"/>
                <w:sz w:val="18"/>
                <w:szCs w:val="18"/>
                <w:u w:val="single"/>
                <w:rtl w:val="0"/>
              </w:rPr>
              <w:t xml:space="preserve">first.last@cushwake.com</w:t>
            </w:r>
          </w:hyperlink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 </w:t>
          </w:r>
        </w:p>
      </w:tc>
      <w:tc>
        <w:tcPr>
          <w:vAlign w:val="bottom"/>
        </w:tcPr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43134</wp:posOffset>
          </wp:positionH>
          <wp:positionV relativeFrom="paragraph">
            <wp:posOffset>-154973</wp:posOffset>
          </wp:positionV>
          <wp:extent cx="1933575" cy="4076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3813</wp:posOffset>
          </wp:positionH>
          <wp:positionV relativeFrom="paragraph">
            <wp:posOffset>-201292</wp:posOffset>
          </wp:positionV>
          <wp:extent cx="1933575" cy="40767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lineRule="auto"/>
    </w:pPr>
    <w:rPr>
      <w:rFonts w:ascii="Calibri" w:cs="Calibri" w:eastAsia="Calibri" w:hAnsi="Calibri"/>
      <w:b w:val="1"/>
      <w:bCs w:val="1"/>
      <w:smallCaps w:val="1"/>
      <w:color w:val="008b98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ushmanwakefield.com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L9E77K47SfL8eRv19NsgBNN3nw==">CgMxLjA4AHIhMVJMc0RjM1ZXRVpTRDBYMURwb01VTUlPanNiTHFlVVlQ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