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The 2032 Brisbane Olympic Games will require more than 7.1 billion in investment for the renovation and construction of their venues</w:t>
      </w:r>
      <w:r w:rsidDel="00000000" w:rsidR="00000000" w:rsidRPr="00000000">
        <w:rPr>
          <w:rFonts w:ascii="Calibri" w:cs="Calibri" w:eastAsia="Calibri" w:hAnsi="Calibri"/>
          <w:b w:val="1"/>
          <w:bCs w:val="1"/>
          <w:sz w:val="32"/>
          <w:szCs w:val="32"/>
          <w:rtl w:val="0"/>
        </w:rPr>
        <w:t xml:space="preserve"> </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In addition to funding for the 17 new or upgraded venues, an additional $12.4 billion is earmarked for transportation infrastructure projects identified by Queensland as essential for the Games.</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Games will involve the construction of the new Victoria Park Olympic Stadium and the Brisbane Arena, as well as massive projects such as Cross River Rail, the Brisbane Metro, and the upgrade of the tunnel running beneath the Gabba area.</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In recent years, Sarens has been involved in some of Australia’s most significant public works projects, such as the Parramatta Light Rail in Sydney and the Darlington Bridge Project in Adelaide, and is currently in discussions with the government to assess its involvement in the projects required for the Olympic Games</w:t>
      </w:r>
      <w:r w:rsidDel="00000000" w:rsidR="00000000" w:rsidRPr="00000000">
        <w:rPr>
          <w:rFonts w:ascii="Calibri" w:cs="Calibri" w:eastAsia="Calibri" w:hAnsi="Calibri"/>
          <w:i w:val="1"/>
          <w:iCs w:val="1"/>
          <w:rtl w:val="0"/>
        </w:rPr>
        <w:t xml:space="preserve">. </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upcoming Olympic and Paralympic Games, to be held in Brisbane in 2032, will have a significant economic impact on the country. Not only because of the expected spending by visitors, estimated at over $44 billion, but also due to the high level of investment required in infrastructure—more than $7.1 billion for the renovation and construction of venues, of which $3.4 billion will come directly from federal funding.</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Although much of this funding will be dedicated to the construction of 17 new or upgraded venues, including the new Victoria Park Olympic Stadium and the Brisbane Arena, the federal government has also set aside an additional investment of over $12.4 billion for the construction of transportation projects identified by Queensland as strategic for the successful staging of the Games, and which will be of great utility once the Olympic event has concluded. Notable among these is the Cross River Rail project, Queensland’s most ambitious, a new line spanning over 10 km that includes a 5.9-km twin tunnel under the river and the financial district, and the Brisbane Metro, a 21-km system connecting the suburbs to the city center via 24-meter-long vehicles in a trackless metro configuration. </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the Australian construction industry set to face one of its busiest and most demanding periods in the coming years, Sarens, a world leader in heavy lifting, engineered transport, and crane rental services, is already in talks with the federal government to explore its potential involvement in some of the public infrastructure construction projects that will be carried out in the country in preparation for the Olympic Games. Its proximity—the company is headquartered in Brisbane—its ability to mobilize heavy-lift cranes from its fleet internationally from anywhere in the world, and its commitment to sustainability—Sarens offers a range of electric cranes that operate with a zero carbon footprint—make the company one of the most relevant and reliable partners in the Australian industry.</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extensive experience in developing public infrastructure projects in Australia. In recent years, it has worked on strategic projects in the country, such as the Parramatta Light Rail in Sydney, where it participated in the installation of the James Ruse Drive steel arch bridge, weighing over 1,425 tons, using 48 axle lines of SPMTs (Self-Propelled Modular Trailers) and strand jacks in an operation lasting just eight hours. </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company also played a direct role in the Darlington Bridge Project in Adelaide, overseeing the movement and installation of a 3,000-ton, 183-meter-long bridge section. This project marked the first time in the history of Australian civil engineering that a bridge of this size was installed using modular construction methods and SPMTs, with the operation completed 38 hours ahead of schedule.</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color w:val="002060"/>
          <w:rtl w:val="0"/>
        </w:rPr>
        <w:t xml:space="preserve">According to Willem Jobse, Sarens’ Regional Director for Oceania, “We are aware of the significant demands that will be placed on the construction sector in general, and the heavy lifting sector in particular. At Sarens, we have over 70 years of international experience in carrying out all types of projects, regardless of their scale or duration, so we are prepared to meet any potential needs of the federal government or private companies that require a reliable partner for the development of public infrastructure in the country ahead of the Brisbane Olympics.” </w:t>
      </w: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7">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8">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after="160" w:line="259"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-247649</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