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Informacja prasowa</w:t>
        <w:tab/>
        <w:tab/>
        <w:tab/>
        <w:tab/>
        <w:tab/>
        <w:tab/>
        <w:tab/>
        <w:tab/>
        <w:tab/>
        <w:t xml:space="preserve">            24.04.2026 r.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Ta sama choroba, inna terapia. Dlaczego dzieci nie leczy się jak dorosłych?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To, że choroba nosi tę samą nazwę, nie oznacza jeszcze, że u dziecka i dorosłego ma ten sam przebieg i tak samo odpowiada na leczenie. W praktyce podobne rozpoznanie może wymagać zupełnie innego podejścia terapeutycznego.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 przypadku dzieci ta różnica przekłada się bezpośrednio na sposób leczenia. Ich organizm inaczej reaguje na leki, inaczej się regeneruje, a terapia musi uwzględniać coś, czego w pediatrii nie da się pominąć: intensywny rozwój całego organizmu. Dlatego w leczeniu dzieci nie chodzi o „modyfikację dawki” czy prostą adaptację gotowych schematów. Potrzebne jest osobne myślenie o chorobie, leczeniu i skutkach, jakie może ono przynieść za kilka czy kilkanaście lat. 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</w:rPr>
        <w:drawing>
          <wp:inline distB="114300" distT="114300" distL="114300" distR="114300">
            <wp:extent cx="4817428" cy="3214048"/>
            <wp:effectExtent b="0" l="0" r="0" t="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7428" cy="32140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Zdjęcie autorstwa Freepik [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16"/>
            <w:szCs w:val="16"/>
            <w:u w:val="single"/>
            <w:rtl w:val="0"/>
          </w:rPr>
          <w:t xml:space="preserve">link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]</w:t>
      </w:r>
    </w:p>
    <w:p w:rsidR="00000000" w:rsidDel="00000000" w:rsidP="00000000" w:rsidRDefault="00000000" w:rsidRPr="00000000" w14:paraId="00000006">
      <w:pPr>
        <w:spacing w:after="80" w:before="28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Różne oblicza tej samej choroby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pierwszy rzut oka obraz choroby może wyglądać podobnie: ból, guz, niepokojący wynik badania, diagnoza nowotworu. Na poziomie biologii różnice są jednak zasadnicze. U dzieci częściej niż u dorosłych występują nowotwory nienabłonkowe – m.in. białaczki, chłoniaki, guzy ośrodkowego układu nerwowego, neuroblastoma czy mięsaki – które mają inne podłoże biologiczne, inny przebieg i inaczej odpowiadają na leczenie niż nowotwory typowe dla dorosłych. 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U dzieci zdecydowana większość nowotworów ma charakter nienabłonkowy, co oznacza, że ich biologia, dynamika wzrostu i odpowiedź na leczenie są zupełnie inne niż u dorosłych. Nie możemy więc przenosić schematów terapeutycznych jeden do jednego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podkreśla prof. Anna Raciborska, specjalistka pediatrii, onkologii i hematologii dziecięcej, kierownik Kliniki Onkologii i Chirurgii Onkologicznej Dzieci i Młodzieży w Instytut Matki i Dziecka (IMiD).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Ta różn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ica w praktyce zmienia sposób postępowania – od diagnostyki po plan leczenia. Wymaga odrębnych protokołów terapeutycznych oraz prowadzenia pacjentów w wyspecjalizowanych ośrodkach.</w:t>
      </w:r>
    </w:p>
    <w:p w:rsidR="00000000" w:rsidDel="00000000" w:rsidP="00000000" w:rsidRDefault="00000000" w:rsidRPr="00000000" w14:paraId="0000000A">
      <w:pPr>
        <w:spacing w:after="80" w:before="28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 leczeniu dziecka trzeba myśleć o jego przyszłości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medycynie dorosłych celem jest przede wszystkim zatrzymanie choroby i ograniczenie jej skutków. W pediatrii perspektywa jest szersza: nadrzędnym celem zawsze pozostaje ratowanie życia, ale jeśli tylko etap choroby i możliwości terapeutyczne na to pozwalają, leczenie powinno być planowane tak, by jak najmniej zaburzać rozwój organizmu. Właśnie dlatego terapia u dzieci musi uwzględniać nie tylko efekt tu i teraz, ale też wpływ na ich dalsze życie.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Dziecko nie jest „statycznym” pacjentem. Jego narządy rosną, układ hormonalny dojrzewa, a układ nerwowy wciąż się kształtuje. Leczenie musi uwzględniać nie tylko skuteczność tu i teraz, ale też wpływ na przyszłe życie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tłumaczy prof. Anna Raciborska, kierownik Kliniki Onkologii IMiD 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Dlatego tak dużą wagę przykładamy do minimalizowania odległych powikłań terapii. Precyzyjnie planujemy leczenie – od zakresu operacji, przez dobór leków, po decyzje dotyczące intensywności terapii.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Nie chodzi o mniejszą dawkę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Wciąż funkcjonuje przekonanie, że leczenie dziecka to jedynie „lżejsza wersja” terapii dla dorosłych. Tymczasem młody organizm inaczej wchłania, metabolizuje i wydala leki oraz inaczej na nie reaguje.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Organizm dziecka inaczej niż organizm dorosłego wchłania, metabolizuje i wydala leki, szczególnie w pierwszych latach życia. To wpływa na skuteczność i bezpieczeństwo terapii. Dlatego dawkowanie leków u dzieci nie może opierać się wyłącznie na prostym przeliczeniu na kilogram masy ciała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zaznacza Anna Raciborska. 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W wielu przypadkach konieczne są odrębne badania kliniczne i dedykowane protokoły terapeutyczne. Ten sam lek może dawać inny efekt u małego dziecka, nastolatka i dorosłego pacjenta.</w:t>
      </w:r>
    </w:p>
    <w:p w:rsidR="00000000" w:rsidDel="00000000" w:rsidP="00000000" w:rsidRDefault="00000000" w:rsidRPr="00000000" w14:paraId="00000010">
      <w:pPr>
        <w:spacing w:after="80" w:before="28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 leczeniu dziecka zawsze jest ktoś jeszcze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przypadku dziecka leczenie niemal nigdy nie dotyczy wyłącznie jego jako pacjenta. Od początku uczestniczą w nim rodzice lub opiekunowie, a często także rodzeństwo i całe otoczenie, w którym dziecko funkcjonuje. Choroba wpływa więc nie tylko na samego pacjenta, ale na codzienne życie całej rodziny.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Szczególnie wyraźnie widać to w onkologii dziecięcej, gdzie znaczenie ma nie tylko skuteczność terapii, ale też wsparcie psychologiczne, rehabilitacja, edukacja i utrzymanie możliwie normalnego rytmu życia.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W onkologii dziecięcej leczymy nie tylko pacjenta, ale w pewnym sensie całą rodzinę. Dziecko funkcjonuje w systemie zależności, w którym rodzice są kluczowym elementem procesu terapeutycznego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mówi Anna Raciborska. 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Decyzje medyczne, wsparcie emocjonalne i codzienne funkcjonowanie są ze sobą nierozerwalnie związane.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Takie podejście przekłada się na efekty leczenia – także w dłuższej perspektywie.</w:t>
      </w:r>
    </w:p>
    <w:p w:rsidR="00000000" w:rsidDel="00000000" w:rsidP="00000000" w:rsidRDefault="00000000" w:rsidRPr="00000000" w14:paraId="00000015">
      <w:pPr>
        <w:spacing w:after="80" w:before="28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Nie ma jednego schematu dla wszystkich dzieci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pediatrii nie wystarczy wiedzieć, co leczyć. Trzeba jeszcze wiedzieć, kogo się leczy: kilkuletnie dziecko, nastolatka czy pacjenta na granicy dorosłości. Każda z tych grup ma inne potrzeby i inne ryzyko związane z terapią. Nowoczesna medycyna wieku rozwojowego odchodzi od uniwersalnych schematów na rzecz leczenia dopasowanego do biologii choroby, wieku pacjenta i jego rozwoju.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Każde dziecko to inny pacjent – nie tylko medycznie, ale też rozwojowo i emocjonalnie. Dlatego leczenie musi być dopasowane do jego potrzeb, a nie do schematu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podkreśla Anna Raciborska. 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To podejście realnie przekłada się na wyniki terapii i jakość życia po jej zakończeniu.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Stawka to coś więcej niż wyleczenie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poziomie języka łatwo powiedzieć „ta sama choroba”. W praktyce klinicznej to często za mało, by skutecznie leczyć. U dzieci inaczej wygląda biologia schorzeń, inaczej przebiega terapia i inaczej trzeba myśleć o jej skutkach.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Właśnie dlatego medycyna wieku rozwojowego wymaga osobnych kompetencji, standardów i większej uważności. Bo w leczeniu dzieci ważne jest nie tylko, by poradzić sobie z chorobą, ale też, by ochronić rozwój, przyszłość i jakość życia pacjenta po zakończeniu terapii.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highlight w:val="white"/>
          <w:rtl w:val="0"/>
        </w:rPr>
        <w:t xml:space="preserve">Klinika Onkologii i Chirurgii Dzieci i Młodzieży Instytutu Matki i Dziecka (IMiD)</w:t>
      </w:r>
    </w:p>
    <w:p w:rsidR="00000000" w:rsidDel="00000000" w:rsidP="00000000" w:rsidRDefault="00000000" w:rsidRPr="00000000" w14:paraId="0000001D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Najstarsza w Polsce, wysokospecjalistyczna Klinika onkologiczna dla dzieci i młodzieży zlokalizowana w Warszawie. Interdyscyplinarny, doświadczony zespół Kliniki prowadzi pełną diagnostykę i kompleksowe leczenie nowotworów u dzieci od okresu płodowego do 25. roku życia z całego kraju. Specjalizuje się w zakresie leczenia guzów litych poza ośrodkowym układem nerwowym oraz histiocytoz. Klinika jest ośrodkiem referencyjnym w leczeniu oszczędzającym, umożliwiającym uratowanie kończyny choremu dziecku. Do 2024 r. wykonano ponad 1200 zabiegów wszczepiania endoprotez u dzieci, także tych wydłużanych mechanicznie lub w wyniku działania pola elektromagnetycznego. Najmłodszy pacjent, u którego wykonano taki zabieg miał 8 miesięcy. Zespół Kliniki prowadzi także działalność naukową – m.in. niekomercyjne badania kliniczne dot. leczenia guzów litych u dzieci. Więcej informacji na temat działalności kliniki znajduje się na stronie internetowej: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https://imid.med.pl/pl/klinika-onkologii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Prof. dr hab. n. med. Anna Raciborska</w:t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Specjalistka pediatrii, onkologii i hematologii dziecięcej. Jest absolwentką II Wydziału Lekarskiego Akademii Medycznej w Warszawie (obecnie Warszawski Uniwersytet Medyczny), a także absolwentką wydziału Rehabilitacji Ruchowej Akademii Wychowania Fizycznego w Warszawie. Laureatka #ShEO Awards 2024 w kategorii „Nadzieja w medycynie” oraz nagrody Wizjonerzy – Reformatorzy Zdrowia 2025 przyznawanej przez WPROST i NewsMed w kategorii Omnia Pro Infirmis: Wszystko dla Chorych. Od 2003 jest związana z Instytutem Matki i Dziecka w Warszawie, gdzie od 2017 pełni funkcję kierownika Kliniki Onkologii i Chirurgii Onkologicznej, a także członka Rady Naukowej IMiD. Jednym z głównych celów jej pracy zawodowej jest poprawa wyników leczenia pierwotnych nowotworów kości oraz chorób z kręgu histiocytoz. Anna Raciborska jest otwartą i łamiącą stereotypy lekarką, a onkologia dziecięca jest jej pasją. W swojej pracy łączy doświadczenie dynamicznej i rzeczowej specjalistki z empatią kobiety i matki.  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Kontakt dla mediów:</w:t>
      </w:r>
    </w:p>
    <w:p w:rsidR="00000000" w:rsidDel="00000000" w:rsidP="00000000" w:rsidRDefault="00000000" w:rsidRPr="00000000" w14:paraId="00000021">
      <w:pPr>
        <w:tabs>
          <w:tab w:val="left" w:leader="none" w:pos="2400"/>
        </w:tabs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2838450</wp:posOffset>
                </wp:positionH>
                <wp:positionV relativeFrom="paragraph">
                  <wp:posOffset>-44442</wp:posOffset>
                </wp:positionV>
                <wp:extent cx="3051175" cy="860799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41063" y="3399000"/>
                          <a:ext cx="28098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Ewelina Jaskuła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Tel. +48 665 339 877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E-mail: 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8"/>
                                <w:u w:val="single"/>
                                <w:vertAlign w:val="baseline"/>
                              </w:rPr>
                              <w:t xml:space="preserve">ewelina.jaskula@goodonepr.pl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2838450</wp:posOffset>
                </wp:positionH>
                <wp:positionV relativeFrom="paragraph">
                  <wp:posOffset>-44442</wp:posOffset>
                </wp:positionV>
                <wp:extent cx="3051175" cy="860799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175" cy="8607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-33325</wp:posOffset>
                </wp:positionH>
                <wp:positionV relativeFrom="paragraph">
                  <wp:posOffset>-33325</wp:posOffset>
                </wp:positionV>
                <wp:extent cx="2990850" cy="83954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41063" y="3399000"/>
                          <a:ext cx="28098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BFBFB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Aleksandra Sykulska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Tel. + 48 796 990 064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E-mail: 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8"/>
                                <w:u w:val="single"/>
                                <w:vertAlign w:val="baseline"/>
                              </w:rPr>
                              <w:t xml:space="preserve">aleksandra.sykulska@goodonepr.pl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8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-33325</wp:posOffset>
                </wp:positionH>
                <wp:positionV relativeFrom="paragraph">
                  <wp:posOffset>-33325</wp:posOffset>
                </wp:positionV>
                <wp:extent cx="2990850" cy="839547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0850" cy="8395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tabs>
          <w:tab w:val="left" w:leader="none" w:pos="2400"/>
        </w:tabs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9" w:w="11907" w:orient="portrait"/>
      <w:pgMar w:bottom="1417" w:top="567" w:left="851" w:right="1134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Twentieth Century" w:cs="Twentieth Century" w:eastAsia="Twentieth Century" w:hAnsi="Twentieth Century"/>
        <w:color w:val="0c1b75"/>
        <w:sz w:val="18"/>
        <w:szCs w:val="18"/>
      </w:rPr>
    </w:pPr>
    <w:r w:rsidDel="00000000" w:rsidR="00000000" w:rsidRPr="00000000">
      <w:rPr>
        <w:rFonts w:ascii="Twentieth Century" w:cs="Twentieth Century" w:eastAsia="Twentieth Century" w:hAnsi="Twentieth Century"/>
        <w:color w:val="0c1b75"/>
        <w:sz w:val="18"/>
        <w:szCs w:val="18"/>
        <w:rtl w:val="0"/>
      </w:rPr>
      <w:t xml:space="preserve">____________________________________________________________________________________________________</w:t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Klinika Onkologii i Chirurgii Onkologicznej Dzieci i Młodzieży</w:t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ul. Kasprzaka 17a, 01-211 Warszawa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tel.: 22 32 77 205; wew.: 114, 124, 350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e- mail: klinika.onkologii@imid.med.pl </w:t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www.imid.med.pl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ind w:left="-1134" w:right="284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1278890</wp:posOffset>
          </wp:positionH>
          <wp:positionV relativeFrom="paragraph">
            <wp:posOffset>-231115</wp:posOffset>
          </wp:positionV>
          <wp:extent cx="2005965" cy="64833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5965" cy="648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194307</wp:posOffset>
          </wp:positionH>
          <wp:positionV relativeFrom="paragraph">
            <wp:posOffset>-288279</wp:posOffset>
          </wp:positionV>
          <wp:extent cx="804545" cy="998855"/>
          <wp:effectExtent b="0" l="0" r="0" t="0"/>
          <wp:wrapNone/>
          <wp:docPr descr="C:\Users\katmaleszewska\Downloads\Kopia logo_instytut_matki_i_dziecka.jpg" id="4" name="image1.png"/>
          <a:graphic>
            <a:graphicData uri="http://schemas.openxmlformats.org/drawingml/2006/picture">
              <pic:pic>
                <pic:nvPicPr>
                  <pic:cNvPr descr="C:\Users\katmaleszewska\Downloads\Kopia logo_instytut_matki_i_dziecka.jp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545" cy="9988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ind w:left="284" w:hanging="142"/>
      <w:rPr>
        <w:color w:val="0c1b75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ind w:left="284" w:hanging="142"/>
      <w:rPr>
        <w:color w:val="0c1b75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ind w:left="2160" w:firstLine="60"/>
      <w:rPr>
        <w:color w:val="0c1b75"/>
      </w:rPr>
    </w:pPr>
    <w:r w:rsidDel="00000000" w:rsidR="00000000" w:rsidRPr="00000000">
      <w:rPr>
        <w:b w:val="1"/>
        <w:bCs w:val="1"/>
        <w:color w:val="0c1b75"/>
        <w:rtl w:val="0"/>
      </w:rPr>
      <w:t xml:space="preserve">Klinika Onkologii i Chirurgii Onkologicznej Dzieci i Młodzieży</w:t>
    </w:r>
    <w:r w:rsidDel="00000000" w:rsidR="00000000" w:rsidRPr="00000000">
      <w:rPr>
        <w:color w:val="0c1b75"/>
        <w:sz w:val="22"/>
        <w:szCs w:val="22"/>
        <w:rtl w:val="0"/>
      </w:rPr>
      <w:tab/>
      <w:tab/>
      <w:tab/>
      <w:t xml:space="preserve">                  </w:t>
      <w:tab/>
      <w:tab/>
      <w:t xml:space="preserve"> 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709" w:firstLine="709"/>
      <w:rPr>
        <w:rFonts w:ascii="Arial" w:cs="Arial" w:eastAsia="Arial" w:hAnsi="Arial"/>
        <w:b w:val="1"/>
        <w:bCs w:val="1"/>
        <w:color w:val="0c1b75"/>
        <w:sz w:val="20"/>
        <w:szCs w:val="20"/>
      </w:rPr>
    </w:pPr>
    <w:r w:rsidDel="00000000" w:rsidR="00000000" w:rsidRPr="00000000">
      <w:rPr>
        <w:rFonts w:ascii="Twentieth Century" w:cs="Twentieth Century" w:eastAsia="Twentieth Century" w:hAnsi="Twentieth Century"/>
        <w:b w:val="1"/>
        <w:bCs w:val="1"/>
        <w:color w:val="0c1b75"/>
        <w:sz w:val="18"/>
        <w:szCs w:val="18"/>
        <w:rtl w:val="0"/>
      </w:rPr>
      <w:t xml:space="preserve">             </w:t>
      <w:tab/>
      <w:t xml:space="preserve">  </w:t>
    </w:r>
    <w:r w:rsidDel="00000000" w:rsidR="00000000" w:rsidRPr="00000000">
      <w:rPr>
        <w:rFonts w:ascii="Arial" w:cs="Arial" w:eastAsia="Arial" w:hAnsi="Arial"/>
        <w:b w:val="1"/>
        <w:bCs w:val="1"/>
        <w:color w:val="0c1b75"/>
        <w:sz w:val="20"/>
        <w:szCs w:val="20"/>
        <w:rtl w:val="0"/>
      </w:rPr>
      <w:t xml:space="preserve">Institute of Mother and Child</w:t>
    </w:r>
  </w:p>
  <w:p w:rsidR="00000000" w:rsidDel="00000000" w:rsidP="00000000" w:rsidRDefault="00000000" w:rsidRPr="00000000" w14:paraId="00000029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284" w:hanging="142"/>
      <w:rPr>
        <w:rFonts w:ascii="Twentieth Century" w:cs="Twentieth Century" w:eastAsia="Twentieth Century" w:hAnsi="Twentieth Century"/>
        <w:b w:val="1"/>
        <w:bCs w:val="1"/>
        <w:color w:val="0c1b75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709" w:firstLine="709"/>
    </w:pPr>
    <w:rPr>
      <w:rFonts w:ascii="Twentieth Century" w:cs="Twentieth Century" w:eastAsia="Twentieth Century" w:hAnsi="Twentieth Century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12" Type="http://schemas.openxmlformats.org/officeDocument/2006/relationships/footer" Target="footer1.xml"/><Relationship Id="rId9" Type="http://schemas.openxmlformats.org/officeDocument/2006/relationships/hyperlink" Target="https://imid.med.pl/pl/klinika-onkologii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hyperlink" Target="https://pl.freepik.com/darmowe-zdjecie/mloda-dziewczyna-u-pediatry-na-konsultacje-z-lekarzem_20553674.htm#fromView=search&amp;page=1&amp;position=5&amp;uuid=40c522f3-dbce-439a-a9d5-2b457ffa22a6&amp;query=leczenie+dzieci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tJq33SXwiQgubQuCpCWLs7hLg==">CgMxLjAyCGguZ2pkZ3hzOABqSAo1c3VnZ2VzdElkSW1wb3J0MWMzMTA1MTctYjMyMy00MTdhLTk0NzUtZjEzN2YwNzQ3ZDExXzMSD0FubmEgUmFjaWJvcnNrYWpICjVzdWdnZXN0SWRJbXBvcnQxYzMxMDUxNy1iMzIzLTQxN2EtOTQ3NS1mMTM3ZjA3NDdkMTFfMRIPQW5uYSBSYWNpYm9yc2thakgKNXN1Z2dlc3RJZEltcG9ydDFjMzEwNTE3LWIzMjMtNDE3YS05NDc1LWYxMzdmMDc0N2QxMV81Eg9Bbm5hIFJhY2lib3Jza2FyITFXUlVDVm5zMHk3OWUwX3RVMHlid2J2WXFMSlk5cVM3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64a0815590f4a06f3fb21658450aa4525912781c2e5176d8739f84dbe9118a8f</vt:lpwstr>
  </property>
</Properties>
</file>