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6740" w14:textId="77777777" w:rsidR="0053644A" w:rsidRDefault="0053644A" w:rsidP="0098494D">
      <w:pPr>
        <w:jc w:val="both"/>
        <w:rPr>
          <w:rFonts w:ascii="Calibri" w:hAnsi="Calibri" w:cs="Calibri"/>
          <w:sz w:val="22"/>
          <w:szCs w:val="22"/>
        </w:rPr>
      </w:pPr>
    </w:p>
    <w:p w14:paraId="19EADB52" w14:textId="01CABD93" w:rsidR="0098494D" w:rsidRPr="00877A48" w:rsidRDefault="0098494D" w:rsidP="0098494D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>KOMUNIKAT PRASOWY</w:t>
      </w:r>
    </w:p>
    <w:p w14:paraId="13BC6207" w14:textId="552B6698" w:rsidR="0098494D" w:rsidRPr="00877A48" w:rsidRDefault="0098494D" w:rsidP="0098494D">
      <w:pPr>
        <w:jc w:val="right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 xml:space="preserve">Warszawa, </w:t>
      </w:r>
      <w:r w:rsidR="002E2EA7">
        <w:rPr>
          <w:rFonts w:ascii="Calibri" w:hAnsi="Calibri" w:cs="Calibri"/>
          <w:sz w:val="22"/>
          <w:szCs w:val="22"/>
        </w:rPr>
        <w:t>22</w:t>
      </w:r>
      <w:r w:rsidRPr="00877A48">
        <w:rPr>
          <w:rFonts w:ascii="Calibri" w:hAnsi="Calibri" w:cs="Calibri"/>
          <w:sz w:val="22"/>
          <w:szCs w:val="22"/>
        </w:rPr>
        <w:t>.0</w:t>
      </w:r>
      <w:r w:rsidR="00036309" w:rsidRPr="00877A48">
        <w:rPr>
          <w:rFonts w:ascii="Calibri" w:hAnsi="Calibri" w:cs="Calibri"/>
          <w:sz w:val="22"/>
          <w:szCs w:val="22"/>
        </w:rPr>
        <w:t>4</w:t>
      </w:r>
      <w:r w:rsidRPr="00877A48">
        <w:rPr>
          <w:rFonts w:ascii="Calibri" w:hAnsi="Calibri" w:cs="Calibri"/>
          <w:sz w:val="22"/>
          <w:szCs w:val="22"/>
        </w:rPr>
        <w:t>.202</w:t>
      </w:r>
      <w:r w:rsidR="00036309" w:rsidRPr="00877A48">
        <w:rPr>
          <w:rFonts w:ascii="Calibri" w:hAnsi="Calibri" w:cs="Calibri"/>
          <w:sz w:val="22"/>
          <w:szCs w:val="22"/>
        </w:rPr>
        <w:t>6</w:t>
      </w:r>
      <w:r w:rsidRPr="00877A48">
        <w:rPr>
          <w:rFonts w:ascii="Calibri" w:hAnsi="Calibri" w:cs="Calibri"/>
          <w:sz w:val="22"/>
          <w:szCs w:val="22"/>
        </w:rPr>
        <w:t xml:space="preserve"> r.</w:t>
      </w:r>
    </w:p>
    <w:p w14:paraId="55C3E76B" w14:textId="08FE2EBA" w:rsidR="008F7CC4" w:rsidRDefault="00FA652B" w:rsidP="00C263CE">
      <w:pPr>
        <w:jc w:val="center"/>
        <w:rPr>
          <w:rFonts w:ascii="Calibri" w:hAnsi="Calibri" w:cs="Calibri"/>
          <w:b/>
          <w:bCs/>
        </w:rPr>
      </w:pPr>
      <w:r w:rsidRPr="00FA652B">
        <w:rPr>
          <w:rFonts w:ascii="Calibri" w:hAnsi="Calibri" w:cs="Calibri"/>
          <w:b/>
          <w:bCs/>
        </w:rPr>
        <w:t>Droższe paliwa i ogrzewanie od 2028 roku. Alior Bank analizuje wpływ systemu ETS2 na portfele Polaków</w:t>
      </w:r>
    </w:p>
    <w:p w14:paraId="1DA2230C" w14:textId="4448FF2B" w:rsidR="009D4847" w:rsidRDefault="00147E73" w:rsidP="00F8694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</w:t>
      </w:r>
      <w:r w:rsidR="00791D94">
        <w:rPr>
          <w:rFonts w:ascii="Calibri" w:hAnsi="Calibri" w:cs="Calibri"/>
          <w:b/>
          <w:bCs/>
          <w:sz w:val="22"/>
          <w:szCs w:val="22"/>
        </w:rPr>
        <w:t xml:space="preserve">liczanie </w:t>
      </w:r>
      <w:r w:rsidR="002F2D67">
        <w:rPr>
          <w:rFonts w:ascii="Calibri" w:hAnsi="Calibri" w:cs="Calibri"/>
          <w:b/>
          <w:bCs/>
          <w:sz w:val="22"/>
          <w:szCs w:val="22"/>
        </w:rPr>
        <w:t>do w</w:t>
      </w:r>
      <w:r w:rsidR="007714C6">
        <w:rPr>
          <w:rFonts w:ascii="Calibri" w:hAnsi="Calibri" w:cs="Calibri"/>
          <w:b/>
          <w:bCs/>
          <w:sz w:val="22"/>
          <w:szCs w:val="22"/>
        </w:rPr>
        <w:t>ejś</w:t>
      </w:r>
      <w:r w:rsidR="00AD3832">
        <w:rPr>
          <w:rFonts w:ascii="Calibri" w:hAnsi="Calibri" w:cs="Calibri"/>
          <w:b/>
          <w:bCs/>
          <w:sz w:val="22"/>
          <w:szCs w:val="22"/>
        </w:rPr>
        <w:t>cia</w:t>
      </w:r>
      <w:r w:rsidR="00B01A3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02C21">
        <w:rPr>
          <w:rFonts w:ascii="Calibri" w:hAnsi="Calibri" w:cs="Calibri"/>
          <w:b/>
          <w:bCs/>
          <w:sz w:val="22"/>
          <w:szCs w:val="22"/>
        </w:rPr>
        <w:t>w ż</w:t>
      </w:r>
      <w:r w:rsidR="006555BD">
        <w:rPr>
          <w:rFonts w:ascii="Calibri" w:hAnsi="Calibri" w:cs="Calibri"/>
          <w:b/>
          <w:bCs/>
          <w:sz w:val="22"/>
          <w:szCs w:val="22"/>
        </w:rPr>
        <w:t>ycie</w:t>
      </w:r>
      <w:r w:rsidR="009D4847" w:rsidRPr="009D4847">
        <w:rPr>
          <w:rFonts w:ascii="Calibri" w:hAnsi="Calibri" w:cs="Calibri"/>
          <w:b/>
          <w:bCs/>
          <w:sz w:val="22"/>
          <w:szCs w:val="22"/>
        </w:rPr>
        <w:t xml:space="preserve"> systemu ETS2 </w:t>
      </w:r>
      <w:r w:rsidR="006D0369">
        <w:rPr>
          <w:rFonts w:ascii="Calibri" w:hAnsi="Calibri" w:cs="Calibri"/>
          <w:b/>
          <w:bCs/>
          <w:sz w:val="22"/>
          <w:szCs w:val="22"/>
        </w:rPr>
        <w:t>już</w:t>
      </w:r>
      <w:r w:rsidR="00911263">
        <w:rPr>
          <w:rFonts w:ascii="Calibri" w:hAnsi="Calibri" w:cs="Calibri"/>
          <w:b/>
          <w:bCs/>
          <w:sz w:val="22"/>
          <w:szCs w:val="22"/>
        </w:rPr>
        <w:t xml:space="preserve"> trw</w:t>
      </w:r>
      <w:r w:rsidR="00A23A08">
        <w:rPr>
          <w:rFonts w:ascii="Calibri" w:hAnsi="Calibri" w:cs="Calibri"/>
          <w:b/>
          <w:bCs/>
          <w:sz w:val="22"/>
          <w:szCs w:val="22"/>
        </w:rPr>
        <w:t xml:space="preserve">a. </w:t>
      </w:r>
      <w:r w:rsidR="00711A9D">
        <w:rPr>
          <w:rFonts w:ascii="Calibri" w:hAnsi="Calibri" w:cs="Calibri"/>
          <w:b/>
          <w:bCs/>
          <w:sz w:val="22"/>
          <w:szCs w:val="22"/>
        </w:rPr>
        <w:t>Jak</w:t>
      </w:r>
      <w:r w:rsidR="00AE7574">
        <w:rPr>
          <w:rFonts w:ascii="Calibri" w:hAnsi="Calibri" w:cs="Calibri"/>
          <w:b/>
          <w:bCs/>
          <w:sz w:val="22"/>
          <w:szCs w:val="22"/>
        </w:rPr>
        <w:t xml:space="preserve"> wskazuj</w:t>
      </w:r>
      <w:r w:rsidR="00E83D7E">
        <w:rPr>
          <w:rFonts w:ascii="Calibri" w:hAnsi="Calibri" w:cs="Calibri"/>
          <w:b/>
          <w:bCs/>
          <w:sz w:val="22"/>
          <w:szCs w:val="22"/>
        </w:rPr>
        <w:t>ą ana</w:t>
      </w:r>
      <w:r w:rsidR="00C53FF7">
        <w:rPr>
          <w:rFonts w:ascii="Calibri" w:hAnsi="Calibri" w:cs="Calibri"/>
          <w:b/>
          <w:bCs/>
          <w:sz w:val="22"/>
          <w:szCs w:val="22"/>
        </w:rPr>
        <w:t>lit</w:t>
      </w:r>
      <w:r w:rsidR="00810531">
        <w:rPr>
          <w:rFonts w:ascii="Calibri" w:hAnsi="Calibri" w:cs="Calibri"/>
          <w:b/>
          <w:bCs/>
          <w:sz w:val="22"/>
          <w:szCs w:val="22"/>
        </w:rPr>
        <w:t xml:space="preserve">ycy </w:t>
      </w:r>
      <w:r w:rsidR="005B2A6D">
        <w:rPr>
          <w:rFonts w:ascii="Calibri" w:hAnsi="Calibri" w:cs="Calibri"/>
          <w:b/>
          <w:bCs/>
          <w:sz w:val="22"/>
          <w:szCs w:val="22"/>
        </w:rPr>
        <w:t>Alior B</w:t>
      </w:r>
      <w:r w:rsidR="00AD2E08">
        <w:rPr>
          <w:rFonts w:ascii="Calibri" w:hAnsi="Calibri" w:cs="Calibri"/>
          <w:b/>
          <w:bCs/>
          <w:sz w:val="22"/>
          <w:szCs w:val="22"/>
        </w:rPr>
        <w:t xml:space="preserve">anku w </w:t>
      </w:r>
      <w:r w:rsidR="0087077D">
        <w:rPr>
          <w:rFonts w:ascii="Calibri" w:hAnsi="Calibri" w:cs="Calibri"/>
          <w:b/>
          <w:bCs/>
          <w:sz w:val="22"/>
          <w:szCs w:val="22"/>
        </w:rPr>
        <w:t>raporci</w:t>
      </w:r>
      <w:r w:rsidR="00D066E8">
        <w:rPr>
          <w:rFonts w:ascii="Calibri" w:hAnsi="Calibri" w:cs="Calibri"/>
          <w:b/>
          <w:bCs/>
          <w:sz w:val="22"/>
          <w:szCs w:val="22"/>
        </w:rPr>
        <w:t>e</w:t>
      </w:r>
      <w:r w:rsidR="00500A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625C8" w:rsidRPr="003625C8">
        <w:rPr>
          <w:rFonts w:ascii="Calibri" w:hAnsi="Calibri" w:cs="Calibri"/>
          <w:b/>
          <w:bCs/>
          <w:sz w:val="22"/>
          <w:szCs w:val="22"/>
        </w:rPr>
        <w:t>„ETS2: koszt dekarbonizacji i wpływ na ceny paliw”</w:t>
      </w:r>
      <w:r w:rsidR="00324060">
        <w:rPr>
          <w:rFonts w:ascii="Calibri" w:hAnsi="Calibri" w:cs="Calibri"/>
          <w:b/>
          <w:bCs/>
          <w:sz w:val="22"/>
          <w:szCs w:val="22"/>
        </w:rPr>
        <w:t xml:space="preserve"> z</w:t>
      </w:r>
      <w:r w:rsidR="004E4D1D">
        <w:rPr>
          <w:rFonts w:ascii="Calibri" w:hAnsi="Calibri" w:cs="Calibri"/>
          <w:b/>
          <w:bCs/>
          <w:sz w:val="22"/>
          <w:szCs w:val="22"/>
        </w:rPr>
        <w:t>os</w:t>
      </w:r>
      <w:r w:rsidR="0096137D">
        <w:rPr>
          <w:rFonts w:ascii="Calibri" w:hAnsi="Calibri" w:cs="Calibri"/>
          <w:b/>
          <w:bCs/>
          <w:sz w:val="22"/>
          <w:szCs w:val="22"/>
        </w:rPr>
        <w:t>tały</w:t>
      </w:r>
      <w:r w:rsidR="00AF416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96405">
        <w:rPr>
          <w:rFonts w:ascii="Calibri" w:hAnsi="Calibri" w:cs="Calibri"/>
          <w:b/>
          <w:bCs/>
          <w:sz w:val="22"/>
          <w:szCs w:val="22"/>
        </w:rPr>
        <w:t>ju</w:t>
      </w:r>
      <w:r w:rsidR="00D73D69">
        <w:rPr>
          <w:rFonts w:ascii="Calibri" w:hAnsi="Calibri" w:cs="Calibri"/>
          <w:b/>
          <w:bCs/>
          <w:sz w:val="22"/>
          <w:szCs w:val="22"/>
        </w:rPr>
        <w:t>ż ty</w:t>
      </w:r>
      <w:r w:rsidR="0022157F">
        <w:rPr>
          <w:rFonts w:ascii="Calibri" w:hAnsi="Calibri" w:cs="Calibri"/>
          <w:b/>
          <w:bCs/>
          <w:sz w:val="22"/>
          <w:szCs w:val="22"/>
        </w:rPr>
        <w:t>lko</w:t>
      </w:r>
      <w:r w:rsidR="003F70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60BF2">
        <w:rPr>
          <w:rFonts w:ascii="Calibri" w:hAnsi="Calibri" w:cs="Calibri"/>
          <w:b/>
          <w:bCs/>
          <w:sz w:val="22"/>
          <w:szCs w:val="22"/>
        </w:rPr>
        <w:t>dwa la</w:t>
      </w:r>
      <w:r w:rsidR="0044625C">
        <w:rPr>
          <w:rFonts w:ascii="Calibri" w:hAnsi="Calibri" w:cs="Calibri"/>
          <w:b/>
          <w:bCs/>
          <w:sz w:val="22"/>
          <w:szCs w:val="22"/>
        </w:rPr>
        <w:t xml:space="preserve">ta </w:t>
      </w:r>
      <w:r w:rsidR="0037599F" w:rsidRPr="0037599F">
        <w:rPr>
          <w:rFonts w:ascii="Calibri" w:hAnsi="Calibri" w:cs="Calibri"/>
          <w:b/>
          <w:bCs/>
          <w:sz w:val="22"/>
          <w:szCs w:val="22"/>
        </w:rPr>
        <w:t xml:space="preserve">na przygotowanie się do rewolucji w kosztach transportu i ogrzewania. </w:t>
      </w:r>
      <w:r w:rsidR="00142201" w:rsidRPr="00142201">
        <w:rPr>
          <w:rFonts w:ascii="Calibri" w:hAnsi="Calibri" w:cs="Calibri"/>
          <w:b/>
          <w:bCs/>
          <w:sz w:val="22"/>
          <w:szCs w:val="22"/>
        </w:rPr>
        <w:t xml:space="preserve">Eksperci </w:t>
      </w:r>
      <w:r w:rsidR="002462C3">
        <w:rPr>
          <w:rFonts w:ascii="Calibri" w:hAnsi="Calibri" w:cs="Calibri"/>
          <w:b/>
          <w:bCs/>
          <w:sz w:val="22"/>
          <w:szCs w:val="22"/>
        </w:rPr>
        <w:t>zauważają</w:t>
      </w:r>
      <w:r w:rsidR="00142201" w:rsidRPr="00142201">
        <w:rPr>
          <w:rFonts w:ascii="Calibri" w:hAnsi="Calibri" w:cs="Calibri"/>
          <w:b/>
          <w:bCs/>
          <w:sz w:val="22"/>
          <w:szCs w:val="22"/>
        </w:rPr>
        <w:t xml:space="preserve">, że mimo zapowiadanego przez Unię Europejską okresu przejściowego, rynkowe mechanizmy mogą sprawić, że wpływ regulacji będzie odczuwalny </w:t>
      </w:r>
      <w:r w:rsidR="00BB22E5">
        <w:rPr>
          <w:rFonts w:ascii="Calibri" w:hAnsi="Calibri" w:cs="Calibri"/>
          <w:b/>
          <w:bCs/>
          <w:sz w:val="22"/>
          <w:szCs w:val="22"/>
        </w:rPr>
        <w:t xml:space="preserve">już </w:t>
      </w:r>
      <w:r w:rsidR="00142201" w:rsidRPr="00142201">
        <w:rPr>
          <w:rFonts w:ascii="Calibri" w:hAnsi="Calibri" w:cs="Calibri"/>
          <w:b/>
          <w:bCs/>
          <w:sz w:val="22"/>
          <w:szCs w:val="22"/>
        </w:rPr>
        <w:t>od pierwszego dnia ich obowiązywania.</w:t>
      </w:r>
      <w:r w:rsidR="008C4B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7599F" w:rsidRPr="0037599F">
        <w:rPr>
          <w:rFonts w:ascii="Calibri" w:hAnsi="Calibri" w:cs="Calibri"/>
          <w:b/>
          <w:bCs/>
          <w:sz w:val="22"/>
          <w:szCs w:val="22"/>
        </w:rPr>
        <w:t xml:space="preserve">Przez rynkową grę o zapasy, nowa opłata klimatyczna może podbić cenę benzyny </w:t>
      </w:r>
      <w:r w:rsidR="007E18A8">
        <w:rPr>
          <w:rFonts w:ascii="Calibri" w:hAnsi="Calibri" w:cs="Calibri"/>
          <w:b/>
          <w:bCs/>
          <w:sz w:val="22"/>
          <w:szCs w:val="22"/>
        </w:rPr>
        <w:t>naw</w:t>
      </w:r>
      <w:r w:rsidR="00F20B83">
        <w:rPr>
          <w:rFonts w:ascii="Calibri" w:hAnsi="Calibri" w:cs="Calibri"/>
          <w:b/>
          <w:bCs/>
          <w:sz w:val="22"/>
          <w:szCs w:val="22"/>
        </w:rPr>
        <w:t xml:space="preserve">et </w:t>
      </w:r>
      <w:r w:rsidR="0037599F" w:rsidRPr="0037599F">
        <w:rPr>
          <w:rFonts w:ascii="Calibri" w:hAnsi="Calibri" w:cs="Calibri"/>
          <w:b/>
          <w:bCs/>
          <w:sz w:val="22"/>
          <w:szCs w:val="22"/>
        </w:rPr>
        <w:t xml:space="preserve">o 65 groszy </w:t>
      </w:r>
      <w:r w:rsidR="00627812" w:rsidRPr="00627812">
        <w:rPr>
          <w:rFonts w:ascii="Calibri" w:hAnsi="Calibri" w:cs="Calibri"/>
          <w:b/>
          <w:bCs/>
          <w:sz w:val="22"/>
          <w:szCs w:val="22"/>
        </w:rPr>
        <w:t>i istotnie wpłynąć na poziom inflacji.</w:t>
      </w:r>
    </w:p>
    <w:p w14:paraId="108D3A99" w14:textId="3343C7A6" w:rsidR="008712BB" w:rsidRDefault="000B5117" w:rsidP="00F8694B">
      <w:pPr>
        <w:jc w:val="both"/>
        <w:rPr>
          <w:rFonts w:ascii="Calibri" w:hAnsi="Calibri" w:cs="Calibri"/>
          <w:sz w:val="22"/>
          <w:szCs w:val="22"/>
        </w:rPr>
      </w:pPr>
      <w:r w:rsidRPr="000B5117">
        <w:rPr>
          <w:rFonts w:ascii="Calibri" w:hAnsi="Calibri" w:cs="Calibri"/>
          <w:sz w:val="22"/>
          <w:szCs w:val="22"/>
        </w:rPr>
        <w:t xml:space="preserve">W swoim najnowszym raporcie analitycy Alior Banku </w:t>
      </w:r>
      <w:r w:rsidR="00506E74" w:rsidRPr="00506E74">
        <w:rPr>
          <w:rFonts w:ascii="Calibri" w:hAnsi="Calibri" w:cs="Calibri"/>
          <w:sz w:val="22"/>
          <w:szCs w:val="22"/>
        </w:rPr>
        <w:t xml:space="preserve">poddają szczegółowej analizie mechanizmy systemu ETS2, który od 2028 roku zrewiduje dotychczasowe podejście do kosztów emisji w </w:t>
      </w:r>
      <w:r w:rsidR="008044EA">
        <w:rPr>
          <w:rFonts w:ascii="Calibri" w:hAnsi="Calibri" w:cs="Calibri"/>
          <w:sz w:val="22"/>
          <w:szCs w:val="22"/>
        </w:rPr>
        <w:t>U</w:t>
      </w:r>
      <w:r w:rsidR="00F90EC9">
        <w:rPr>
          <w:rFonts w:ascii="Calibri" w:hAnsi="Calibri" w:cs="Calibri"/>
          <w:sz w:val="22"/>
          <w:szCs w:val="22"/>
        </w:rPr>
        <w:t>E</w:t>
      </w:r>
      <w:r w:rsidR="00506E74" w:rsidRPr="00506E74">
        <w:rPr>
          <w:rFonts w:ascii="Calibri" w:hAnsi="Calibri" w:cs="Calibri"/>
          <w:sz w:val="22"/>
          <w:szCs w:val="22"/>
        </w:rPr>
        <w:t>.</w:t>
      </w:r>
      <w:r w:rsidR="00386EC1">
        <w:rPr>
          <w:rFonts w:ascii="Calibri" w:hAnsi="Calibri" w:cs="Calibri"/>
          <w:sz w:val="22"/>
          <w:szCs w:val="22"/>
        </w:rPr>
        <w:t xml:space="preserve"> </w:t>
      </w:r>
      <w:r w:rsidR="00FE050F">
        <w:rPr>
          <w:rFonts w:ascii="Calibri" w:hAnsi="Calibri" w:cs="Calibri"/>
          <w:sz w:val="22"/>
          <w:szCs w:val="22"/>
        </w:rPr>
        <w:t>Eksperci</w:t>
      </w:r>
      <w:r w:rsidR="00D257C3">
        <w:rPr>
          <w:rFonts w:ascii="Calibri" w:hAnsi="Calibri" w:cs="Calibri"/>
          <w:sz w:val="22"/>
          <w:szCs w:val="22"/>
        </w:rPr>
        <w:t xml:space="preserve"> </w:t>
      </w:r>
      <w:r w:rsidRPr="000B5117">
        <w:rPr>
          <w:rFonts w:ascii="Calibri" w:hAnsi="Calibri" w:cs="Calibri"/>
          <w:sz w:val="22"/>
          <w:szCs w:val="22"/>
        </w:rPr>
        <w:t xml:space="preserve">opisują </w:t>
      </w:r>
      <w:r w:rsidR="00DF090D" w:rsidRPr="00DF090D">
        <w:rPr>
          <w:rFonts w:ascii="Calibri" w:hAnsi="Calibri" w:cs="Calibri"/>
          <w:sz w:val="22"/>
          <w:szCs w:val="22"/>
        </w:rPr>
        <w:t xml:space="preserve">wpływ </w:t>
      </w:r>
      <w:r w:rsidR="007C244B">
        <w:rPr>
          <w:rFonts w:ascii="Calibri" w:hAnsi="Calibri" w:cs="Calibri"/>
          <w:sz w:val="22"/>
          <w:szCs w:val="22"/>
        </w:rPr>
        <w:t>nowe</w:t>
      </w:r>
      <w:r w:rsidR="00FF3292">
        <w:rPr>
          <w:rFonts w:ascii="Calibri" w:hAnsi="Calibri" w:cs="Calibri"/>
          <w:sz w:val="22"/>
          <w:szCs w:val="22"/>
        </w:rPr>
        <w:t xml:space="preserve">j </w:t>
      </w:r>
      <w:r w:rsidR="001775B5">
        <w:rPr>
          <w:rFonts w:ascii="Calibri" w:hAnsi="Calibri" w:cs="Calibri"/>
          <w:sz w:val="22"/>
          <w:szCs w:val="22"/>
        </w:rPr>
        <w:t>regu</w:t>
      </w:r>
      <w:r w:rsidR="00583257">
        <w:rPr>
          <w:rFonts w:ascii="Calibri" w:hAnsi="Calibri" w:cs="Calibri"/>
          <w:sz w:val="22"/>
          <w:szCs w:val="22"/>
        </w:rPr>
        <w:t>la</w:t>
      </w:r>
      <w:r w:rsidR="0024579D">
        <w:rPr>
          <w:rFonts w:ascii="Calibri" w:hAnsi="Calibri" w:cs="Calibri"/>
          <w:sz w:val="22"/>
          <w:szCs w:val="22"/>
        </w:rPr>
        <w:t>cji</w:t>
      </w:r>
      <w:r w:rsidR="00DF090D" w:rsidRPr="00DF090D">
        <w:rPr>
          <w:rFonts w:ascii="Calibri" w:hAnsi="Calibri" w:cs="Calibri"/>
          <w:sz w:val="22"/>
          <w:szCs w:val="22"/>
        </w:rPr>
        <w:t xml:space="preserve"> na tempo dekarbonizacji Europy oraz </w:t>
      </w:r>
      <w:r w:rsidR="000A731E">
        <w:rPr>
          <w:rFonts w:ascii="Calibri" w:hAnsi="Calibri" w:cs="Calibri"/>
          <w:sz w:val="22"/>
          <w:szCs w:val="22"/>
        </w:rPr>
        <w:t>cod</w:t>
      </w:r>
      <w:r w:rsidR="00E1034D">
        <w:rPr>
          <w:rFonts w:ascii="Calibri" w:hAnsi="Calibri" w:cs="Calibri"/>
          <w:sz w:val="22"/>
          <w:szCs w:val="22"/>
        </w:rPr>
        <w:t>zienne w</w:t>
      </w:r>
      <w:r w:rsidR="004B527E">
        <w:rPr>
          <w:rFonts w:ascii="Calibri" w:hAnsi="Calibri" w:cs="Calibri"/>
          <w:sz w:val="22"/>
          <w:szCs w:val="22"/>
        </w:rPr>
        <w:t>ydatki</w:t>
      </w:r>
      <w:r w:rsidR="00DF090D" w:rsidRPr="00DF090D">
        <w:rPr>
          <w:rFonts w:ascii="Calibri" w:hAnsi="Calibri" w:cs="Calibri"/>
          <w:sz w:val="22"/>
          <w:szCs w:val="22"/>
        </w:rPr>
        <w:t xml:space="preserve"> Polaków</w:t>
      </w:r>
      <w:r w:rsidRPr="000B5117">
        <w:rPr>
          <w:rFonts w:ascii="Calibri" w:hAnsi="Calibri" w:cs="Calibri"/>
          <w:sz w:val="22"/>
          <w:szCs w:val="22"/>
        </w:rPr>
        <w:t xml:space="preserve">. </w:t>
      </w:r>
      <w:r w:rsidR="00573896" w:rsidRPr="00573896">
        <w:rPr>
          <w:rFonts w:ascii="Calibri" w:hAnsi="Calibri" w:cs="Calibri"/>
          <w:sz w:val="22"/>
          <w:szCs w:val="22"/>
        </w:rPr>
        <w:t>Publikacja kreśli obraz głębokiej reformy rynkowej, której skutki znajdą bezpośrednie odzwierciedlenie w wydatkach każdego gospodarstwa domowego</w:t>
      </w:r>
      <w:r w:rsidR="00A359E4">
        <w:rPr>
          <w:rFonts w:ascii="Calibri" w:hAnsi="Calibri" w:cs="Calibri"/>
          <w:sz w:val="22"/>
          <w:szCs w:val="22"/>
        </w:rPr>
        <w:t xml:space="preserve">, </w:t>
      </w:r>
      <w:r w:rsidR="00573896" w:rsidRPr="00573896">
        <w:rPr>
          <w:rFonts w:ascii="Calibri" w:hAnsi="Calibri" w:cs="Calibri"/>
          <w:sz w:val="22"/>
          <w:szCs w:val="22"/>
        </w:rPr>
        <w:t>począwszy od cen na stacjach paliw, aż po koszty ogrzewania budynków mieszkalnych.</w:t>
      </w:r>
    </w:p>
    <w:p w14:paraId="367131DD" w14:textId="77777777" w:rsidR="000E46D6" w:rsidRPr="00746639" w:rsidRDefault="000E46D6" w:rsidP="000E46D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46639">
        <w:rPr>
          <w:rFonts w:ascii="Calibri" w:hAnsi="Calibri" w:cs="Calibri"/>
          <w:b/>
          <w:bCs/>
          <w:sz w:val="22"/>
          <w:szCs w:val="22"/>
        </w:rPr>
        <w:t>Prognozy cenowe</w:t>
      </w:r>
      <w:r>
        <w:rPr>
          <w:rFonts w:ascii="Calibri" w:hAnsi="Calibri" w:cs="Calibri"/>
          <w:b/>
          <w:bCs/>
          <w:sz w:val="22"/>
          <w:szCs w:val="22"/>
        </w:rPr>
        <w:t>, czyli ile zapłacimy na stacjach</w:t>
      </w:r>
    </w:p>
    <w:p w14:paraId="2F92AE92" w14:textId="79A26652" w:rsidR="000E46D6" w:rsidRDefault="00C56DA4" w:rsidP="000E46D6">
      <w:pPr>
        <w:jc w:val="both"/>
        <w:rPr>
          <w:rFonts w:ascii="Calibri" w:hAnsi="Calibri" w:cs="Calibri"/>
          <w:sz w:val="22"/>
          <w:szCs w:val="22"/>
        </w:rPr>
      </w:pPr>
      <w:r w:rsidRPr="00C56DA4">
        <w:rPr>
          <w:rFonts w:ascii="Calibri" w:hAnsi="Calibri" w:cs="Calibri"/>
          <w:sz w:val="22"/>
          <w:szCs w:val="22"/>
        </w:rPr>
        <w:t xml:space="preserve">Dla przeciętnego gospodarstwa domowego wejście w życie systemu ETS2 </w:t>
      </w:r>
      <w:r w:rsidRPr="48F314BF">
        <w:rPr>
          <w:rFonts w:ascii="Calibri" w:hAnsi="Calibri" w:cs="Calibri"/>
          <w:sz w:val="22"/>
          <w:szCs w:val="22"/>
        </w:rPr>
        <w:t>oznacza</w:t>
      </w:r>
      <w:r w:rsidR="0CBC37A0" w:rsidRPr="48F314BF">
        <w:rPr>
          <w:rFonts w:ascii="Calibri" w:hAnsi="Calibri" w:cs="Calibri"/>
          <w:sz w:val="22"/>
          <w:szCs w:val="22"/>
        </w:rPr>
        <w:t>ć</w:t>
      </w:r>
      <w:r w:rsidRPr="00C56DA4">
        <w:rPr>
          <w:rFonts w:ascii="Calibri" w:hAnsi="Calibri" w:cs="Calibri"/>
          <w:sz w:val="22"/>
          <w:szCs w:val="22"/>
        </w:rPr>
        <w:t xml:space="preserve"> </w:t>
      </w:r>
      <w:r w:rsidR="0CBC37A0" w:rsidRPr="691E998D">
        <w:rPr>
          <w:rFonts w:ascii="Calibri" w:hAnsi="Calibri" w:cs="Calibri"/>
          <w:sz w:val="22"/>
          <w:szCs w:val="22"/>
        </w:rPr>
        <w:t>może</w:t>
      </w:r>
      <w:r w:rsidRPr="00C56DA4">
        <w:rPr>
          <w:rFonts w:ascii="Calibri" w:hAnsi="Calibri" w:cs="Calibri"/>
          <w:sz w:val="22"/>
          <w:szCs w:val="22"/>
        </w:rPr>
        <w:t xml:space="preserve"> wzrost kosztów życia.</w:t>
      </w:r>
      <w:r w:rsidR="009F0624">
        <w:rPr>
          <w:rFonts w:ascii="Calibri" w:hAnsi="Calibri" w:cs="Calibri"/>
          <w:sz w:val="22"/>
          <w:szCs w:val="22"/>
        </w:rPr>
        <w:t xml:space="preserve"> </w:t>
      </w:r>
      <w:r w:rsidR="000E46D6">
        <w:rPr>
          <w:rFonts w:ascii="Calibri" w:hAnsi="Calibri" w:cs="Calibri"/>
          <w:sz w:val="22"/>
          <w:szCs w:val="22"/>
        </w:rPr>
        <w:t>Analitycy</w:t>
      </w:r>
      <w:r w:rsidR="000E46D6" w:rsidRPr="00746639">
        <w:rPr>
          <w:rFonts w:ascii="Calibri" w:hAnsi="Calibri" w:cs="Calibri"/>
          <w:sz w:val="22"/>
          <w:szCs w:val="22"/>
        </w:rPr>
        <w:t xml:space="preserve"> Alior Banku</w:t>
      </w:r>
      <w:r w:rsidR="00C8702E">
        <w:rPr>
          <w:rFonts w:ascii="Calibri" w:hAnsi="Calibri" w:cs="Calibri"/>
          <w:sz w:val="22"/>
          <w:szCs w:val="22"/>
        </w:rPr>
        <w:t xml:space="preserve"> wsk</w:t>
      </w:r>
      <w:r w:rsidR="00700B28">
        <w:rPr>
          <w:rFonts w:ascii="Calibri" w:hAnsi="Calibri" w:cs="Calibri"/>
          <w:sz w:val="22"/>
          <w:szCs w:val="22"/>
        </w:rPr>
        <w:t>azują</w:t>
      </w:r>
      <w:r w:rsidR="000E46D6" w:rsidRPr="00746639">
        <w:rPr>
          <w:rFonts w:ascii="Calibri" w:hAnsi="Calibri" w:cs="Calibri"/>
          <w:sz w:val="22"/>
          <w:szCs w:val="22"/>
        </w:rPr>
        <w:t>,</w:t>
      </w:r>
      <w:r w:rsidR="000E46D6">
        <w:rPr>
          <w:rFonts w:ascii="Calibri" w:hAnsi="Calibri" w:cs="Calibri"/>
          <w:sz w:val="22"/>
          <w:szCs w:val="22"/>
        </w:rPr>
        <w:t xml:space="preserve"> że</w:t>
      </w:r>
      <w:r w:rsidR="000E46D6" w:rsidRPr="00746639">
        <w:rPr>
          <w:rFonts w:ascii="Calibri" w:hAnsi="Calibri" w:cs="Calibri"/>
          <w:sz w:val="22"/>
          <w:szCs w:val="22"/>
        </w:rPr>
        <w:t xml:space="preserve"> ewolucja cen certyfikatów będzie miała charakter dwufazowy. W scenariuszu bazowym cena uprawnień wzrośnie z 66 EUR w 2028 roku do blisko</w:t>
      </w:r>
      <w:r w:rsidR="00E86372">
        <w:rPr>
          <w:rFonts w:ascii="Calibri" w:hAnsi="Calibri" w:cs="Calibri"/>
          <w:sz w:val="22"/>
          <w:szCs w:val="22"/>
        </w:rPr>
        <w:t xml:space="preserve"> 137 </w:t>
      </w:r>
      <w:r w:rsidR="000E46D6" w:rsidRPr="00746639">
        <w:rPr>
          <w:rFonts w:ascii="Calibri" w:hAnsi="Calibri" w:cs="Calibri"/>
          <w:sz w:val="22"/>
          <w:szCs w:val="22"/>
        </w:rPr>
        <w:t xml:space="preserve">EUR </w:t>
      </w:r>
      <w:r w:rsidR="00387C5B">
        <w:rPr>
          <w:rFonts w:ascii="Calibri" w:hAnsi="Calibri" w:cs="Calibri"/>
          <w:sz w:val="22"/>
          <w:szCs w:val="22"/>
        </w:rPr>
        <w:t>ju</w:t>
      </w:r>
      <w:r w:rsidR="00A71B15">
        <w:rPr>
          <w:rFonts w:ascii="Calibri" w:hAnsi="Calibri" w:cs="Calibri"/>
          <w:sz w:val="22"/>
          <w:szCs w:val="22"/>
        </w:rPr>
        <w:t xml:space="preserve">ż </w:t>
      </w:r>
      <w:r w:rsidR="000E46D6" w:rsidRPr="00746639">
        <w:rPr>
          <w:rFonts w:ascii="Calibri" w:hAnsi="Calibri" w:cs="Calibri"/>
          <w:sz w:val="22"/>
          <w:szCs w:val="22"/>
        </w:rPr>
        <w:t>w roku 203</w:t>
      </w:r>
      <w:r w:rsidR="00E86372">
        <w:rPr>
          <w:rFonts w:ascii="Calibri" w:hAnsi="Calibri" w:cs="Calibri"/>
          <w:sz w:val="22"/>
          <w:szCs w:val="22"/>
        </w:rPr>
        <w:t>1</w:t>
      </w:r>
      <w:r w:rsidR="000E46D6" w:rsidRPr="00746639">
        <w:rPr>
          <w:rFonts w:ascii="Calibri" w:hAnsi="Calibri" w:cs="Calibri"/>
          <w:sz w:val="22"/>
          <w:szCs w:val="22"/>
        </w:rPr>
        <w:t xml:space="preserve">. </w:t>
      </w:r>
    </w:p>
    <w:p w14:paraId="6475C484" w14:textId="776FCF33" w:rsidR="00F81816" w:rsidRDefault="00025094" w:rsidP="00C263CE">
      <w:pPr>
        <w:jc w:val="center"/>
        <w:rPr>
          <w:rFonts w:ascii="Calibri" w:hAnsi="Calibri" w:cs="Calibri"/>
          <w:sz w:val="22"/>
          <w:szCs w:val="22"/>
        </w:rPr>
      </w:pPr>
      <w:r w:rsidRPr="0002509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76CDF26" wp14:editId="6C9CB3A3">
            <wp:extent cx="5774642" cy="1687830"/>
            <wp:effectExtent l="0" t="0" r="0" b="7620"/>
            <wp:docPr id="179472454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D979C72-3935-A643-3E7C-FE8E40AF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AF71EA" w14:textId="41658013" w:rsidR="000E46D6" w:rsidRDefault="000E46D6" w:rsidP="000E46D6">
      <w:pPr>
        <w:jc w:val="both"/>
        <w:rPr>
          <w:rFonts w:ascii="Calibri" w:hAnsi="Calibri" w:cs="Calibri"/>
          <w:sz w:val="22"/>
          <w:szCs w:val="22"/>
        </w:rPr>
      </w:pPr>
      <w:r w:rsidRPr="00FA19FE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5C6EF0">
        <w:rPr>
          <w:rFonts w:ascii="Calibri" w:hAnsi="Calibri" w:cs="Calibri"/>
          <w:i/>
          <w:iCs/>
          <w:sz w:val="22"/>
          <w:szCs w:val="22"/>
        </w:rPr>
        <w:t>Początkowo za wysoki poziom notowań odpowiadać będzie</w:t>
      </w:r>
      <w:r w:rsidR="00E86372">
        <w:rPr>
          <w:rFonts w:ascii="Calibri" w:hAnsi="Calibri" w:cs="Calibri"/>
          <w:i/>
          <w:iCs/>
          <w:sz w:val="22"/>
          <w:szCs w:val="22"/>
        </w:rPr>
        <w:t xml:space="preserve"> spekulacja rynkowa,</w:t>
      </w:r>
      <w:r w:rsidRPr="005C6EF0">
        <w:rPr>
          <w:rFonts w:ascii="Calibri" w:hAnsi="Calibri" w:cs="Calibri"/>
          <w:i/>
          <w:iCs/>
          <w:sz w:val="22"/>
          <w:szCs w:val="22"/>
        </w:rPr>
        <w:t xml:space="preserve"> tzw. dyskontowanie przyszłości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E86372">
        <w:rPr>
          <w:rFonts w:ascii="Calibri" w:hAnsi="Calibri" w:cs="Calibri"/>
          <w:i/>
          <w:iCs/>
          <w:sz w:val="22"/>
          <w:szCs w:val="22"/>
        </w:rPr>
        <w:t>Podmioty zobowiązane do zakupu uprawnień</w:t>
      </w:r>
      <w:r w:rsidRPr="005C6EF0">
        <w:rPr>
          <w:rFonts w:ascii="Calibri" w:hAnsi="Calibri" w:cs="Calibri"/>
          <w:i/>
          <w:iCs/>
          <w:sz w:val="22"/>
          <w:szCs w:val="22"/>
        </w:rPr>
        <w:t>, obawiając się</w:t>
      </w:r>
      <w:r w:rsidR="00E86372">
        <w:rPr>
          <w:rFonts w:ascii="Calibri" w:hAnsi="Calibri" w:cs="Calibri"/>
          <w:i/>
          <w:iCs/>
          <w:sz w:val="22"/>
          <w:szCs w:val="22"/>
        </w:rPr>
        <w:t xml:space="preserve"> ich</w:t>
      </w:r>
      <w:r w:rsidRPr="005C6EF0">
        <w:rPr>
          <w:rFonts w:ascii="Calibri" w:hAnsi="Calibri" w:cs="Calibri"/>
          <w:i/>
          <w:iCs/>
          <w:sz w:val="22"/>
          <w:szCs w:val="22"/>
        </w:rPr>
        <w:t xml:space="preserve"> nadchodzącego niedoboru, zaczną masowo budować zapasy.</w:t>
      </w:r>
      <w:r w:rsidR="00632A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86372">
        <w:rPr>
          <w:rFonts w:ascii="Calibri" w:hAnsi="Calibri" w:cs="Calibri"/>
          <w:i/>
          <w:iCs/>
          <w:sz w:val="22"/>
          <w:szCs w:val="22"/>
        </w:rPr>
        <w:t xml:space="preserve">Z każdym kolejnym rokiem redukcja emisji będzie coraz trudniejszym </w:t>
      </w:r>
      <w:r w:rsidR="00E86372">
        <w:rPr>
          <w:rFonts w:ascii="Calibri" w:hAnsi="Calibri" w:cs="Calibri"/>
          <w:i/>
          <w:iCs/>
          <w:sz w:val="22"/>
          <w:szCs w:val="22"/>
        </w:rPr>
        <w:lastRenderedPageBreak/>
        <w:t>wyzwaniem, ponieważ realizacja tych procesów wymaga rosnących nakładów technologicznych i</w:t>
      </w:r>
      <w:r w:rsidR="0060397F">
        <w:rPr>
          <w:rFonts w:ascii="Calibri" w:hAnsi="Calibri" w:cs="Calibri"/>
          <w:i/>
          <w:iCs/>
          <w:sz w:val="22"/>
          <w:szCs w:val="22"/>
        </w:rPr>
        <w:t> </w:t>
      </w:r>
      <w:r w:rsidR="00E86372">
        <w:rPr>
          <w:rFonts w:ascii="Calibri" w:hAnsi="Calibri" w:cs="Calibri"/>
          <w:i/>
          <w:iCs/>
          <w:sz w:val="22"/>
          <w:szCs w:val="22"/>
        </w:rPr>
        <w:t xml:space="preserve">finansowych, co poskutkuje dalszym wzrostem cen uprawnień. To w połączeniu z potencjalnym niedoborem surowców i know-how, może skutkować sytuacją, w której to w 2031 r. koszt wymuszania redukcji emisji zacznie w pełni determinować cenę </w:t>
      </w:r>
      <w:r w:rsidRPr="00FA19FE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5C6EF0">
        <w:rPr>
          <w:rFonts w:ascii="Calibri" w:hAnsi="Calibri" w:cs="Calibri"/>
          <w:sz w:val="22"/>
          <w:szCs w:val="22"/>
        </w:rPr>
        <w:t xml:space="preserve">wyjaśnia </w:t>
      </w:r>
      <w:r w:rsidRPr="005C6EF0">
        <w:rPr>
          <w:rFonts w:ascii="Calibri" w:hAnsi="Calibri" w:cs="Calibri"/>
          <w:b/>
          <w:bCs/>
          <w:sz w:val="22"/>
          <w:szCs w:val="22"/>
        </w:rPr>
        <w:t>Marcin Bogusz</w:t>
      </w:r>
      <w:r w:rsidR="00A14EC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A14EC9" w:rsidRPr="00FA19FE">
        <w:rPr>
          <w:rFonts w:ascii="Calibri" w:hAnsi="Calibri" w:cs="Calibri"/>
          <w:sz w:val="22"/>
          <w:szCs w:val="22"/>
        </w:rPr>
        <w:t xml:space="preserve">specjalista ds. analiz </w:t>
      </w:r>
      <w:r w:rsidR="00AE1AE3">
        <w:rPr>
          <w:rFonts w:ascii="Calibri" w:hAnsi="Calibri" w:cs="Calibri"/>
          <w:sz w:val="22"/>
          <w:szCs w:val="22"/>
        </w:rPr>
        <w:t>sektorowych</w:t>
      </w:r>
      <w:r w:rsidR="00A14EC9" w:rsidRPr="00FA19FE">
        <w:rPr>
          <w:rFonts w:ascii="Calibri" w:hAnsi="Calibri" w:cs="Calibri"/>
          <w:sz w:val="22"/>
          <w:szCs w:val="22"/>
        </w:rPr>
        <w:t xml:space="preserve"> w Alior Banku</w:t>
      </w:r>
      <w:r w:rsidRPr="005C6EF0">
        <w:rPr>
          <w:rFonts w:ascii="Calibri" w:hAnsi="Calibri" w:cs="Calibri"/>
          <w:sz w:val="22"/>
          <w:szCs w:val="22"/>
        </w:rPr>
        <w:t>.</w:t>
      </w:r>
    </w:p>
    <w:p w14:paraId="06B1C832" w14:textId="0D8E6849" w:rsidR="000E46D6" w:rsidRDefault="000E46D6" w:rsidP="000E46D6">
      <w:pPr>
        <w:jc w:val="both"/>
        <w:rPr>
          <w:rFonts w:ascii="Calibri" w:hAnsi="Calibri" w:cs="Calibri"/>
          <w:sz w:val="22"/>
          <w:szCs w:val="22"/>
        </w:rPr>
      </w:pPr>
      <w:r w:rsidRPr="00EC1184">
        <w:rPr>
          <w:rFonts w:ascii="Calibri" w:hAnsi="Calibri" w:cs="Calibri"/>
          <w:sz w:val="22"/>
          <w:szCs w:val="22"/>
        </w:rPr>
        <w:t xml:space="preserve">Dla </w:t>
      </w:r>
      <w:r w:rsidR="00020496">
        <w:rPr>
          <w:rFonts w:ascii="Calibri" w:hAnsi="Calibri" w:cs="Calibri"/>
          <w:sz w:val="22"/>
          <w:szCs w:val="22"/>
        </w:rPr>
        <w:t>mil</w:t>
      </w:r>
      <w:r w:rsidR="003A6D10">
        <w:rPr>
          <w:rFonts w:ascii="Calibri" w:hAnsi="Calibri" w:cs="Calibri"/>
          <w:sz w:val="22"/>
          <w:szCs w:val="22"/>
        </w:rPr>
        <w:t>ionów</w:t>
      </w:r>
      <w:r w:rsidRPr="00EC1184">
        <w:rPr>
          <w:rFonts w:ascii="Calibri" w:hAnsi="Calibri" w:cs="Calibri"/>
          <w:sz w:val="22"/>
          <w:szCs w:val="22"/>
        </w:rPr>
        <w:t xml:space="preserve"> Polak</w:t>
      </w:r>
      <w:r w:rsidR="00030EAA">
        <w:rPr>
          <w:rFonts w:ascii="Calibri" w:hAnsi="Calibri" w:cs="Calibri"/>
          <w:sz w:val="22"/>
          <w:szCs w:val="22"/>
        </w:rPr>
        <w:t>ów</w:t>
      </w:r>
      <w:r w:rsidRPr="00EC1184">
        <w:rPr>
          <w:rFonts w:ascii="Calibri" w:hAnsi="Calibri" w:cs="Calibri"/>
          <w:sz w:val="22"/>
          <w:szCs w:val="22"/>
        </w:rPr>
        <w:t xml:space="preserve"> oznacza to konkretne kwoty</w:t>
      </w:r>
      <w:r>
        <w:rPr>
          <w:rFonts w:ascii="Calibri" w:hAnsi="Calibri" w:cs="Calibri"/>
          <w:sz w:val="22"/>
          <w:szCs w:val="22"/>
        </w:rPr>
        <w:t xml:space="preserve">. </w:t>
      </w:r>
      <w:r w:rsidRPr="00746639">
        <w:rPr>
          <w:rFonts w:ascii="Calibri" w:hAnsi="Calibri" w:cs="Calibri"/>
          <w:sz w:val="22"/>
          <w:szCs w:val="22"/>
        </w:rPr>
        <w:t>W pierwszym roku obowiązywania systemu,</w:t>
      </w:r>
      <w:r w:rsidR="00E86372">
        <w:rPr>
          <w:rFonts w:ascii="Calibri" w:hAnsi="Calibri" w:cs="Calibri"/>
          <w:sz w:val="22"/>
          <w:szCs w:val="22"/>
        </w:rPr>
        <w:t xml:space="preserve"> według prognoz ekonomistów Alior</w:t>
      </w:r>
      <w:r w:rsidR="000F4B20">
        <w:rPr>
          <w:rFonts w:ascii="Calibri" w:hAnsi="Calibri" w:cs="Calibri"/>
          <w:sz w:val="22"/>
          <w:szCs w:val="22"/>
        </w:rPr>
        <w:t xml:space="preserve"> Banku</w:t>
      </w:r>
      <w:r w:rsidR="00E86372">
        <w:rPr>
          <w:rFonts w:ascii="Calibri" w:hAnsi="Calibri" w:cs="Calibri"/>
          <w:sz w:val="22"/>
          <w:szCs w:val="22"/>
        </w:rPr>
        <w:t>,</w:t>
      </w:r>
      <w:r w:rsidRPr="00746639">
        <w:rPr>
          <w:rFonts w:ascii="Calibri" w:hAnsi="Calibri" w:cs="Calibri"/>
          <w:sz w:val="22"/>
          <w:szCs w:val="22"/>
        </w:rPr>
        <w:t xml:space="preserve"> ceny paliw mogą wzrosnąć </w:t>
      </w:r>
      <w:r w:rsidR="008D60FE">
        <w:rPr>
          <w:rFonts w:ascii="Calibri" w:hAnsi="Calibri" w:cs="Calibri"/>
          <w:sz w:val="22"/>
          <w:szCs w:val="22"/>
        </w:rPr>
        <w:t>naw</w:t>
      </w:r>
      <w:r w:rsidR="00A323FC">
        <w:rPr>
          <w:rFonts w:ascii="Calibri" w:hAnsi="Calibri" w:cs="Calibri"/>
          <w:sz w:val="22"/>
          <w:szCs w:val="22"/>
        </w:rPr>
        <w:t xml:space="preserve">et </w:t>
      </w:r>
      <w:r w:rsidRPr="00746639">
        <w:rPr>
          <w:rFonts w:ascii="Calibri" w:hAnsi="Calibri" w:cs="Calibri"/>
          <w:sz w:val="22"/>
          <w:szCs w:val="22"/>
        </w:rPr>
        <w:t>o 0,65 PLN dla benzyny oraz o</w:t>
      </w:r>
      <w:r w:rsidR="0060397F">
        <w:rPr>
          <w:rFonts w:ascii="Calibri" w:hAnsi="Calibri" w:cs="Calibri"/>
          <w:sz w:val="22"/>
          <w:szCs w:val="22"/>
        </w:rPr>
        <w:t> </w:t>
      </w:r>
      <w:r w:rsidRPr="00746639">
        <w:rPr>
          <w:rFonts w:ascii="Calibri" w:hAnsi="Calibri" w:cs="Calibri"/>
          <w:sz w:val="22"/>
          <w:szCs w:val="22"/>
        </w:rPr>
        <w:t>0,75 PLN dla oleju napędowego (bez uwzględnienia podatku VAT). Do 2031 roku wpływ ETS2 na litr paliwa może wynieść odpowiednio 1,35 PLN (benzyna) oraz 1,57 PLN (diesel).</w:t>
      </w:r>
      <w:r>
        <w:rPr>
          <w:rFonts w:ascii="Calibri" w:hAnsi="Calibri" w:cs="Calibri"/>
          <w:sz w:val="22"/>
          <w:szCs w:val="22"/>
        </w:rPr>
        <w:t xml:space="preserve"> Co więcej, według ekspertów s</w:t>
      </w:r>
      <w:r w:rsidRPr="009F2FAE">
        <w:rPr>
          <w:rFonts w:ascii="Calibri" w:hAnsi="Calibri" w:cs="Calibri"/>
          <w:sz w:val="22"/>
          <w:szCs w:val="22"/>
        </w:rPr>
        <w:t xml:space="preserve">am </w:t>
      </w:r>
      <w:r w:rsidR="00220992">
        <w:rPr>
          <w:rFonts w:ascii="Calibri" w:hAnsi="Calibri" w:cs="Calibri"/>
          <w:sz w:val="22"/>
          <w:szCs w:val="22"/>
        </w:rPr>
        <w:t>wzrost cen paliw</w:t>
      </w:r>
      <w:r w:rsidRPr="009F2FAE">
        <w:rPr>
          <w:rFonts w:ascii="Calibri" w:hAnsi="Calibri" w:cs="Calibri"/>
          <w:sz w:val="22"/>
          <w:szCs w:val="22"/>
        </w:rPr>
        <w:t xml:space="preserve"> może w 2028 roku podbić inflację konsumencką o ok. </w:t>
      </w:r>
      <w:r w:rsidRPr="002228A9">
        <w:rPr>
          <w:rFonts w:ascii="Calibri" w:hAnsi="Calibri" w:cs="Calibri"/>
          <w:sz w:val="22"/>
          <w:szCs w:val="22"/>
        </w:rPr>
        <w:t>0,9 p.p.</w:t>
      </w:r>
    </w:p>
    <w:p w14:paraId="7850A138" w14:textId="7E45183E" w:rsidR="007B3AF0" w:rsidRPr="00C263CE" w:rsidRDefault="00592A72" w:rsidP="00592A72">
      <w:pPr>
        <w:jc w:val="both"/>
        <w:rPr>
          <w:rFonts w:ascii="Calibri" w:hAnsi="Calibri" w:cs="Calibri"/>
          <w:sz w:val="22"/>
          <w:szCs w:val="22"/>
        </w:rPr>
      </w:pPr>
      <w:r w:rsidRPr="00592A72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D640589" wp14:editId="6D74ED62">
            <wp:extent cx="5756275" cy="2154803"/>
            <wp:effectExtent l="0" t="0" r="0" b="0"/>
            <wp:docPr id="206202198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36C15ED-ACDC-036B-E1E7-51023404DE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1B6B24" w14:textId="423EA51A" w:rsidR="00BF663E" w:rsidRDefault="00010BA1" w:rsidP="00F8694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10BA1">
        <w:rPr>
          <w:rFonts w:ascii="Calibri" w:hAnsi="Calibri" w:cs="Calibri"/>
          <w:b/>
          <w:bCs/>
          <w:sz w:val="22"/>
          <w:szCs w:val="22"/>
        </w:rPr>
        <w:t xml:space="preserve">ETS kontra ETS2 </w:t>
      </w:r>
    </w:p>
    <w:p w14:paraId="544B9997" w14:textId="52BB7C84" w:rsidR="00010BA1" w:rsidRPr="00010BA1" w:rsidRDefault="00E90409" w:rsidP="00010BA1">
      <w:pPr>
        <w:jc w:val="both"/>
        <w:rPr>
          <w:rFonts w:ascii="Calibri" w:hAnsi="Calibri" w:cs="Calibri"/>
          <w:sz w:val="22"/>
          <w:szCs w:val="22"/>
        </w:rPr>
      </w:pPr>
      <w:r w:rsidRPr="00E90409">
        <w:rPr>
          <w:rFonts w:ascii="Calibri" w:hAnsi="Calibri" w:cs="Calibri"/>
          <w:sz w:val="22"/>
          <w:szCs w:val="22"/>
        </w:rPr>
        <w:t xml:space="preserve">Wzrost cen wynika </w:t>
      </w:r>
      <w:r w:rsidR="00F978B5">
        <w:rPr>
          <w:rFonts w:ascii="Calibri" w:hAnsi="Calibri" w:cs="Calibri"/>
          <w:sz w:val="22"/>
          <w:szCs w:val="22"/>
        </w:rPr>
        <w:t>b</w:t>
      </w:r>
      <w:r w:rsidR="0009758D">
        <w:rPr>
          <w:rFonts w:ascii="Calibri" w:hAnsi="Calibri" w:cs="Calibri"/>
          <w:sz w:val="22"/>
          <w:szCs w:val="22"/>
        </w:rPr>
        <w:t>ez</w:t>
      </w:r>
      <w:r w:rsidR="00FE6C17">
        <w:rPr>
          <w:rFonts w:ascii="Calibri" w:hAnsi="Calibri" w:cs="Calibri"/>
          <w:sz w:val="22"/>
          <w:szCs w:val="22"/>
        </w:rPr>
        <w:t>pośre</w:t>
      </w:r>
      <w:r w:rsidR="00322E22">
        <w:rPr>
          <w:rFonts w:ascii="Calibri" w:hAnsi="Calibri" w:cs="Calibri"/>
          <w:sz w:val="22"/>
          <w:szCs w:val="22"/>
        </w:rPr>
        <w:t xml:space="preserve">dnio </w:t>
      </w:r>
      <w:r w:rsidRPr="00E90409">
        <w:rPr>
          <w:rFonts w:ascii="Calibri" w:hAnsi="Calibri" w:cs="Calibri"/>
          <w:sz w:val="22"/>
          <w:szCs w:val="22"/>
        </w:rPr>
        <w:t>z nowej architektury unijnych opłat.</w:t>
      </w:r>
      <w:r w:rsidR="00640055">
        <w:rPr>
          <w:rFonts w:ascii="Calibri" w:hAnsi="Calibri" w:cs="Calibri"/>
          <w:sz w:val="22"/>
          <w:szCs w:val="22"/>
        </w:rPr>
        <w:t xml:space="preserve"> </w:t>
      </w:r>
      <w:r w:rsidR="00A21F25">
        <w:rPr>
          <w:rFonts w:ascii="Calibri" w:hAnsi="Calibri" w:cs="Calibri"/>
          <w:sz w:val="22"/>
          <w:szCs w:val="22"/>
        </w:rPr>
        <w:t>S</w:t>
      </w:r>
      <w:r w:rsidR="00363D0F">
        <w:rPr>
          <w:rFonts w:ascii="Calibri" w:hAnsi="Calibri" w:cs="Calibri"/>
          <w:sz w:val="22"/>
          <w:szCs w:val="22"/>
        </w:rPr>
        <w:t>ystem</w:t>
      </w:r>
      <w:r w:rsidR="00A21F25">
        <w:rPr>
          <w:rFonts w:ascii="Calibri" w:hAnsi="Calibri" w:cs="Calibri"/>
          <w:sz w:val="22"/>
          <w:szCs w:val="22"/>
        </w:rPr>
        <w:t xml:space="preserve"> ET</w:t>
      </w:r>
      <w:r w:rsidR="009A7396">
        <w:rPr>
          <w:rFonts w:ascii="Calibri" w:hAnsi="Calibri" w:cs="Calibri"/>
          <w:sz w:val="22"/>
          <w:szCs w:val="22"/>
        </w:rPr>
        <w:t>S</w:t>
      </w:r>
      <w:r w:rsidR="00A21F25">
        <w:rPr>
          <w:rFonts w:ascii="Calibri" w:hAnsi="Calibri" w:cs="Calibri"/>
          <w:sz w:val="22"/>
          <w:szCs w:val="22"/>
        </w:rPr>
        <w:t>2</w:t>
      </w:r>
      <w:r w:rsidR="00A175AA" w:rsidRPr="00010BA1">
        <w:rPr>
          <w:rFonts w:ascii="Calibri" w:hAnsi="Calibri" w:cs="Calibri"/>
          <w:sz w:val="22"/>
          <w:szCs w:val="22"/>
        </w:rPr>
        <w:t xml:space="preserve"> </w:t>
      </w:r>
      <w:r w:rsidR="00010BA1" w:rsidRPr="00010BA1">
        <w:rPr>
          <w:rFonts w:ascii="Calibri" w:hAnsi="Calibri" w:cs="Calibri"/>
          <w:sz w:val="22"/>
          <w:szCs w:val="22"/>
        </w:rPr>
        <w:t>obejmie sektory dotychczas nieobciążone bezpośrednio kosztami klimatycznymi: transport lądowy oraz budynki mieszkalne i komercyjne. W przeciwieństwie do systemu ETS, który dotyczył głównie elektrowni i</w:t>
      </w:r>
      <w:r w:rsidR="0060397F">
        <w:rPr>
          <w:rFonts w:ascii="Calibri" w:hAnsi="Calibri" w:cs="Calibri"/>
          <w:sz w:val="22"/>
          <w:szCs w:val="22"/>
        </w:rPr>
        <w:t> </w:t>
      </w:r>
      <w:r w:rsidR="00010BA1" w:rsidRPr="00010BA1">
        <w:rPr>
          <w:rFonts w:ascii="Calibri" w:hAnsi="Calibri" w:cs="Calibri"/>
          <w:sz w:val="22"/>
          <w:szCs w:val="22"/>
        </w:rPr>
        <w:t xml:space="preserve">ciężkiego przemysłu, </w:t>
      </w:r>
      <w:r w:rsidR="00D3616A">
        <w:rPr>
          <w:rFonts w:ascii="Calibri" w:hAnsi="Calibri" w:cs="Calibri"/>
          <w:sz w:val="22"/>
          <w:szCs w:val="22"/>
        </w:rPr>
        <w:t>nowa regulacja</w:t>
      </w:r>
      <w:r w:rsidR="00D3616A" w:rsidRPr="00010BA1">
        <w:rPr>
          <w:rFonts w:ascii="Calibri" w:hAnsi="Calibri" w:cs="Calibri"/>
          <w:sz w:val="22"/>
          <w:szCs w:val="22"/>
        </w:rPr>
        <w:t xml:space="preserve"> </w:t>
      </w:r>
      <w:r w:rsidR="00010BA1" w:rsidRPr="00010BA1">
        <w:rPr>
          <w:rFonts w:ascii="Calibri" w:hAnsi="Calibri" w:cs="Calibri"/>
          <w:sz w:val="22"/>
          <w:szCs w:val="22"/>
        </w:rPr>
        <w:t xml:space="preserve">funkcjonuje w modelu „upstream”. </w:t>
      </w:r>
      <w:r w:rsidR="00BA029F" w:rsidRPr="00BA029F">
        <w:rPr>
          <w:rFonts w:ascii="Calibri" w:hAnsi="Calibri" w:cs="Calibri"/>
          <w:sz w:val="22"/>
          <w:szCs w:val="22"/>
        </w:rPr>
        <w:t>Oznacza to, że koszt zakupu uprawnień do emisji (EUA) zostaje nałożony na dostawców paliw, którzy uwzględnią go w cenach dla odbiorców końcowych.</w:t>
      </w:r>
    </w:p>
    <w:p w14:paraId="246CCA50" w14:textId="35272E54" w:rsidR="002721BE" w:rsidRDefault="00FA19FE" w:rsidP="006802A4">
      <w:pPr>
        <w:jc w:val="both"/>
        <w:rPr>
          <w:rFonts w:ascii="Calibri" w:hAnsi="Calibri" w:cs="Calibri"/>
          <w:sz w:val="22"/>
          <w:szCs w:val="22"/>
        </w:rPr>
      </w:pPr>
      <w:r w:rsidRPr="00FA19FE">
        <w:rPr>
          <w:rFonts w:ascii="Calibri" w:hAnsi="Calibri" w:cs="Calibri"/>
          <w:sz w:val="22"/>
          <w:szCs w:val="22"/>
        </w:rPr>
        <w:t xml:space="preserve">– </w:t>
      </w:r>
      <w:r w:rsidR="00CC33BF" w:rsidRPr="00CC33BF">
        <w:rPr>
          <w:rFonts w:ascii="Calibri" w:hAnsi="Calibri" w:cs="Calibri"/>
          <w:i/>
          <w:iCs/>
          <w:sz w:val="22"/>
          <w:szCs w:val="22"/>
        </w:rPr>
        <w:t xml:space="preserve">Kluczową różnicą w nowym systemie jest całkowita </w:t>
      </w:r>
      <w:r w:rsidR="005B3D85" w:rsidRPr="00CC33BF">
        <w:rPr>
          <w:rFonts w:ascii="Calibri" w:hAnsi="Calibri" w:cs="Calibri"/>
          <w:i/>
          <w:iCs/>
          <w:sz w:val="22"/>
          <w:szCs w:val="22"/>
        </w:rPr>
        <w:t>rezygnacja</w:t>
      </w:r>
      <w:r w:rsidR="00C34940" w:rsidRPr="00CC33B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B3D85">
        <w:rPr>
          <w:rFonts w:ascii="Calibri" w:hAnsi="Calibri" w:cs="Calibri"/>
          <w:i/>
          <w:iCs/>
          <w:sz w:val="22"/>
          <w:szCs w:val="22"/>
        </w:rPr>
        <w:t xml:space="preserve">z </w:t>
      </w:r>
      <w:r w:rsidR="00C34940" w:rsidRPr="00CC33BF">
        <w:rPr>
          <w:rFonts w:ascii="Calibri" w:hAnsi="Calibri" w:cs="Calibri"/>
          <w:i/>
          <w:iCs/>
          <w:sz w:val="22"/>
          <w:szCs w:val="22"/>
        </w:rPr>
        <w:t xml:space="preserve">przyznawania bezpłatnych uprawnień do emisji. W tym modelu 100% </w:t>
      </w:r>
      <w:r w:rsidR="00AE6BEA" w:rsidRPr="00CC33BF">
        <w:rPr>
          <w:rFonts w:ascii="Calibri" w:hAnsi="Calibri" w:cs="Calibri"/>
          <w:i/>
          <w:iCs/>
          <w:sz w:val="22"/>
          <w:szCs w:val="22"/>
        </w:rPr>
        <w:t>certyfikatów</w:t>
      </w:r>
      <w:r w:rsidR="00C34940" w:rsidRPr="00CC33BF">
        <w:rPr>
          <w:rFonts w:ascii="Calibri" w:hAnsi="Calibri" w:cs="Calibri"/>
          <w:i/>
          <w:iCs/>
          <w:sz w:val="22"/>
          <w:szCs w:val="22"/>
        </w:rPr>
        <w:t xml:space="preserve"> EUA będzie nabywanych w drodze rynkowych aukcji. Taka konstrukcja systemu eliminuje możliwość łagodnego wejścia w nowe regulacje i od pierwszego dnia narzuca pełny koszt emisji na paliwa kopalne wykorzystywane w transporcie i</w:t>
      </w:r>
      <w:r w:rsidR="0060397F">
        <w:rPr>
          <w:rFonts w:ascii="Calibri" w:hAnsi="Calibri" w:cs="Calibri"/>
          <w:i/>
          <w:iCs/>
          <w:sz w:val="22"/>
          <w:szCs w:val="22"/>
        </w:rPr>
        <w:t> </w:t>
      </w:r>
      <w:r w:rsidR="00C34940" w:rsidRPr="00CC33BF">
        <w:rPr>
          <w:rFonts w:ascii="Calibri" w:hAnsi="Calibri" w:cs="Calibri"/>
          <w:i/>
          <w:iCs/>
          <w:sz w:val="22"/>
          <w:szCs w:val="22"/>
        </w:rPr>
        <w:t>budownictwie</w:t>
      </w:r>
      <w:r>
        <w:rPr>
          <w:rFonts w:ascii="Calibri" w:hAnsi="Calibri" w:cs="Calibri"/>
          <w:sz w:val="22"/>
          <w:szCs w:val="22"/>
        </w:rPr>
        <w:t xml:space="preserve"> </w:t>
      </w:r>
      <w:r w:rsidRPr="00FA19FE">
        <w:rPr>
          <w:rFonts w:ascii="Calibri" w:hAnsi="Calibri" w:cs="Calibri"/>
          <w:sz w:val="22"/>
          <w:szCs w:val="22"/>
        </w:rPr>
        <w:t xml:space="preserve">– </w:t>
      </w:r>
      <w:r w:rsidR="0021367A">
        <w:rPr>
          <w:rFonts w:ascii="Calibri" w:hAnsi="Calibri" w:cs="Calibri"/>
          <w:sz w:val="22"/>
          <w:szCs w:val="22"/>
        </w:rPr>
        <w:t>zaznacza</w:t>
      </w:r>
      <w:r w:rsidR="0021367A" w:rsidRPr="00FA19FE">
        <w:rPr>
          <w:rFonts w:ascii="Calibri" w:hAnsi="Calibri" w:cs="Calibri"/>
          <w:sz w:val="22"/>
          <w:szCs w:val="22"/>
        </w:rPr>
        <w:t xml:space="preserve"> </w:t>
      </w:r>
      <w:r w:rsidRPr="00CC33BF">
        <w:rPr>
          <w:rFonts w:ascii="Calibri" w:hAnsi="Calibri" w:cs="Calibri"/>
          <w:b/>
          <w:bCs/>
          <w:sz w:val="22"/>
          <w:szCs w:val="22"/>
        </w:rPr>
        <w:t>Marcin Bogusz</w:t>
      </w:r>
      <w:r w:rsidRPr="00FA19FE">
        <w:rPr>
          <w:rFonts w:ascii="Calibri" w:hAnsi="Calibri" w:cs="Calibri"/>
          <w:sz w:val="22"/>
          <w:szCs w:val="22"/>
        </w:rPr>
        <w:t xml:space="preserve">, specjalista ds. analiz </w:t>
      </w:r>
      <w:r w:rsidR="00AE1AE3">
        <w:rPr>
          <w:rFonts w:ascii="Calibri" w:hAnsi="Calibri" w:cs="Calibri"/>
          <w:sz w:val="22"/>
          <w:szCs w:val="22"/>
        </w:rPr>
        <w:t>sektorowych</w:t>
      </w:r>
      <w:r w:rsidRPr="00FA19FE">
        <w:rPr>
          <w:rFonts w:ascii="Calibri" w:hAnsi="Calibri" w:cs="Calibri"/>
          <w:sz w:val="22"/>
          <w:szCs w:val="22"/>
        </w:rPr>
        <w:t xml:space="preserve"> w Alior Banku.</w:t>
      </w:r>
    </w:p>
    <w:p w14:paraId="787A38E1" w14:textId="77777777" w:rsidR="00592A72" w:rsidRDefault="00592A72" w:rsidP="006802A4">
      <w:pPr>
        <w:jc w:val="both"/>
        <w:rPr>
          <w:rFonts w:ascii="Calibri" w:hAnsi="Calibri" w:cs="Calibri"/>
          <w:sz w:val="22"/>
          <w:szCs w:val="22"/>
        </w:rPr>
      </w:pPr>
    </w:p>
    <w:p w14:paraId="75F35E08" w14:textId="77777777" w:rsidR="00592A72" w:rsidRDefault="00592A72" w:rsidP="006802A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4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9"/>
        <w:gridCol w:w="3484"/>
        <w:gridCol w:w="3490"/>
      </w:tblGrid>
      <w:tr w:rsidR="00592A72" w:rsidRPr="00DA6281" w14:paraId="129B2BC7" w14:textId="77777777" w:rsidTr="00592A72">
        <w:trPr>
          <w:trHeight w:val="214"/>
        </w:trPr>
        <w:tc>
          <w:tcPr>
            <w:tcW w:w="9463" w:type="dxa"/>
            <w:gridSpan w:val="3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645EF1" w14:textId="77777777" w:rsidR="00592A72" w:rsidRPr="000F4B20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0F4B20">
              <w:rPr>
                <w:rFonts w:eastAsia="Verdana" w:cs="Arial"/>
                <w:b/>
                <w:bCs/>
                <w:kern w:val="24"/>
                <w:sz w:val="18"/>
                <w:szCs w:val="18"/>
                <w:lang w:val="en-US" w:eastAsia="pl-PL"/>
                <w14:ligatures w14:val="none"/>
              </w:rPr>
              <w:lastRenderedPageBreak/>
              <w:t>EU ETS vs EU ETS 2</w:t>
            </w:r>
          </w:p>
        </w:tc>
      </w:tr>
      <w:tr w:rsidR="00592A72" w:rsidRPr="00592A72" w14:paraId="70EC102F" w14:textId="77777777" w:rsidTr="00592A72">
        <w:trPr>
          <w:trHeight w:val="214"/>
        </w:trPr>
        <w:tc>
          <w:tcPr>
            <w:tcW w:w="2489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2F2F2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EB3E2B" w14:textId="77777777" w:rsidR="00592A72" w:rsidRPr="000F4B20" w:rsidRDefault="00592A72" w:rsidP="00592A72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3484" w:type="dxa"/>
            <w:tcBorders>
              <w:top w:val="single" w:sz="6" w:space="0" w:color="790038"/>
              <w:left w:val="single" w:sz="8" w:space="0" w:color="F2F2F2"/>
              <w:bottom w:val="single" w:sz="6" w:space="0" w:color="790038"/>
              <w:right w:val="single" w:sz="8" w:space="0" w:color="F2F2F2"/>
            </w:tcBorders>
            <w:shd w:val="clear" w:color="auto" w:fill="F2F2F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BCDF66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b/>
                <w:bCs/>
                <w:kern w:val="24"/>
                <w:sz w:val="18"/>
                <w:szCs w:val="18"/>
                <w:lang w:eastAsia="pl-PL"/>
                <w14:ligatures w14:val="none"/>
              </w:rPr>
              <w:t>ETS</w:t>
            </w:r>
          </w:p>
        </w:tc>
        <w:tc>
          <w:tcPr>
            <w:tcW w:w="3488" w:type="dxa"/>
            <w:tcBorders>
              <w:top w:val="single" w:sz="6" w:space="0" w:color="790038"/>
              <w:left w:val="single" w:sz="8" w:space="0" w:color="F2F2F2"/>
              <w:bottom w:val="single" w:sz="6" w:space="0" w:color="790038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157C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b/>
                <w:bCs/>
                <w:kern w:val="24"/>
                <w:sz w:val="18"/>
                <w:szCs w:val="18"/>
                <w:lang w:eastAsia="pl-PL"/>
                <w14:ligatures w14:val="none"/>
              </w:rPr>
              <w:t>ETS 2</w:t>
            </w:r>
          </w:p>
        </w:tc>
      </w:tr>
      <w:tr w:rsidR="00592A72" w:rsidRPr="00592A72" w14:paraId="7861CD47" w14:textId="77777777" w:rsidTr="00592A72">
        <w:trPr>
          <w:trHeight w:val="546"/>
        </w:trPr>
        <w:tc>
          <w:tcPr>
            <w:tcW w:w="2489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35C89F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b/>
                <w:bCs/>
                <w:kern w:val="24"/>
                <w:sz w:val="18"/>
                <w:szCs w:val="18"/>
                <w:lang w:eastAsia="pl-PL"/>
                <w14:ligatures w14:val="none"/>
              </w:rPr>
              <w:t>Charakter systemu</w:t>
            </w:r>
          </w:p>
        </w:tc>
        <w:tc>
          <w:tcPr>
            <w:tcW w:w="3484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5E44D1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kern w:val="24"/>
                <w:sz w:val="18"/>
                <w:szCs w:val="18"/>
                <w:lang w:eastAsia="pl-PL"/>
                <w14:ligatures w14:val="none"/>
              </w:rPr>
              <w:t>Downstream</w:t>
            </w:r>
          </w:p>
        </w:tc>
        <w:tc>
          <w:tcPr>
            <w:tcW w:w="3488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2E396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Times New Roman" w:cs="Arial"/>
                <w:kern w:val="24"/>
                <w:sz w:val="18"/>
                <w:szCs w:val="18"/>
                <w:lang w:eastAsia="pl-PL"/>
                <w14:ligatures w14:val="none"/>
              </w:rPr>
              <w:t>Upstream</w:t>
            </w:r>
          </w:p>
        </w:tc>
      </w:tr>
      <w:tr w:rsidR="00592A72" w:rsidRPr="00592A72" w14:paraId="7A7061AF" w14:textId="77777777" w:rsidTr="00592A72">
        <w:trPr>
          <w:trHeight w:val="546"/>
        </w:trPr>
        <w:tc>
          <w:tcPr>
            <w:tcW w:w="2489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0D0A30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b/>
                <w:bCs/>
                <w:kern w:val="24"/>
                <w:sz w:val="18"/>
                <w:szCs w:val="18"/>
                <w:lang w:eastAsia="pl-PL"/>
                <w14:ligatures w14:val="none"/>
              </w:rPr>
              <w:t>Objęte sektory</w:t>
            </w:r>
          </w:p>
        </w:tc>
        <w:tc>
          <w:tcPr>
            <w:tcW w:w="3484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4CB4C6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kern w:val="24"/>
                <w:sz w:val="18"/>
                <w:szCs w:val="18"/>
                <w:lang w:eastAsia="pl-PL"/>
                <w14:ligatures w14:val="none"/>
              </w:rPr>
              <w:t>Elektrownie, rafinerie, cementownie, zakłady chemiczne, lotnictwo (wewnątrz UE) i żegluga morska</w:t>
            </w:r>
          </w:p>
        </w:tc>
        <w:tc>
          <w:tcPr>
            <w:tcW w:w="3488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C187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Times New Roman" w:cs="Arial"/>
                <w:kern w:val="24"/>
                <w:sz w:val="18"/>
                <w:szCs w:val="18"/>
                <w:lang w:eastAsia="pl-PL"/>
                <w14:ligatures w14:val="none"/>
              </w:rPr>
              <w:t xml:space="preserve">Transport lądowy, budynki i drobny przemysł </w:t>
            </w:r>
          </w:p>
        </w:tc>
      </w:tr>
      <w:tr w:rsidR="00592A72" w:rsidRPr="00592A72" w14:paraId="0DAA6DB9" w14:textId="77777777" w:rsidTr="00592A72">
        <w:trPr>
          <w:trHeight w:val="546"/>
        </w:trPr>
        <w:tc>
          <w:tcPr>
            <w:tcW w:w="2489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606A57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b/>
                <w:bCs/>
                <w:kern w:val="24"/>
                <w:sz w:val="18"/>
                <w:szCs w:val="18"/>
                <w:lang w:eastAsia="pl-PL"/>
                <w14:ligatures w14:val="none"/>
              </w:rPr>
              <w:t>Alokacja kontraktów</w:t>
            </w:r>
          </w:p>
        </w:tc>
        <w:tc>
          <w:tcPr>
            <w:tcW w:w="3484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DC5782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kern w:val="24"/>
                <w:sz w:val="18"/>
                <w:szCs w:val="18"/>
                <w:lang w:eastAsia="pl-PL"/>
                <w14:ligatures w14:val="none"/>
              </w:rPr>
              <w:t>Rynkowa ze wsparciem wolumenu darmowych kontraktów</w:t>
            </w:r>
          </w:p>
        </w:tc>
        <w:tc>
          <w:tcPr>
            <w:tcW w:w="3488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5F024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Times New Roman" w:cs="Arial"/>
                <w:kern w:val="24"/>
                <w:sz w:val="18"/>
                <w:szCs w:val="18"/>
                <w:lang w:eastAsia="pl-PL"/>
                <w14:ligatures w14:val="none"/>
              </w:rPr>
              <w:t>Wyłącznie rynkowa</w:t>
            </w:r>
          </w:p>
        </w:tc>
      </w:tr>
      <w:tr w:rsidR="00592A72" w:rsidRPr="00592A72" w14:paraId="4BEBF3A6" w14:textId="77777777" w:rsidTr="00592A72">
        <w:trPr>
          <w:trHeight w:val="546"/>
        </w:trPr>
        <w:tc>
          <w:tcPr>
            <w:tcW w:w="2489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E40011C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b/>
                <w:bCs/>
                <w:kern w:val="24"/>
                <w:sz w:val="18"/>
                <w:szCs w:val="18"/>
                <w:lang w:eastAsia="pl-PL"/>
                <w14:ligatures w14:val="none"/>
              </w:rPr>
              <w:t>Zasady wydatkowania środków</w:t>
            </w:r>
          </w:p>
        </w:tc>
        <w:tc>
          <w:tcPr>
            <w:tcW w:w="3484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778422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Verdana" w:cs="Arial"/>
                <w:kern w:val="24"/>
                <w:sz w:val="18"/>
                <w:szCs w:val="18"/>
                <w:lang w:eastAsia="pl-PL"/>
                <w14:ligatures w14:val="none"/>
              </w:rPr>
              <w:t>Liberalne</w:t>
            </w:r>
          </w:p>
        </w:tc>
        <w:tc>
          <w:tcPr>
            <w:tcW w:w="3488" w:type="dxa"/>
            <w:tcBorders>
              <w:top w:val="single" w:sz="6" w:space="0" w:color="790038"/>
              <w:left w:val="single" w:sz="8" w:space="0" w:color="FFFFFF"/>
              <w:bottom w:val="single" w:sz="6" w:space="0" w:color="790038"/>
              <w:right w:val="single" w:sz="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FAF1" w14:textId="77777777" w:rsidR="00592A72" w:rsidRPr="009120C5" w:rsidRDefault="00592A72" w:rsidP="00592A72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20C5">
              <w:rPr>
                <w:rFonts w:eastAsia="Times New Roman" w:cs="Arial"/>
                <w:kern w:val="24"/>
                <w:sz w:val="18"/>
                <w:szCs w:val="18"/>
                <w:lang w:eastAsia="pl-PL"/>
                <w14:ligatures w14:val="none"/>
              </w:rPr>
              <w:t>Restrykcyjne</w:t>
            </w:r>
          </w:p>
        </w:tc>
      </w:tr>
    </w:tbl>
    <w:p w14:paraId="08006772" w14:textId="77777777" w:rsidR="009E4319" w:rsidRDefault="009E4319" w:rsidP="000B2DF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BE8815" w14:textId="670D659F" w:rsidR="00AB6685" w:rsidRPr="00AB6685" w:rsidRDefault="00631DE9" w:rsidP="000B2DFC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</w:t>
      </w:r>
      <w:r w:rsidR="00896D6E">
        <w:rPr>
          <w:rFonts w:ascii="Calibri" w:hAnsi="Calibri" w:cs="Calibri"/>
          <w:b/>
          <w:bCs/>
          <w:sz w:val="22"/>
          <w:szCs w:val="22"/>
        </w:rPr>
        <w:t>k</w:t>
      </w:r>
      <w:r w:rsidR="00CF656F">
        <w:rPr>
          <w:rFonts w:ascii="Calibri" w:hAnsi="Calibri" w:cs="Calibri"/>
          <w:b/>
          <w:bCs/>
          <w:sz w:val="22"/>
          <w:szCs w:val="22"/>
        </w:rPr>
        <w:t xml:space="preserve">tory pod </w:t>
      </w:r>
      <w:r w:rsidR="00E0184C">
        <w:rPr>
          <w:rFonts w:ascii="Calibri" w:hAnsi="Calibri" w:cs="Calibri"/>
          <w:b/>
          <w:bCs/>
          <w:sz w:val="22"/>
          <w:szCs w:val="22"/>
        </w:rPr>
        <w:t>najwię</w:t>
      </w:r>
      <w:r w:rsidR="00462A7F">
        <w:rPr>
          <w:rFonts w:ascii="Calibri" w:hAnsi="Calibri" w:cs="Calibri"/>
          <w:b/>
          <w:bCs/>
          <w:sz w:val="22"/>
          <w:szCs w:val="22"/>
        </w:rPr>
        <w:t>kszą pr</w:t>
      </w:r>
      <w:r w:rsidR="004704A1">
        <w:rPr>
          <w:rFonts w:ascii="Calibri" w:hAnsi="Calibri" w:cs="Calibri"/>
          <w:b/>
          <w:bCs/>
          <w:sz w:val="22"/>
          <w:szCs w:val="22"/>
        </w:rPr>
        <w:t>esją</w:t>
      </w:r>
    </w:p>
    <w:p w14:paraId="38751B13" w14:textId="2EBF06A1" w:rsidR="000B2DFC" w:rsidRDefault="00144E3B" w:rsidP="00561DC3">
      <w:pPr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98C775" wp14:editId="7ABA68FB">
            <wp:simplePos x="0" y="0"/>
            <wp:positionH relativeFrom="column">
              <wp:posOffset>3011805</wp:posOffset>
            </wp:positionH>
            <wp:positionV relativeFrom="paragraph">
              <wp:posOffset>1412875</wp:posOffset>
            </wp:positionV>
            <wp:extent cx="2766695" cy="1748790"/>
            <wp:effectExtent l="0" t="0" r="0" b="3810"/>
            <wp:wrapSquare wrapText="bothSides"/>
            <wp:docPr id="1549420564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5DFC3ED5-E15A-48EF-9354-1E834F297E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31B3F94" wp14:editId="3B02B539">
            <wp:simplePos x="0" y="0"/>
            <wp:positionH relativeFrom="margin">
              <wp:posOffset>0</wp:posOffset>
            </wp:positionH>
            <wp:positionV relativeFrom="paragraph">
              <wp:posOffset>1444901</wp:posOffset>
            </wp:positionV>
            <wp:extent cx="2846070" cy="1701165"/>
            <wp:effectExtent l="0" t="0" r="0" b="0"/>
            <wp:wrapSquare wrapText="bothSides"/>
            <wp:docPr id="106092927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7A39440-CDD9-655B-2F08-4CB3C7A218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1C1" w:rsidRPr="001171C1">
        <w:rPr>
          <w:rFonts w:ascii="Calibri" w:hAnsi="Calibri" w:cs="Calibri"/>
          <w:sz w:val="22"/>
          <w:szCs w:val="22"/>
        </w:rPr>
        <w:t xml:space="preserve">Celem regulacji jest ograniczenie zużycia paliw kopalnych w całej Unii Europejskiej. </w:t>
      </w:r>
      <w:r w:rsidR="00561DC3" w:rsidRPr="00561DC3">
        <w:rPr>
          <w:rFonts w:ascii="Calibri" w:hAnsi="Calibri" w:cs="Calibri"/>
          <w:sz w:val="22"/>
          <w:szCs w:val="22"/>
        </w:rPr>
        <w:t>Najsilniejsza presja dotknie sektor budynków, gdzie roczne tempo spadku emisji ma wynieść średnio 8,4 proc.</w:t>
      </w:r>
      <w:r w:rsidR="008A278D">
        <w:rPr>
          <w:rFonts w:ascii="Calibri" w:hAnsi="Calibri" w:cs="Calibri"/>
          <w:sz w:val="22"/>
          <w:szCs w:val="22"/>
        </w:rPr>
        <w:t xml:space="preserve">, dla porównania </w:t>
      </w:r>
      <w:r w:rsidR="00561DC3" w:rsidRPr="00561DC3">
        <w:rPr>
          <w:rFonts w:ascii="Calibri" w:hAnsi="Calibri" w:cs="Calibri"/>
          <w:sz w:val="22"/>
          <w:szCs w:val="22"/>
        </w:rPr>
        <w:t>w transporcie</w:t>
      </w:r>
      <w:r w:rsidR="008A278D">
        <w:rPr>
          <w:rFonts w:ascii="Calibri" w:hAnsi="Calibri" w:cs="Calibri"/>
          <w:sz w:val="22"/>
          <w:szCs w:val="22"/>
        </w:rPr>
        <w:t xml:space="preserve"> będzie to </w:t>
      </w:r>
      <w:r w:rsidR="00561DC3" w:rsidRPr="00561DC3">
        <w:rPr>
          <w:rFonts w:ascii="Calibri" w:hAnsi="Calibri" w:cs="Calibri"/>
          <w:sz w:val="22"/>
          <w:szCs w:val="22"/>
        </w:rPr>
        <w:t>3,4 proc.</w:t>
      </w:r>
      <w:r w:rsidR="003215C0">
        <w:rPr>
          <w:rFonts w:ascii="Calibri" w:hAnsi="Calibri" w:cs="Calibri"/>
          <w:sz w:val="22"/>
          <w:szCs w:val="22"/>
        </w:rPr>
        <w:t xml:space="preserve"> </w:t>
      </w:r>
      <w:r w:rsidR="00B177C6" w:rsidRPr="00B177C6">
        <w:rPr>
          <w:rFonts w:ascii="Calibri" w:hAnsi="Calibri" w:cs="Calibri"/>
          <w:sz w:val="22"/>
          <w:szCs w:val="22"/>
        </w:rPr>
        <w:t>Analitycy wskazują, że przełom lat 2029–2030 będzie momentem krytycznym</w:t>
      </w:r>
      <w:r w:rsidR="00B177C6">
        <w:rPr>
          <w:rFonts w:ascii="Calibri" w:hAnsi="Calibri" w:cs="Calibri"/>
          <w:sz w:val="22"/>
          <w:szCs w:val="22"/>
        </w:rPr>
        <w:t xml:space="preserve">. To </w:t>
      </w:r>
      <w:r w:rsidR="00C263CE" w:rsidRPr="00B177C6">
        <w:rPr>
          <w:rFonts w:ascii="Calibri" w:hAnsi="Calibri" w:cs="Calibri"/>
          <w:sz w:val="22"/>
          <w:szCs w:val="22"/>
        </w:rPr>
        <w:t>wtedy wysokie</w:t>
      </w:r>
      <w:r w:rsidR="00B177C6" w:rsidRPr="00B177C6">
        <w:rPr>
          <w:rFonts w:ascii="Calibri" w:hAnsi="Calibri" w:cs="Calibri"/>
          <w:sz w:val="22"/>
          <w:szCs w:val="22"/>
        </w:rPr>
        <w:t xml:space="preserve"> ceny uprawnień </w:t>
      </w:r>
      <w:r w:rsidR="2E0D873D" w:rsidRPr="745E562C">
        <w:rPr>
          <w:rFonts w:ascii="Calibri" w:hAnsi="Calibri" w:cs="Calibri"/>
          <w:sz w:val="22"/>
          <w:szCs w:val="22"/>
        </w:rPr>
        <w:t xml:space="preserve">mogą </w:t>
      </w:r>
      <w:r w:rsidR="2E0D873D" w:rsidRPr="35274A9E">
        <w:rPr>
          <w:rFonts w:ascii="Calibri" w:hAnsi="Calibri" w:cs="Calibri"/>
          <w:sz w:val="22"/>
          <w:szCs w:val="22"/>
        </w:rPr>
        <w:t xml:space="preserve">skumulować się </w:t>
      </w:r>
      <w:r w:rsidR="00B177C6" w:rsidRPr="35274A9E">
        <w:rPr>
          <w:rFonts w:ascii="Calibri" w:hAnsi="Calibri" w:cs="Calibri"/>
          <w:sz w:val="22"/>
          <w:szCs w:val="22"/>
        </w:rPr>
        <w:t>z</w:t>
      </w:r>
      <w:r w:rsidR="00B177C6" w:rsidRPr="00B177C6">
        <w:rPr>
          <w:rFonts w:ascii="Calibri" w:hAnsi="Calibri" w:cs="Calibri"/>
          <w:sz w:val="22"/>
          <w:szCs w:val="22"/>
        </w:rPr>
        <w:t xml:space="preserve"> rygorystycznymi terminami wymiany źródeł ciepła</w:t>
      </w:r>
      <w:r>
        <w:rPr>
          <w:rFonts w:ascii="Calibri" w:hAnsi="Calibri" w:cs="Calibri"/>
          <w:sz w:val="22"/>
          <w:szCs w:val="22"/>
        </w:rPr>
        <w:t xml:space="preserve"> dyktowanymi przez pozostałe dyrektywy unijne</w:t>
      </w:r>
      <w:r w:rsidR="00B177C6" w:rsidRPr="00B177C6">
        <w:rPr>
          <w:rFonts w:ascii="Calibri" w:hAnsi="Calibri" w:cs="Calibri"/>
          <w:sz w:val="22"/>
          <w:szCs w:val="22"/>
        </w:rPr>
        <w:t>. W tym scenariuszu wczesna modernizacja domu staje się najskuteczniejszą metodą ograniczenia przyszłych wydatków.</w:t>
      </w:r>
    </w:p>
    <w:p w14:paraId="6CDD5EF8" w14:textId="0C9342C3" w:rsidR="00853C4A" w:rsidRDefault="00853C4A" w:rsidP="00561DC3">
      <w:pPr>
        <w:jc w:val="both"/>
        <w:rPr>
          <w:rFonts w:ascii="Calibri" w:hAnsi="Calibri" w:cs="Calibri"/>
          <w:sz w:val="22"/>
          <w:szCs w:val="22"/>
        </w:rPr>
      </w:pPr>
    </w:p>
    <w:p w14:paraId="3E026322" w14:textId="77777777" w:rsidR="00711877" w:rsidRPr="00CC33BF" w:rsidRDefault="00711877" w:rsidP="0071187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C33BF">
        <w:rPr>
          <w:rFonts w:ascii="Calibri" w:hAnsi="Calibri" w:cs="Calibri"/>
          <w:b/>
          <w:bCs/>
          <w:sz w:val="22"/>
          <w:szCs w:val="22"/>
        </w:rPr>
        <w:t>Środki z emisji jako paliwo dla transformacji</w:t>
      </w:r>
    </w:p>
    <w:p w14:paraId="397A0D3B" w14:textId="76CCF5D9" w:rsidR="00E22FD8" w:rsidRDefault="00711877" w:rsidP="0074663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 zauważają analitycy Alior Banku wzrost kosztów </w:t>
      </w:r>
      <w:r w:rsidRPr="001B409C">
        <w:rPr>
          <w:rFonts w:ascii="Calibri" w:hAnsi="Calibri" w:cs="Calibri"/>
          <w:sz w:val="22"/>
          <w:szCs w:val="22"/>
        </w:rPr>
        <w:t xml:space="preserve">ma jednak swoją przeciwwagę w postaci </w:t>
      </w:r>
      <w:r w:rsidR="00931D9A">
        <w:rPr>
          <w:rFonts w:ascii="Calibri" w:hAnsi="Calibri" w:cs="Calibri"/>
          <w:sz w:val="22"/>
          <w:szCs w:val="22"/>
        </w:rPr>
        <w:t xml:space="preserve">unijnych </w:t>
      </w:r>
      <w:r w:rsidRPr="001B409C">
        <w:rPr>
          <w:rFonts w:ascii="Calibri" w:hAnsi="Calibri" w:cs="Calibri"/>
          <w:sz w:val="22"/>
          <w:szCs w:val="22"/>
        </w:rPr>
        <w:t>mechanizmów wsparcia</w:t>
      </w:r>
      <w:r>
        <w:rPr>
          <w:rFonts w:ascii="Calibri" w:hAnsi="Calibri" w:cs="Calibri"/>
          <w:sz w:val="22"/>
          <w:szCs w:val="22"/>
        </w:rPr>
        <w:t>. Ś</w:t>
      </w:r>
      <w:r w:rsidRPr="00ED0B89">
        <w:rPr>
          <w:rFonts w:ascii="Calibri" w:hAnsi="Calibri" w:cs="Calibri"/>
          <w:sz w:val="22"/>
          <w:szCs w:val="22"/>
        </w:rPr>
        <w:t xml:space="preserve">rodki pozyskane ze sprzedaży certyfikatów EUA </w:t>
      </w:r>
      <w:r>
        <w:rPr>
          <w:rFonts w:ascii="Calibri" w:hAnsi="Calibri" w:cs="Calibri"/>
          <w:sz w:val="22"/>
          <w:szCs w:val="22"/>
        </w:rPr>
        <w:t>mają zasilać</w:t>
      </w:r>
      <w:r w:rsidRPr="00ED0B89">
        <w:rPr>
          <w:rFonts w:ascii="Calibri" w:hAnsi="Calibri" w:cs="Calibri"/>
          <w:sz w:val="22"/>
          <w:szCs w:val="22"/>
        </w:rPr>
        <w:t xml:space="preserve"> m.in. Społeczny Fundusz Klimatyczny (SCF) oraz budżety państw członkowskich. Według założeń, to właśnie Polska ma zostać największym beneficjentem funduszu SCF, z możliwością pozyskania nawet</w:t>
      </w:r>
      <w:r w:rsidRPr="005E6DB5">
        <w:rPr>
          <w:rFonts w:ascii="Calibri" w:hAnsi="Calibri" w:cs="Calibri"/>
          <w:sz w:val="22"/>
          <w:szCs w:val="22"/>
        </w:rPr>
        <w:t xml:space="preserve"> </w:t>
      </w:r>
      <w:r w:rsidRPr="00ED0B89">
        <w:rPr>
          <w:rFonts w:ascii="Calibri" w:hAnsi="Calibri" w:cs="Calibri"/>
          <w:sz w:val="22"/>
          <w:szCs w:val="22"/>
        </w:rPr>
        <w:t>11,4 mld EUR</w:t>
      </w:r>
      <w:r w:rsidR="003921E7">
        <w:rPr>
          <w:rFonts w:ascii="Calibri" w:hAnsi="Calibri" w:cs="Calibri"/>
          <w:sz w:val="22"/>
          <w:szCs w:val="22"/>
        </w:rPr>
        <w:t xml:space="preserve">, czyli aż </w:t>
      </w:r>
      <w:r w:rsidRPr="00ED0B89">
        <w:rPr>
          <w:rFonts w:ascii="Calibri" w:hAnsi="Calibri" w:cs="Calibri"/>
          <w:sz w:val="22"/>
          <w:szCs w:val="22"/>
        </w:rPr>
        <w:t xml:space="preserve">17,6% </w:t>
      </w:r>
      <w:r>
        <w:rPr>
          <w:rFonts w:ascii="Calibri" w:hAnsi="Calibri" w:cs="Calibri"/>
          <w:sz w:val="22"/>
          <w:szCs w:val="22"/>
        </w:rPr>
        <w:t>całej</w:t>
      </w:r>
      <w:r w:rsidRPr="00ED0B89">
        <w:rPr>
          <w:rFonts w:ascii="Calibri" w:hAnsi="Calibri" w:cs="Calibri"/>
          <w:sz w:val="22"/>
          <w:szCs w:val="22"/>
        </w:rPr>
        <w:t xml:space="preserve"> puli środków. </w:t>
      </w:r>
    </w:p>
    <w:p w14:paraId="68525E92" w14:textId="644B9C39" w:rsidR="00746639" w:rsidRPr="009D5C6E" w:rsidRDefault="00434CE3" w:rsidP="0074663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34CE3">
        <w:rPr>
          <w:rFonts w:ascii="Calibri" w:hAnsi="Calibri" w:cs="Calibri"/>
          <w:b/>
          <w:bCs/>
          <w:sz w:val="22"/>
          <w:szCs w:val="22"/>
        </w:rPr>
        <w:lastRenderedPageBreak/>
        <w:t>Wpływ na przedsiębiorstwa</w:t>
      </w:r>
    </w:p>
    <w:p w14:paraId="0067F55A" w14:textId="77170A04" w:rsidR="00746639" w:rsidRPr="00746639" w:rsidRDefault="00746639" w:rsidP="00746639">
      <w:pPr>
        <w:jc w:val="both"/>
        <w:rPr>
          <w:rFonts w:ascii="Calibri" w:hAnsi="Calibri" w:cs="Calibri"/>
          <w:sz w:val="22"/>
          <w:szCs w:val="22"/>
        </w:rPr>
      </w:pPr>
      <w:r w:rsidRPr="00746639">
        <w:rPr>
          <w:rFonts w:ascii="Calibri" w:hAnsi="Calibri" w:cs="Calibri"/>
          <w:sz w:val="22"/>
          <w:szCs w:val="22"/>
        </w:rPr>
        <w:t xml:space="preserve">Wprowadzenie nowej architektury opłat </w:t>
      </w:r>
      <w:r w:rsidR="29C45EFB" w:rsidRPr="271572E0">
        <w:rPr>
          <w:rFonts w:ascii="Calibri" w:hAnsi="Calibri" w:cs="Calibri"/>
          <w:sz w:val="22"/>
          <w:szCs w:val="22"/>
        </w:rPr>
        <w:t xml:space="preserve">dotknie </w:t>
      </w:r>
      <w:r w:rsidR="00803C9D" w:rsidRPr="271572E0">
        <w:rPr>
          <w:rFonts w:ascii="Calibri" w:hAnsi="Calibri" w:cs="Calibri"/>
          <w:sz w:val="22"/>
          <w:szCs w:val="22"/>
        </w:rPr>
        <w:t>jednak</w:t>
      </w:r>
      <w:r w:rsidR="00803C9D">
        <w:rPr>
          <w:rFonts w:ascii="Calibri" w:hAnsi="Calibri" w:cs="Calibri"/>
          <w:sz w:val="22"/>
          <w:szCs w:val="22"/>
        </w:rPr>
        <w:t xml:space="preserve"> </w:t>
      </w:r>
      <w:r w:rsidRPr="00746639">
        <w:rPr>
          <w:rFonts w:ascii="Calibri" w:hAnsi="Calibri" w:cs="Calibri"/>
          <w:sz w:val="22"/>
          <w:szCs w:val="22"/>
        </w:rPr>
        <w:t xml:space="preserve">nie tylko </w:t>
      </w:r>
      <w:r w:rsidR="00AE4108">
        <w:rPr>
          <w:rFonts w:ascii="Calibri" w:hAnsi="Calibri" w:cs="Calibri"/>
          <w:sz w:val="22"/>
          <w:szCs w:val="22"/>
        </w:rPr>
        <w:t>ki</w:t>
      </w:r>
      <w:r w:rsidR="00F73BBE">
        <w:rPr>
          <w:rFonts w:ascii="Calibri" w:hAnsi="Calibri" w:cs="Calibri"/>
          <w:sz w:val="22"/>
          <w:szCs w:val="22"/>
        </w:rPr>
        <w:t>er</w:t>
      </w:r>
      <w:r w:rsidR="00A64AB1">
        <w:rPr>
          <w:rFonts w:ascii="Calibri" w:hAnsi="Calibri" w:cs="Calibri"/>
          <w:sz w:val="22"/>
          <w:szCs w:val="22"/>
        </w:rPr>
        <w:t>owcó</w:t>
      </w:r>
      <w:r w:rsidR="00127F83">
        <w:rPr>
          <w:rFonts w:ascii="Calibri" w:hAnsi="Calibri" w:cs="Calibri"/>
          <w:sz w:val="22"/>
          <w:szCs w:val="22"/>
        </w:rPr>
        <w:t>w</w:t>
      </w:r>
      <w:r w:rsidR="00A173AC" w:rsidRPr="00A173AC">
        <w:t xml:space="preserve"> </w:t>
      </w:r>
      <w:r w:rsidR="00A173AC">
        <w:t xml:space="preserve">i </w:t>
      </w:r>
      <w:r w:rsidR="00A173AC" w:rsidRPr="00A173AC">
        <w:rPr>
          <w:rFonts w:ascii="Calibri" w:hAnsi="Calibri" w:cs="Calibri"/>
          <w:sz w:val="22"/>
          <w:szCs w:val="22"/>
        </w:rPr>
        <w:t xml:space="preserve">budżety domowe, ale również </w:t>
      </w:r>
      <w:r w:rsidR="42D2ED0A" w:rsidRPr="22226C19">
        <w:rPr>
          <w:rFonts w:ascii="Calibri" w:hAnsi="Calibri" w:cs="Calibri"/>
          <w:sz w:val="22"/>
          <w:szCs w:val="22"/>
        </w:rPr>
        <w:t>może</w:t>
      </w:r>
      <w:r w:rsidR="00A14EC9">
        <w:rPr>
          <w:rFonts w:ascii="Calibri" w:hAnsi="Calibri" w:cs="Calibri"/>
          <w:sz w:val="22"/>
          <w:szCs w:val="22"/>
        </w:rPr>
        <w:t xml:space="preserve"> </w:t>
      </w:r>
      <w:r w:rsidR="00A173AC" w:rsidRPr="2408CF10">
        <w:rPr>
          <w:rFonts w:ascii="Calibri" w:hAnsi="Calibri" w:cs="Calibri"/>
          <w:sz w:val="22"/>
          <w:szCs w:val="22"/>
        </w:rPr>
        <w:t>negatywnie</w:t>
      </w:r>
      <w:r w:rsidR="00A173AC">
        <w:rPr>
          <w:rFonts w:ascii="Calibri" w:hAnsi="Calibri" w:cs="Calibri"/>
          <w:sz w:val="22"/>
          <w:szCs w:val="22"/>
        </w:rPr>
        <w:t xml:space="preserve"> </w:t>
      </w:r>
      <w:r w:rsidR="00A173AC" w:rsidRPr="5289534E">
        <w:rPr>
          <w:rFonts w:ascii="Calibri" w:hAnsi="Calibri" w:cs="Calibri"/>
          <w:sz w:val="22"/>
          <w:szCs w:val="22"/>
        </w:rPr>
        <w:t>wpły</w:t>
      </w:r>
      <w:r w:rsidR="762BC6D2" w:rsidRPr="5289534E">
        <w:rPr>
          <w:rFonts w:ascii="Calibri" w:hAnsi="Calibri" w:cs="Calibri"/>
          <w:sz w:val="22"/>
          <w:szCs w:val="22"/>
        </w:rPr>
        <w:t xml:space="preserve">nąć </w:t>
      </w:r>
      <w:r w:rsidR="00A173AC" w:rsidRPr="00A173AC">
        <w:rPr>
          <w:rFonts w:ascii="Calibri" w:hAnsi="Calibri" w:cs="Calibri"/>
          <w:sz w:val="22"/>
          <w:szCs w:val="22"/>
        </w:rPr>
        <w:t>na kondycję sektora przedsiębiorstw, ze szczególnym uwzględnieniem segmentu MŚP.</w:t>
      </w:r>
      <w:r w:rsidRPr="00746639">
        <w:rPr>
          <w:rFonts w:ascii="Calibri" w:hAnsi="Calibri" w:cs="Calibri"/>
          <w:sz w:val="22"/>
          <w:szCs w:val="22"/>
        </w:rPr>
        <w:t xml:space="preserve"> Do grup najbardziej narażonych na wzrost kosztów </w:t>
      </w:r>
      <w:r w:rsidR="00663D85">
        <w:rPr>
          <w:rFonts w:ascii="Calibri" w:hAnsi="Calibri" w:cs="Calibri"/>
          <w:sz w:val="22"/>
          <w:szCs w:val="22"/>
        </w:rPr>
        <w:t xml:space="preserve">operacyjnych </w:t>
      </w:r>
      <w:r w:rsidRPr="00746639">
        <w:rPr>
          <w:rFonts w:ascii="Calibri" w:hAnsi="Calibri" w:cs="Calibri"/>
          <w:sz w:val="22"/>
          <w:szCs w:val="22"/>
        </w:rPr>
        <w:t>analitycy</w:t>
      </w:r>
      <w:r w:rsidR="00D40D61">
        <w:rPr>
          <w:rFonts w:ascii="Calibri" w:hAnsi="Calibri" w:cs="Calibri"/>
          <w:sz w:val="22"/>
          <w:szCs w:val="22"/>
        </w:rPr>
        <w:t xml:space="preserve"> Alior Banku</w:t>
      </w:r>
      <w:r w:rsidRPr="00746639">
        <w:rPr>
          <w:rFonts w:ascii="Calibri" w:hAnsi="Calibri" w:cs="Calibri"/>
          <w:sz w:val="22"/>
          <w:szCs w:val="22"/>
        </w:rPr>
        <w:t xml:space="preserve"> zaliczają</w:t>
      </w:r>
      <w:r w:rsidR="004A54FA" w:rsidRPr="004A54FA">
        <w:t xml:space="preserve"> </w:t>
      </w:r>
      <w:r w:rsidR="004A54FA" w:rsidRPr="004A54FA">
        <w:rPr>
          <w:rFonts w:ascii="Calibri" w:hAnsi="Calibri" w:cs="Calibri"/>
          <w:sz w:val="22"/>
          <w:szCs w:val="22"/>
        </w:rPr>
        <w:t>branże, w których transport oraz ciepło procesowe stanowią kluczowy element marży.</w:t>
      </w:r>
      <w:r w:rsidR="00D40D61">
        <w:rPr>
          <w:rFonts w:ascii="Calibri" w:hAnsi="Calibri" w:cs="Calibri"/>
          <w:sz w:val="22"/>
          <w:szCs w:val="22"/>
        </w:rPr>
        <w:t xml:space="preserve"> </w:t>
      </w:r>
      <w:r w:rsidR="002D63CF">
        <w:rPr>
          <w:rFonts w:ascii="Calibri" w:hAnsi="Calibri" w:cs="Calibri"/>
          <w:sz w:val="22"/>
          <w:szCs w:val="22"/>
        </w:rPr>
        <w:t xml:space="preserve">Są to przede wszystkim </w:t>
      </w:r>
      <w:r w:rsidRPr="00746639">
        <w:rPr>
          <w:rFonts w:ascii="Calibri" w:hAnsi="Calibri" w:cs="Calibri"/>
          <w:sz w:val="22"/>
          <w:szCs w:val="22"/>
        </w:rPr>
        <w:t xml:space="preserve">przemysł spożywczy (w tym </w:t>
      </w:r>
      <w:r w:rsidR="00B04631">
        <w:rPr>
          <w:rFonts w:ascii="Calibri" w:hAnsi="Calibri" w:cs="Calibri"/>
          <w:sz w:val="22"/>
          <w:szCs w:val="22"/>
        </w:rPr>
        <w:t>pie</w:t>
      </w:r>
      <w:r w:rsidR="00E63238">
        <w:rPr>
          <w:rFonts w:ascii="Calibri" w:hAnsi="Calibri" w:cs="Calibri"/>
          <w:sz w:val="22"/>
          <w:szCs w:val="22"/>
        </w:rPr>
        <w:t>karnie</w:t>
      </w:r>
      <w:r w:rsidRPr="00746639">
        <w:rPr>
          <w:rFonts w:ascii="Calibri" w:hAnsi="Calibri" w:cs="Calibri"/>
          <w:sz w:val="22"/>
          <w:szCs w:val="22"/>
        </w:rPr>
        <w:t>),</w:t>
      </w:r>
      <w:r w:rsidR="00D40D61">
        <w:rPr>
          <w:rFonts w:ascii="Calibri" w:hAnsi="Calibri" w:cs="Calibri"/>
          <w:sz w:val="22"/>
          <w:szCs w:val="22"/>
        </w:rPr>
        <w:t xml:space="preserve"> </w:t>
      </w:r>
      <w:r w:rsidRPr="00746639">
        <w:rPr>
          <w:rFonts w:ascii="Calibri" w:hAnsi="Calibri" w:cs="Calibri"/>
          <w:sz w:val="22"/>
          <w:szCs w:val="22"/>
        </w:rPr>
        <w:t>przemysł lekki, mineralny i szklarski</w:t>
      </w:r>
      <w:r w:rsidR="00D40D61">
        <w:rPr>
          <w:rFonts w:ascii="Calibri" w:hAnsi="Calibri" w:cs="Calibri"/>
          <w:sz w:val="22"/>
          <w:szCs w:val="22"/>
        </w:rPr>
        <w:t xml:space="preserve"> oraz </w:t>
      </w:r>
      <w:r w:rsidR="0009328C" w:rsidRPr="00746639">
        <w:rPr>
          <w:rFonts w:ascii="Calibri" w:hAnsi="Calibri" w:cs="Calibri"/>
          <w:sz w:val="22"/>
          <w:szCs w:val="22"/>
        </w:rPr>
        <w:t>branż</w:t>
      </w:r>
      <w:r w:rsidR="0009328C">
        <w:rPr>
          <w:rFonts w:ascii="Calibri" w:hAnsi="Calibri" w:cs="Calibri"/>
          <w:sz w:val="22"/>
          <w:szCs w:val="22"/>
        </w:rPr>
        <w:t>a</w:t>
      </w:r>
      <w:r w:rsidR="0009328C" w:rsidRPr="00746639">
        <w:rPr>
          <w:rFonts w:ascii="Calibri" w:hAnsi="Calibri" w:cs="Calibri"/>
          <w:sz w:val="22"/>
          <w:szCs w:val="22"/>
        </w:rPr>
        <w:t xml:space="preserve"> </w:t>
      </w:r>
      <w:r w:rsidRPr="00746639">
        <w:rPr>
          <w:rFonts w:ascii="Calibri" w:hAnsi="Calibri" w:cs="Calibri"/>
          <w:sz w:val="22"/>
          <w:szCs w:val="22"/>
        </w:rPr>
        <w:t>HoReCa.</w:t>
      </w:r>
    </w:p>
    <w:p w14:paraId="06E2A95E" w14:textId="6A91FFB7" w:rsidR="00220992" w:rsidRDefault="00746639" w:rsidP="00010BA1">
      <w:pPr>
        <w:jc w:val="both"/>
        <w:rPr>
          <w:rFonts w:ascii="Calibri" w:hAnsi="Calibri" w:cs="Calibri"/>
          <w:sz w:val="22"/>
          <w:szCs w:val="22"/>
        </w:rPr>
      </w:pPr>
      <w:r w:rsidRPr="00746639">
        <w:rPr>
          <w:rFonts w:ascii="Calibri" w:hAnsi="Calibri" w:cs="Calibri"/>
          <w:sz w:val="22"/>
          <w:szCs w:val="22"/>
        </w:rPr>
        <w:t>Choć system ma</w:t>
      </w:r>
      <w:r w:rsidR="007C22E7" w:rsidRPr="007C22E7">
        <w:rPr>
          <w:rFonts w:ascii="Calibri" w:hAnsi="Calibri" w:cs="Calibri"/>
          <w:sz w:val="22"/>
          <w:szCs w:val="22"/>
        </w:rPr>
        <w:t xml:space="preserve"> </w:t>
      </w:r>
      <w:r w:rsidR="007C22E7" w:rsidRPr="00746639">
        <w:rPr>
          <w:rFonts w:ascii="Calibri" w:hAnsi="Calibri" w:cs="Calibri"/>
          <w:sz w:val="22"/>
          <w:szCs w:val="22"/>
        </w:rPr>
        <w:t>docelowo</w:t>
      </w:r>
      <w:r w:rsidRPr="00746639">
        <w:rPr>
          <w:rFonts w:ascii="Calibri" w:hAnsi="Calibri" w:cs="Calibri"/>
          <w:sz w:val="22"/>
          <w:szCs w:val="22"/>
        </w:rPr>
        <w:t xml:space="preserve"> doprowadzić do redukcji emisji w </w:t>
      </w:r>
      <w:r w:rsidR="000E7547">
        <w:rPr>
          <w:rFonts w:ascii="Calibri" w:hAnsi="Calibri" w:cs="Calibri"/>
          <w:sz w:val="22"/>
          <w:szCs w:val="22"/>
        </w:rPr>
        <w:t>wyb</w:t>
      </w:r>
      <w:r w:rsidR="00CD2E6C">
        <w:rPr>
          <w:rFonts w:ascii="Calibri" w:hAnsi="Calibri" w:cs="Calibri"/>
          <w:sz w:val="22"/>
          <w:szCs w:val="22"/>
        </w:rPr>
        <w:t>ranych</w:t>
      </w:r>
      <w:r w:rsidR="000E7547" w:rsidRPr="00746639">
        <w:rPr>
          <w:rFonts w:ascii="Calibri" w:hAnsi="Calibri" w:cs="Calibri"/>
          <w:sz w:val="22"/>
          <w:szCs w:val="22"/>
        </w:rPr>
        <w:t xml:space="preserve"> </w:t>
      </w:r>
      <w:r w:rsidRPr="00746639">
        <w:rPr>
          <w:rFonts w:ascii="Calibri" w:hAnsi="Calibri" w:cs="Calibri"/>
          <w:sz w:val="22"/>
          <w:szCs w:val="22"/>
        </w:rPr>
        <w:t>sektorach o</w:t>
      </w:r>
      <w:r w:rsidR="00717DB8">
        <w:rPr>
          <w:rFonts w:ascii="Calibri" w:hAnsi="Calibri" w:cs="Calibri"/>
          <w:sz w:val="22"/>
          <w:szCs w:val="22"/>
        </w:rPr>
        <w:t xml:space="preserve"> ponad</w:t>
      </w:r>
      <w:r w:rsidRPr="00746639">
        <w:rPr>
          <w:rFonts w:ascii="Calibri" w:hAnsi="Calibri" w:cs="Calibri"/>
          <w:sz w:val="22"/>
          <w:szCs w:val="22"/>
        </w:rPr>
        <w:t xml:space="preserve"> 25</w:t>
      </w:r>
      <w:r w:rsidR="00BD5F12">
        <w:rPr>
          <w:rFonts w:ascii="Calibri" w:hAnsi="Calibri" w:cs="Calibri"/>
          <w:sz w:val="22"/>
          <w:szCs w:val="22"/>
        </w:rPr>
        <w:t>%</w:t>
      </w:r>
      <w:r w:rsidRPr="00746639">
        <w:rPr>
          <w:rFonts w:ascii="Calibri" w:hAnsi="Calibri" w:cs="Calibri"/>
          <w:sz w:val="22"/>
          <w:szCs w:val="22"/>
        </w:rPr>
        <w:t xml:space="preserve"> do 2031 roku, droga do tego celu będzie wymagała pokonania barier technologicznych</w:t>
      </w:r>
      <w:r w:rsidR="00233720">
        <w:rPr>
          <w:rFonts w:ascii="Calibri" w:hAnsi="Calibri" w:cs="Calibri"/>
          <w:sz w:val="22"/>
          <w:szCs w:val="22"/>
        </w:rPr>
        <w:t xml:space="preserve"> i podażowych. </w:t>
      </w:r>
      <w:r w:rsidR="0009378B" w:rsidRPr="0009378B">
        <w:t xml:space="preserve"> </w:t>
      </w:r>
      <w:r w:rsidR="0009378B" w:rsidRPr="0009378B">
        <w:rPr>
          <w:rFonts w:ascii="Calibri" w:hAnsi="Calibri" w:cs="Calibri"/>
          <w:sz w:val="22"/>
          <w:szCs w:val="22"/>
        </w:rPr>
        <w:t>Wyzwaniem pozostaje m.in. dostępność pomp ciepła oraz wysokie koszty wdrażania zaawansowanych biopaliw.</w:t>
      </w:r>
      <w:r w:rsidR="0009378B">
        <w:rPr>
          <w:rFonts w:ascii="Calibri" w:hAnsi="Calibri" w:cs="Calibri"/>
          <w:sz w:val="22"/>
          <w:szCs w:val="22"/>
        </w:rPr>
        <w:t xml:space="preserve"> </w:t>
      </w:r>
      <w:r w:rsidR="00126360">
        <w:rPr>
          <w:rFonts w:ascii="Calibri" w:hAnsi="Calibri" w:cs="Calibri"/>
          <w:sz w:val="22"/>
          <w:szCs w:val="22"/>
        </w:rPr>
        <w:t>S</w:t>
      </w:r>
      <w:r w:rsidRPr="00746639">
        <w:rPr>
          <w:rFonts w:ascii="Calibri" w:hAnsi="Calibri" w:cs="Calibri"/>
          <w:sz w:val="22"/>
          <w:szCs w:val="22"/>
        </w:rPr>
        <w:t>zansą na obniżenie presji cenowej pozostaje szybka transformacja technologiczna lub potencjalne zmiany w architekturze systemu ETS2, nad którymi trwają obecnie dyskusje na poziomie europejskim.</w:t>
      </w:r>
    </w:p>
    <w:p w14:paraId="3A8F5472" w14:textId="32E5576C" w:rsidR="009B0647" w:rsidRDefault="00220992" w:rsidP="009B0647">
      <w:pPr>
        <w:jc w:val="both"/>
        <w:rPr>
          <w:rFonts w:ascii="Calibri" w:hAnsi="Calibri" w:cs="Calibri"/>
          <w:sz w:val="22"/>
          <w:szCs w:val="22"/>
        </w:rPr>
      </w:pPr>
      <w:r w:rsidRPr="00FA19FE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i/>
          <w:iCs/>
          <w:sz w:val="22"/>
          <w:szCs w:val="22"/>
        </w:rPr>
        <w:t>Potencjalne zmian</w:t>
      </w:r>
      <w:r w:rsidR="009B0647">
        <w:rPr>
          <w:rFonts w:ascii="Calibri" w:hAnsi="Calibri" w:cs="Calibri"/>
          <w:i/>
          <w:iCs/>
          <w:sz w:val="22"/>
          <w:szCs w:val="22"/>
        </w:rPr>
        <w:t>y</w:t>
      </w:r>
      <w:r>
        <w:rPr>
          <w:rFonts w:ascii="Calibri" w:hAnsi="Calibri" w:cs="Calibri"/>
          <w:i/>
          <w:iCs/>
          <w:sz w:val="22"/>
          <w:szCs w:val="22"/>
        </w:rPr>
        <w:t xml:space="preserve"> przepisów w ETS2 obejmować mogą</w:t>
      </w:r>
      <w:r w:rsidR="009B0647">
        <w:rPr>
          <w:rFonts w:ascii="Calibri" w:hAnsi="Calibri" w:cs="Calibri"/>
          <w:i/>
          <w:iCs/>
          <w:sz w:val="22"/>
          <w:szCs w:val="22"/>
        </w:rPr>
        <w:t xml:space="preserve"> zwiększenie </w:t>
      </w:r>
      <w:r>
        <w:rPr>
          <w:rFonts w:ascii="Calibri" w:hAnsi="Calibri" w:cs="Calibri"/>
          <w:i/>
          <w:iCs/>
          <w:sz w:val="22"/>
          <w:szCs w:val="22"/>
        </w:rPr>
        <w:t>dodatkowej puli podaży kontraktów</w:t>
      </w:r>
      <w:r w:rsidR="009B0647">
        <w:rPr>
          <w:rFonts w:ascii="Calibri" w:hAnsi="Calibri" w:cs="Calibri"/>
          <w:i/>
          <w:iCs/>
          <w:sz w:val="22"/>
          <w:szCs w:val="22"/>
        </w:rPr>
        <w:t xml:space="preserve"> z 20 Mt do 40 Mt, która jest emitowana w momencie przekroczenia ceny 45 EUR/EUA (w</w:t>
      </w:r>
      <w:r w:rsidR="0060397F">
        <w:rPr>
          <w:rFonts w:ascii="Calibri" w:hAnsi="Calibri" w:cs="Calibri"/>
          <w:i/>
          <w:iCs/>
          <w:sz w:val="22"/>
          <w:szCs w:val="22"/>
        </w:rPr>
        <w:t> </w:t>
      </w:r>
      <w:r w:rsidR="009B0647">
        <w:rPr>
          <w:rFonts w:ascii="Calibri" w:hAnsi="Calibri" w:cs="Calibri"/>
          <w:i/>
          <w:iCs/>
          <w:sz w:val="22"/>
          <w:szCs w:val="22"/>
        </w:rPr>
        <w:t>cenach stałych 2020 r.). Ten alternatywny scenariusz, według naszych analiz mógłby obniżyć prognozowaną bazową ścieżkę cen średnio od 10</w:t>
      </w:r>
      <w:r w:rsidR="00632A72">
        <w:rPr>
          <w:rFonts w:ascii="Calibri" w:hAnsi="Calibri" w:cs="Calibri"/>
          <w:i/>
          <w:iCs/>
          <w:sz w:val="22"/>
          <w:szCs w:val="22"/>
        </w:rPr>
        <w:t>.</w:t>
      </w:r>
      <w:r w:rsidR="009B0647">
        <w:rPr>
          <w:rFonts w:ascii="Calibri" w:hAnsi="Calibri" w:cs="Calibri"/>
          <w:i/>
          <w:iCs/>
          <w:sz w:val="22"/>
          <w:szCs w:val="22"/>
        </w:rPr>
        <w:t xml:space="preserve"> do 17</w:t>
      </w:r>
      <w:r w:rsidR="00632A72">
        <w:rPr>
          <w:rFonts w:ascii="Calibri" w:hAnsi="Calibri" w:cs="Calibri"/>
          <w:i/>
          <w:iCs/>
          <w:sz w:val="22"/>
          <w:szCs w:val="22"/>
        </w:rPr>
        <w:t xml:space="preserve"> proc.</w:t>
      </w:r>
      <w:r w:rsidR="009B0647">
        <w:rPr>
          <w:rFonts w:ascii="Calibri" w:hAnsi="Calibri" w:cs="Calibri"/>
          <w:i/>
          <w:iCs/>
          <w:sz w:val="22"/>
          <w:szCs w:val="22"/>
        </w:rPr>
        <w:t xml:space="preserve"> Kluczowe znaczenie w tym scenariuszu miałoby tempo tworzenia zapasów prze</w:t>
      </w:r>
      <w:r w:rsidR="00E80FCF">
        <w:rPr>
          <w:rFonts w:ascii="Calibri" w:hAnsi="Calibri" w:cs="Calibri"/>
          <w:i/>
          <w:iCs/>
          <w:sz w:val="22"/>
          <w:szCs w:val="22"/>
        </w:rPr>
        <w:t>z</w:t>
      </w:r>
      <w:r w:rsidR="009B0647">
        <w:rPr>
          <w:rFonts w:ascii="Calibri" w:hAnsi="Calibri" w:cs="Calibri"/>
          <w:i/>
          <w:iCs/>
          <w:sz w:val="22"/>
          <w:szCs w:val="22"/>
        </w:rPr>
        <w:t xml:space="preserve"> uprawnione podmioty. Szczególny spadek presji cenowej odczułyby lata 2030-2031 – </w:t>
      </w:r>
      <w:r w:rsidR="009B0647">
        <w:rPr>
          <w:rFonts w:ascii="Calibri" w:hAnsi="Calibri" w:cs="Calibri"/>
          <w:sz w:val="22"/>
          <w:szCs w:val="22"/>
        </w:rPr>
        <w:t xml:space="preserve">twierdzi </w:t>
      </w:r>
      <w:r w:rsidR="009B0647" w:rsidRPr="005C6EF0">
        <w:rPr>
          <w:rFonts w:ascii="Calibri" w:hAnsi="Calibri" w:cs="Calibri"/>
          <w:b/>
          <w:bCs/>
          <w:sz w:val="22"/>
          <w:szCs w:val="22"/>
        </w:rPr>
        <w:t>Marcin Bogusz</w:t>
      </w:r>
      <w:r w:rsidR="009B0647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B0647" w:rsidRPr="00FA19FE">
        <w:rPr>
          <w:rFonts w:ascii="Calibri" w:hAnsi="Calibri" w:cs="Calibri"/>
          <w:sz w:val="22"/>
          <w:szCs w:val="22"/>
        </w:rPr>
        <w:t xml:space="preserve">specjalista ds. analiz </w:t>
      </w:r>
      <w:r w:rsidR="009B0647">
        <w:rPr>
          <w:rFonts w:ascii="Calibri" w:hAnsi="Calibri" w:cs="Calibri"/>
          <w:sz w:val="22"/>
          <w:szCs w:val="22"/>
        </w:rPr>
        <w:t>sektorowych</w:t>
      </w:r>
      <w:r w:rsidR="009B0647" w:rsidRPr="00FA19FE">
        <w:rPr>
          <w:rFonts w:ascii="Calibri" w:hAnsi="Calibri" w:cs="Calibri"/>
          <w:sz w:val="22"/>
          <w:szCs w:val="22"/>
        </w:rPr>
        <w:t xml:space="preserve"> w Alior Banku</w:t>
      </w:r>
      <w:r w:rsidR="009B0647" w:rsidRPr="005C6EF0">
        <w:rPr>
          <w:rFonts w:ascii="Calibri" w:hAnsi="Calibri" w:cs="Calibri"/>
          <w:sz w:val="22"/>
          <w:szCs w:val="22"/>
        </w:rPr>
        <w:t>.</w:t>
      </w:r>
    </w:p>
    <w:p w14:paraId="4DA9909E" w14:textId="5B6D2F41" w:rsidR="00520D10" w:rsidRPr="00610C7C" w:rsidRDefault="00FE2945">
      <w:pPr>
        <w:rPr>
          <w:rFonts w:ascii="Calibri" w:hAnsi="Calibri" w:cs="Calibri"/>
          <w:sz w:val="22"/>
          <w:szCs w:val="22"/>
        </w:rPr>
      </w:pPr>
      <w:hyperlink r:id="rId14" w:history="1">
        <w:r w:rsidR="00610C7C" w:rsidRPr="00FE2945">
          <w:rPr>
            <w:rStyle w:val="Hipercze"/>
            <w:rFonts w:ascii="Calibri" w:hAnsi="Calibri" w:cs="Calibri"/>
            <w:sz w:val="22"/>
            <w:szCs w:val="22"/>
          </w:rPr>
          <w:t>Pełny raport</w:t>
        </w:r>
      </w:hyperlink>
    </w:p>
    <w:sectPr w:rsidR="00520D10" w:rsidRPr="00610C7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5DE6" w14:textId="77777777" w:rsidR="00E326B5" w:rsidRDefault="00E326B5" w:rsidP="0098494D">
      <w:pPr>
        <w:spacing w:after="0" w:line="240" w:lineRule="auto"/>
      </w:pPr>
      <w:r>
        <w:separator/>
      </w:r>
    </w:p>
  </w:endnote>
  <w:endnote w:type="continuationSeparator" w:id="0">
    <w:p w14:paraId="383E8A93" w14:textId="77777777" w:rsidR="00E326B5" w:rsidRDefault="00E326B5" w:rsidP="0098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0F2D" w14:textId="77777777" w:rsidR="001171C1" w:rsidRPr="00694781" w:rsidRDefault="001171C1" w:rsidP="00BC3787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3A96F17D" w14:textId="77777777" w:rsidR="001171C1" w:rsidRPr="00694781" w:rsidRDefault="001171C1" w:rsidP="00BC3787">
    <w:pPr>
      <w:rPr>
        <w:color w:val="7F7F7F" w:themeColor="text1" w:themeTint="80"/>
        <w:sz w:val="16"/>
        <w:szCs w:val="16"/>
      </w:rPr>
    </w:pPr>
  </w:p>
  <w:p w14:paraId="4BBB0E78" w14:textId="77777777" w:rsidR="001171C1" w:rsidRPr="00694781" w:rsidRDefault="001171C1" w:rsidP="00BC3787">
    <w:pPr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6226E510" w14:textId="77777777" w:rsidR="001171C1" w:rsidRDefault="001171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60BD" w14:textId="77777777" w:rsidR="00E326B5" w:rsidRDefault="00E326B5" w:rsidP="0098494D">
      <w:pPr>
        <w:spacing w:after="0" w:line="240" w:lineRule="auto"/>
      </w:pPr>
      <w:r>
        <w:separator/>
      </w:r>
    </w:p>
  </w:footnote>
  <w:footnote w:type="continuationSeparator" w:id="0">
    <w:p w14:paraId="1656411B" w14:textId="77777777" w:rsidR="00E326B5" w:rsidRDefault="00E326B5" w:rsidP="0098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AF91" w14:textId="77777777" w:rsidR="001171C1" w:rsidRDefault="001171C1">
    <w:r>
      <w:rPr>
        <w:noProof/>
      </w:rPr>
      <w:drawing>
        <wp:inline distT="0" distB="0" distL="0" distR="0" wp14:anchorId="57A43152" wp14:editId="5104EB88">
          <wp:extent cx="1060450" cy="528320"/>
          <wp:effectExtent l="0" t="0" r="6350" b="5080"/>
          <wp:docPr id="6" name="Picture 6" descr="Obraz zawierający żywność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18A65A1-E8F6-4372-8967-FA308D6BBE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Obraz zawierający żywność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45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45"/>
    <w:rsid w:val="00000402"/>
    <w:rsid w:val="000004B6"/>
    <w:rsid w:val="000004E1"/>
    <w:rsid w:val="00000E34"/>
    <w:rsid w:val="0000299C"/>
    <w:rsid w:val="00010BA1"/>
    <w:rsid w:val="00010E6A"/>
    <w:rsid w:val="00011B21"/>
    <w:rsid w:val="00013244"/>
    <w:rsid w:val="0001446B"/>
    <w:rsid w:val="00017EB2"/>
    <w:rsid w:val="00020456"/>
    <w:rsid w:val="00020496"/>
    <w:rsid w:val="00021A2E"/>
    <w:rsid w:val="00024BB3"/>
    <w:rsid w:val="00025094"/>
    <w:rsid w:val="00030EAA"/>
    <w:rsid w:val="00032F98"/>
    <w:rsid w:val="00033F9C"/>
    <w:rsid w:val="00036309"/>
    <w:rsid w:val="0003748A"/>
    <w:rsid w:val="0004181A"/>
    <w:rsid w:val="0004297B"/>
    <w:rsid w:val="000435B4"/>
    <w:rsid w:val="000436EB"/>
    <w:rsid w:val="000551B1"/>
    <w:rsid w:val="000567BF"/>
    <w:rsid w:val="000569B3"/>
    <w:rsid w:val="00057A17"/>
    <w:rsid w:val="000600D3"/>
    <w:rsid w:val="00061135"/>
    <w:rsid w:val="00063251"/>
    <w:rsid w:val="00064E3C"/>
    <w:rsid w:val="00065376"/>
    <w:rsid w:val="0006575B"/>
    <w:rsid w:val="00066DD1"/>
    <w:rsid w:val="00070B9B"/>
    <w:rsid w:val="000747B2"/>
    <w:rsid w:val="00075530"/>
    <w:rsid w:val="000801FC"/>
    <w:rsid w:val="00082C3B"/>
    <w:rsid w:val="000861A0"/>
    <w:rsid w:val="00086AA7"/>
    <w:rsid w:val="00090CDA"/>
    <w:rsid w:val="000911DD"/>
    <w:rsid w:val="0009328C"/>
    <w:rsid w:val="00093297"/>
    <w:rsid w:val="0009378B"/>
    <w:rsid w:val="00093BC1"/>
    <w:rsid w:val="000967F7"/>
    <w:rsid w:val="0009758D"/>
    <w:rsid w:val="000A0C4A"/>
    <w:rsid w:val="000A0D2C"/>
    <w:rsid w:val="000A2766"/>
    <w:rsid w:val="000A2E0E"/>
    <w:rsid w:val="000A3B37"/>
    <w:rsid w:val="000A731E"/>
    <w:rsid w:val="000B2DFC"/>
    <w:rsid w:val="000B5117"/>
    <w:rsid w:val="000C1BEB"/>
    <w:rsid w:val="000C6029"/>
    <w:rsid w:val="000C6C91"/>
    <w:rsid w:val="000D606E"/>
    <w:rsid w:val="000E46D6"/>
    <w:rsid w:val="000E6199"/>
    <w:rsid w:val="000E7547"/>
    <w:rsid w:val="000F1FB8"/>
    <w:rsid w:val="000F28A6"/>
    <w:rsid w:val="000F4B20"/>
    <w:rsid w:val="000F5DB0"/>
    <w:rsid w:val="000F5E37"/>
    <w:rsid w:val="000F6CE2"/>
    <w:rsid w:val="000F7514"/>
    <w:rsid w:val="00100481"/>
    <w:rsid w:val="00104FEA"/>
    <w:rsid w:val="00106B31"/>
    <w:rsid w:val="0010789B"/>
    <w:rsid w:val="00107C68"/>
    <w:rsid w:val="0011033A"/>
    <w:rsid w:val="00111049"/>
    <w:rsid w:val="00111779"/>
    <w:rsid w:val="00113FD8"/>
    <w:rsid w:val="001144D5"/>
    <w:rsid w:val="00116BB1"/>
    <w:rsid w:val="001171C1"/>
    <w:rsid w:val="00120963"/>
    <w:rsid w:val="00121872"/>
    <w:rsid w:val="00121D1C"/>
    <w:rsid w:val="00121F2F"/>
    <w:rsid w:val="0012370A"/>
    <w:rsid w:val="00123BA2"/>
    <w:rsid w:val="0012474B"/>
    <w:rsid w:val="00124EDA"/>
    <w:rsid w:val="00124F46"/>
    <w:rsid w:val="00126360"/>
    <w:rsid w:val="00126CD9"/>
    <w:rsid w:val="00127EDB"/>
    <w:rsid w:val="00127F83"/>
    <w:rsid w:val="001300DB"/>
    <w:rsid w:val="001305A7"/>
    <w:rsid w:val="0013093D"/>
    <w:rsid w:val="00133D49"/>
    <w:rsid w:val="00137EF9"/>
    <w:rsid w:val="00142201"/>
    <w:rsid w:val="00144E3B"/>
    <w:rsid w:val="00145367"/>
    <w:rsid w:val="001454E0"/>
    <w:rsid w:val="00146962"/>
    <w:rsid w:val="0014794A"/>
    <w:rsid w:val="00147E73"/>
    <w:rsid w:val="00152214"/>
    <w:rsid w:val="001535BA"/>
    <w:rsid w:val="001552E8"/>
    <w:rsid w:val="00156DF6"/>
    <w:rsid w:val="0016035B"/>
    <w:rsid w:val="00161010"/>
    <w:rsid w:val="001611C5"/>
    <w:rsid w:val="001644C6"/>
    <w:rsid w:val="001712FE"/>
    <w:rsid w:val="001715F1"/>
    <w:rsid w:val="001770B0"/>
    <w:rsid w:val="001775B5"/>
    <w:rsid w:val="0018067F"/>
    <w:rsid w:val="00183C76"/>
    <w:rsid w:val="0018471F"/>
    <w:rsid w:val="001871FA"/>
    <w:rsid w:val="00191E24"/>
    <w:rsid w:val="0019410A"/>
    <w:rsid w:val="00195922"/>
    <w:rsid w:val="001A03F8"/>
    <w:rsid w:val="001A201F"/>
    <w:rsid w:val="001A24CD"/>
    <w:rsid w:val="001A33A4"/>
    <w:rsid w:val="001A3E2A"/>
    <w:rsid w:val="001B0221"/>
    <w:rsid w:val="001B409C"/>
    <w:rsid w:val="001C2FD9"/>
    <w:rsid w:val="001C4BCB"/>
    <w:rsid w:val="001C72A8"/>
    <w:rsid w:val="001D008A"/>
    <w:rsid w:val="001D1AFD"/>
    <w:rsid w:val="001D318E"/>
    <w:rsid w:val="001D3AC7"/>
    <w:rsid w:val="001D5D64"/>
    <w:rsid w:val="001E2E89"/>
    <w:rsid w:val="001E5592"/>
    <w:rsid w:val="001F34AA"/>
    <w:rsid w:val="001F69A5"/>
    <w:rsid w:val="002038E5"/>
    <w:rsid w:val="00207B6D"/>
    <w:rsid w:val="002123D3"/>
    <w:rsid w:val="0021367A"/>
    <w:rsid w:val="0021411F"/>
    <w:rsid w:val="002146F8"/>
    <w:rsid w:val="0021496D"/>
    <w:rsid w:val="002160AB"/>
    <w:rsid w:val="0022020B"/>
    <w:rsid w:val="0022086D"/>
    <w:rsid w:val="00220992"/>
    <w:rsid w:val="00221546"/>
    <w:rsid w:val="0022157F"/>
    <w:rsid w:val="0022202C"/>
    <w:rsid w:val="002226FB"/>
    <w:rsid w:val="002230B9"/>
    <w:rsid w:val="00224D68"/>
    <w:rsid w:val="00225401"/>
    <w:rsid w:val="002254D3"/>
    <w:rsid w:val="0023071E"/>
    <w:rsid w:val="002324F4"/>
    <w:rsid w:val="00233720"/>
    <w:rsid w:val="00235897"/>
    <w:rsid w:val="00236CBC"/>
    <w:rsid w:val="002375E6"/>
    <w:rsid w:val="0024115B"/>
    <w:rsid w:val="0024579D"/>
    <w:rsid w:val="002462C3"/>
    <w:rsid w:val="002474D4"/>
    <w:rsid w:val="002477D5"/>
    <w:rsid w:val="0025105E"/>
    <w:rsid w:val="00252280"/>
    <w:rsid w:val="0025393D"/>
    <w:rsid w:val="00255201"/>
    <w:rsid w:val="002574F1"/>
    <w:rsid w:val="00260050"/>
    <w:rsid w:val="00261812"/>
    <w:rsid w:val="00263B45"/>
    <w:rsid w:val="00264266"/>
    <w:rsid w:val="00267840"/>
    <w:rsid w:val="0027090B"/>
    <w:rsid w:val="002721BE"/>
    <w:rsid w:val="00274A65"/>
    <w:rsid w:val="00274FC6"/>
    <w:rsid w:val="002761F1"/>
    <w:rsid w:val="00276393"/>
    <w:rsid w:val="002802D6"/>
    <w:rsid w:val="00280445"/>
    <w:rsid w:val="0028142C"/>
    <w:rsid w:val="002826F7"/>
    <w:rsid w:val="00282C27"/>
    <w:rsid w:val="00283D42"/>
    <w:rsid w:val="00286F4F"/>
    <w:rsid w:val="00287B60"/>
    <w:rsid w:val="002915E6"/>
    <w:rsid w:val="00291811"/>
    <w:rsid w:val="00292460"/>
    <w:rsid w:val="0029321B"/>
    <w:rsid w:val="0029325C"/>
    <w:rsid w:val="002948E1"/>
    <w:rsid w:val="00294F48"/>
    <w:rsid w:val="00295BD4"/>
    <w:rsid w:val="00295E6A"/>
    <w:rsid w:val="00295E6E"/>
    <w:rsid w:val="002960CF"/>
    <w:rsid w:val="0029732E"/>
    <w:rsid w:val="0029739E"/>
    <w:rsid w:val="002A2A32"/>
    <w:rsid w:val="002A2D39"/>
    <w:rsid w:val="002A6879"/>
    <w:rsid w:val="002B106E"/>
    <w:rsid w:val="002B125E"/>
    <w:rsid w:val="002B1476"/>
    <w:rsid w:val="002B328F"/>
    <w:rsid w:val="002B46A5"/>
    <w:rsid w:val="002C4571"/>
    <w:rsid w:val="002C5DDE"/>
    <w:rsid w:val="002C78CD"/>
    <w:rsid w:val="002D63CF"/>
    <w:rsid w:val="002D7155"/>
    <w:rsid w:val="002E1933"/>
    <w:rsid w:val="002E1BE1"/>
    <w:rsid w:val="002E2EA7"/>
    <w:rsid w:val="002E3A08"/>
    <w:rsid w:val="002E4698"/>
    <w:rsid w:val="002E7399"/>
    <w:rsid w:val="002E7AA9"/>
    <w:rsid w:val="002E7C40"/>
    <w:rsid w:val="002F2D67"/>
    <w:rsid w:val="002F354A"/>
    <w:rsid w:val="002F7AE2"/>
    <w:rsid w:val="00300850"/>
    <w:rsid w:val="0030424A"/>
    <w:rsid w:val="00305418"/>
    <w:rsid w:val="0030629A"/>
    <w:rsid w:val="00310F45"/>
    <w:rsid w:val="00311602"/>
    <w:rsid w:val="003117C1"/>
    <w:rsid w:val="00312F21"/>
    <w:rsid w:val="00314350"/>
    <w:rsid w:val="00315D0D"/>
    <w:rsid w:val="003215C0"/>
    <w:rsid w:val="00322C51"/>
    <w:rsid w:val="00322E22"/>
    <w:rsid w:val="0032332A"/>
    <w:rsid w:val="00323D1E"/>
    <w:rsid w:val="00323E5F"/>
    <w:rsid w:val="00324060"/>
    <w:rsid w:val="0032472C"/>
    <w:rsid w:val="00326908"/>
    <w:rsid w:val="00330379"/>
    <w:rsid w:val="00332A73"/>
    <w:rsid w:val="0033344F"/>
    <w:rsid w:val="00334B94"/>
    <w:rsid w:val="00336EE8"/>
    <w:rsid w:val="00340C19"/>
    <w:rsid w:val="00343210"/>
    <w:rsid w:val="00344C90"/>
    <w:rsid w:val="00345838"/>
    <w:rsid w:val="00360140"/>
    <w:rsid w:val="00361ACE"/>
    <w:rsid w:val="003625C8"/>
    <w:rsid w:val="00363D0F"/>
    <w:rsid w:val="003643D1"/>
    <w:rsid w:val="0037043E"/>
    <w:rsid w:val="0037158E"/>
    <w:rsid w:val="00372219"/>
    <w:rsid w:val="00372EDC"/>
    <w:rsid w:val="0037599F"/>
    <w:rsid w:val="0038134E"/>
    <w:rsid w:val="00383800"/>
    <w:rsid w:val="00385774"/>
    <w:rsid w:val="003867E0"/>
    <w:rsid w:val="00386EC1"/>
    <w:rsid w:val="00387C5B"/>
    <w:rsid w:val="0039035B"/>
    <w:rsid w:val="0039053B"/>
    <w:rsid w:val="003921E7"/>
    <w:rsid w:val="003930E4"/>
    <w:rsid w:val="0039383B"/>
    <w:rsid w:val="00393CFC"/>
    <w:rsid w:val="003955CA"/>
    <w:rsid w:val="00395B47"/>
    <w:rsid w:val="0039619E"/>
    <w:rsid w:val="00396BD4"/>
    <w:rsid w:val="00396E19"/>
    <w:rsid w:val="003A00C6"/>
    <w:rsid w:val="003A1201"/>
    <w:rsid w:val="003A3336"/>
    <w:rsid w:val="003A63A0"/>
    <w:rsid w:val="003A6D10"/>
    <w:rsid w:val="003B2C47"/>
    <w:rsid w:val="003B3A43"/>
    <w:rsid w:val="003B607E"/>
    <w:rsid w:val="003B7C3E"/>
    <w:rsid w:val="003C274A"/>
    <w:rsid w:val="003C37E9"/>
    <w:rsid w:val="003D3488"/>
    <w:rsid w:val="003D3E4D"/>
    <w:rsid w:val="003D3F4A"/>
    <w:rsid w:val="003D40DA"/>
    <w:rsid w:val="003D4C4F"/>
    <w:rsid w:val="003D6C26"/>
    <w:rsid w:val="003D6DD7"/>
    <w:rsid w:val="003D750F"/>
    <w:rsid w:val="003E187F"/>
    <w:rsid w:val="003E2096"/>
    <w:rsid w:val="003E499C"/>
    <w:rsid w:val="003E52B2"/>
    <w:rsid w:val="003E5E76"/>
    <w:rsid w:val="003E61E1"/>
    <w:rsid w:val="003E6ED7"/>
    <w:rsid w:val="003F0390"/>
    <w:rsid w:val="003F06A2"/>
    <w:rsid w:val="003F16EA"/>
    <w:rsid w:val="003F38FF"/>
    <w:rsid w:val="003F3FB3"/>
    <w:rsid w:val="003F7015"/>
    <w:rsid w:val="004003E1"/>
    <w:rsid w:val="004018FB"/>
    <w:rsid w:val="004034EF"/>
    <w:rsid w:val="00405986"/>
    <w:rsid w:val="00406907"/>
    <w:rsid w:val="004074FC"/>
    <w:rsid w:val="004075B5"/>
    <w:rsid w:val="00417F6A"/>
    <w:rsid w:val="00420D6E"/>
    <w:rsid w:val="00421BDF"/>
    <w:rsid w:val="004334A4"/>
    <w:rsid w:val="00433C65"/>
    <w:rsid w:val="00434CE3"/>
    <w:rsid w:val="00435176"/>
    <w:rsid w:val="0044625C"/>
    <w:rsid w:val="0044671A"/>
    <w:rsid w:val="00450366"/>
    <w:rsid w:val="004517D1"/>
    <w:rsid w:val="00453342"/>
    <w:rsid w:val="00454A6F"/>
    <w:rsid w:val="00462A7F"/>
    <w:rsid w:val="00462DE3"/>
    <w:rsid w:val="00463E5D"/>
    <w:rsid w:val="004704A1"/>
    <w:rsid w:val="00470DE3"/>
    <w:rsid w:val="00470E59"/>
    <w:rsid w:val="0047346C"/>
    <w:rsid w:val="00475706"/>
    <w:rsid w:val="0048094B"/>
    <w:rsid w:val="0048474D"/>
    <w:rsid w:val="004861BA"/>
    <w:rsid w:val="00486248"/>
    <w:rsid w:val="004879D1"/>
    <w:rsid w:val="00492E70"/>
    <w:rsid w:val="00493F74"/>
    <w:rsid w:val="004956C1"/>
    <w:rsid w:val="004968FB"/>
    <w:rsid w:val="004A4500"/>
    <w:rsid w:val="004A54FA"/>
    <w:rsid w:val="004B2291"/>
    <w:rsid w:val="004B3418"/>
    <w:rsid w:val="004B527E"/>
    <w:rsid w:val="004B6FEE"/>
    <w:rsid w:val="004C03EF"/>
    <w:rsid w:val="004C0855"/>
    <w:rsid w:val="004C1216"/>
    <w:rsid w:val="004C1C24"/>
    <w:rsid w:val="004C2EC9"/>
    <w:rsid w:val="004C53A8"/>
    <w:rsid w:val="004D36E1"/>
    <w:rsid w:val="004D4077"/>
    <w:rsid w:val="004D443C"/>
    <w:rsid w:val="004E01CA"/>
    <w:rsid w:val="004E07A5"/>
    <w:rsid w:val="004E2274"/>
    <w:rsid w:val="004E4D1D"/>
    <w:rsid w:val="004E6B64"/>
    <w:rsid w:val="004E6E65"/>
    <w:rsid w:val="004E7E59"/>
    <w:rsid w:val="004F0A4A"/>
    <w:rsid w:val="004F0EC5"/>
    <w:rsid w:val="004F308D"/>
    <w:rsid w:val="004F3AEF"/>
    <w:rsid w:val="004F3E1B"/>
    <w:rsid w:val="004F6059"/>
    <w:rsid w:val="0050013E"/>
    <w:rsid w:val="005005D5"/>
    <w:rsid w:val="00500A9F"/>
    <w:rsid w:val="00503589"/>
    <w:rsid w:val="00504DA2"/>
    <w:rsid w:val="00505239"/>
    <w:rsid w:val="00506E74"/>
    <w:rsid w:val="00512046"/>
    <w:rsid w:val="0051382A"/>
    <w:rsid w:val="00513DD3"/>
    <w:rsid w:val="005146A7"/>
    <w:rsid w:val="00514715"/>
    <w:rsid w:val="00520D10"/>
    <w:rsid w:val="00522F6C"/>
    <w:rsid w:val="00531103"/>
    <w:rsid w:val="0053467A"/>
    <w:rsid w:val="005346A1"/>
    <w:rsid w:val="0053490F"/>
    <w:rsid w:val="0053561D"/>
    <w:rsid w:val="005361FF"/>
    <w:rsid w:val="005362FF"/>
    <w:rsid w:val="0053644A"/>
    <w:rsid w:val="00541135"/>
    <w:rsid w:val="005427BE"/>
    <w:rsid w:val="005430D9"/>
    <w:rsid w:val="00544EDC"/>
    <w:rsid w:val="00545050"/>
    <w:rsid w:val="00547AE1"/>
    <w:rsid w:val="00550792"/>
    <w:rsid w:val="00550F50"/>
    <w:rsid w:val="005542A5"/>
    <w:rsid w:val="00556674"/>
    <w:rsid w:val="00560BD4"/>
    <w:rsid w:val="00561DC3"/>
    <w:rsid w:val="00562643"/>
    <w:rsid w:val="00564F82"/>
    <w:rsid w:val="005663B6"/>
    <w:rsid w:val="00570D12"/>
    <w:rsid w:val="00570D78"/>
    <w:rsid w:val="00571743"/>
    <w:rsid w:val="00573896"/>
    <w:rsid w:val="005739FB"/>
    <w:rsid w:val="00573B9A"/>
    <w:rsid w:val="005826BA"/>
    <w:rsid w:val="00583257"/>
    <w:rsid w:val="00584595"/>
    <w:rsid w:val="005848BD"/>
    <w:rsid w:val="00586C95"/>
    <w:rsid w:val="00591EDE"/>
    <w:rsid w:val="005923EB"/>
    <w:rsid w:val="00592A72"/>
    <w:rsid w:val="00592AA6"/>
    <w:rsid w:val="00596358"/>
    <w:rsid w:val="0059744A"/>
    <w:rsid w:val="005A17D2"/>
    <w:rsid w:val="005A3C33"/>
    <w:rsid w:val="005A5424"/>
    <w:rsid w:val="005A6DF5"/>
    <w:rsid w:val="005B0AFA"/>
    <w:rsid w:val="005B0B9B"/>
    <w:rsid w:val="005B1B61"/>
    <w:rsid w:val="005B1EE1"/>
    <w:rsid w:val="005B2A6D"/>
    <w:rsid w:val="005B38DF"/>
    <w:rsid w:val="005B3D85"/>
    <w:rsid w:val="005B7153"/>
    <w:rsid w:val="005B7A4A"/>
    <w:rsid w:val="005B7D2E"/>
    <w:rsid w:val="005C35C7"/>
    <w:rsid w:val="005C3837"/>
    <w:rsid w:val="005C41EF"/>
    <w:rsid w:val="005C45DD"/>
    <w:rsid w:val="005C63B1"/>
    <w:rsid w:val="005C6EF0"/>
    <w:rsid w:val="005D44E9"/>
    <w:rsid w:val="005D5376"/>
    <w:rsid w:val="005D5913"/>
    <w:rsid w:val="005E2F49"/>
    <w:rsid w:val="005E39C3"/>
    <w:rsid w:val="005E5933"/>
    <w:rsid w:val="005E5BFD"/>
    <w:rsid w:val="005E695F"/>
    <w:rsid w:val="005E6DB5"/>
    <w:rsid w:val="005F0A2A"/>
    <w:rsid w:val="005F18B0"/>
    <w:rsid w:val="005F2228"/>
    <w:rsid w:val="005F231E"/>
    <w:rsid w:val="005F2B2C"/>
    <w:rsid w:val="005F2D2A"/>
    <w:rsid w:val="005F3ED9"/>
    <w:rsid w:val="005F46A7"/>
    <w:rsid w:val="005F6052"/>
    <w:rsid w:val="00600BEE"/>
    <w:rsid w:val="006029BE"/>
    <w:rsid w:val="0060397F"/>
    <w:rsid w:val="00604D0B"/>
    <w:rsid w:val="00604F36"/>
    <w:rsid w:val="00605665"/>
    <w:rsid w:val="00607831"/>
    <w:rsid w:val="00610C7C"/>
    <w:rsid w:val="006149FE"/>
    <w:rsid w:val="0061573D"/>
    <w:rsid w:val="00615D16"/>
    <w:rsid w:val="006162D5"/>
    <w:rsid w:val="00617BF0"/>
    <w:rsid w:val="00622822"/>
    <w:rsid w:val="006236F2"/>
    <w:rsid w:val="0062370D"/>
    <w:rsid w:val="00623989"/>
    <w:rsid w:val="00624668"/>
    <w:rsid w:val="00624EFE"/>
    <w:rsid w:val="00627812"/>
    <w:rsid w:val="00631DE9"/>
    <w:rsid w:val="006327B3"/>
    <w:rsid w:val="00632A72"/>
    <w:rsid w:val="00632B9C"/>
    <w:rsid w:val="00640055"/>
    <w:rsid w:val="0064042C"/>
    <w:rsid w:val="00643D48"/>
    <w:rsid w:val="00644DC9"/>
    <w:rsid w:val="00646D38"/>
    <w:rsid w:val="006527B7"/>
    <w:rsid w:val="00654981"/>
    <w:rsid w:val="00654CA9"/>
    <w:rsid w:val="006555BD"/>
    <w:rsid w:val="0065631E"/>
    <w:rsid w:val="00656A99"/>
    <w:rsid w:val="00661C0E"/>
    <w:rsid w:val="006624EC"/>
    <w:rsid w:val="00662CC0"/>
    <w:rsid w:val="00663208"/>
    <w:rsid w:val="00663692"/>
    <w:rsid w:val="00663D85"/>
    <w:rsid w:val="00663FBF"/>
    <w:rsid w:val="006653E0"/>
    <w:rsid w:val="00665B88"/>
    <w:rsid w:val="00673224"/>
    <w:rsid w:val="00673E94"/>
    <w:rsid w:val="006747A3"/>
    <w:rsid w:val="006763E4"/>
    <w:rsid w:val="006802A4"/>
    <w:rsid w:val="00680768"/>
    <w:rsid w:val="00680E72"/>
    <w:rsid w:val="00681428"/>
    <w:rsid w:val="00682495"/>
    <w:rsid w:val="0068279C"/>
    <w:rsid w:val="00684A58"/>
    <w:rsid w:val="0068635E"/>
    <w:rsid w:val="006870FD"/>
    <w:rsid w:val="0069603E"/>
    <w:rsid w:val="00696B74"/>
    <w:rsid w:val="006A11D1"/>
    <w:rsid w:val="006A341F"/>
    <w:rsid w:val="006A496B"/>
    <w:rsid w:val="006A5345"/>
    <w:rsid w:val="006A68DD"/>
    <w:rsid w:val="006A766E"/>
    <w:rsid w:val="006A7868"/>
    <w:rsid w:val="006B0E59"/>
    <w:rsid w:val="006B0E81"/>
    <w:rsid w:val="006B1C6F"/>
    <w:rsid w:val="006B3C4E"/>
    <w:rsid w:val="006B3EAB"/>
    <w:rsid w:val="006B4409"/>
    <w:rsid w:val="006B5A80"/>
    <w:rsid w:val="006C0A62"/>
    <w:rsid w:val="006C1422"/>
    <w:rsid w:val="006C532F"/>
    <w:rsid w:val="006C54B7"/>
    <w:rsid w:val="006C5E70"/>
    <w:rsid w:val="006C7FDE"/>
    <w:rsid w:val="006D0369"/>
    <w:rsid w:val="006D3260"/>
    <w:rsid w:val="006D3BA8"/>
    <w:rsid w:val="006D4B4E"/>
    <w:rsid w:val="006D5335"/>
    <w:rsid w:val="006D59F7"/>
    <w:rsid w:val="006D6778"/>
    <w:rsid w:val="006E010D"/>
    <w:rsid w:val="006E068B"/>
    <w:rsid w:val="006E0FCB"/>
    <w:rsid w:val="006E3328"/>
    <w:rsid w:val="006E3ED3"/>
    <w:rsid w:val="006E50ED"/>
    <w:rsid w:val="006E6004"/>
    <w:rsid w:val="006E70BE"/>
    <w:rsid w:val="006F3849"/>
    <w:rsid w:val="006F3C46"/>
    <w:rsid w:val="006F42F8"/>
    <w:rsid w:val="006F596A"/>
    <w:rsid w:val="006F63E4"/>
    <w:rsid w:val="00700B28"/>
    <w:rsid w:val="007012D4"/>
    <w:rsid w:val="00701DA5"/>
    <w:rsid w:val="00701FC9"/>
    <w:rsid w:val="007020BB"/>
    <w:rsid w:val="00702411"/>
    <w:rsid w:val="007031A3"/>
    <w:rsid w:val="00703F85"/>
    <w:rsid w:val="0070707F"/>
    <w:rsid w:val="00707C3C"/>
    <w:rsid w:val="007108C5"/>
    <w:rsid w:val="00710D5F"/>
    <w:rsid w:val="00710DEC"/>
    <w:rsid w:val="00710F9A"/>
    <w:rsid w:val="00711877"/>
    <w:rsid w:val="00711A9D"/>
    <w:rsid w:val="00714C37"/>
    <w:rsid w:val="007172CC"/>
    <w:rsid w:val="0071798A"/>
    <w:rsid w:val="00717DB8"/>
    <w:rsid w:val="00721722"/>
    <w:rsid w:val="00723286"/>
    <w:rsid w:val="00724463"/>
    <w:rsid w:val="00725B75"/>
    <w:rsid w:val="00725E66"/>
    <w:rsid w:val="00727C5A"/>
    <w:rsid w:val="00731450"/>
    <w:rsid w:val="007315DA"/>
    <w:rsid w:val="00732C6C"/>
    <w:rsid w:val="00732D4D"/>
    <w:rsid w:val="00735C0E"/>
    <w:rsid w:val="00741444"/>
    <w:rsid w:val="00742148"/>
    <w:rsid w:val="0074320E"/>
    <w:rsid w:val="00746639"/>
    <w:rsid w:val="00747F3C"/>
    <w:rsid w:val="007501EA"/>
    <w:rsid w:val="00751127"/>
    <w:rsid w:val="00754293"/>
    <w:rsid w:val="00757061"/>
    <w:rsid w:val="0076206B"/>
    <w:rsid w:val="007620A4"/>
    <w:rsid w:val="007628C4"/>
    <w:rsid w:val="00763CC1"/>
    <w:rsid w:val="007649F3"/>
    <w:rsid w:val="007714C6"/>
    <w:rsid w:val="0077155F"/>
    <w:rsid w:val="007720F4"/>
    <w:rsid w:val="007736D8"/>
    <w:rsid w:val="00776524"/>
    <w:rsid w:val="0077768E"/>
    <w:rsid w:val="00780E81"/>
    <w:rsid w:val="00781EE2"/>
    <w:rsid w:val="00782CD0"/>
    <w:rsid w:val="00783490"/>
    <w:rsid w:val="0078362F"/>
    <w:rsid w:val="007840D5"/>
    <w:rsid w:val="00784172"/>
    <w:rsid w:val="00784406"/>
    <w:rsid w:val="0078610F"/>
    <w:rsid w:val="00791002"/>
    <w:rsid w:val="00791D94"/>
    <w:rsid w:val="00792011"/>
    <w:rsid w:val="007938AC"/>
    <w:rsid w:val="007A2421"/>
    <w:rsid w:val="007A2E4B"/>
    <w:rsid w:val="007A7863"/>
    <w:rsid w:val="007B1F47"/>
    <w:rsid w:val="007B37DC"/>
    <w:rsid w:val="007B3AF0"/>
    <w:rsid w:val="007B4154"/>
    <w:rsid w:val="007B6AF6"/>
    <w:rsid w:val="007C070D"/>
    <w:rsid w:val="007C2295"/>
    <w:rsid w:val="007C22E7"/>
    <w:rsid w:val="007C244B"/>
    <w:rsid w:val="007C4285"/>
    <w:rsid w:val="007C5419"/>
    <w:rsid w:val="007C5915"/>
    <w:rsid w:val="007C6C1E"/>
    <w:rsid w:val="007C785A"/>
    <w:rsid w:val="007C7C12"/>
    <w:rsid w:val="007C7F80"/>
    <w:rsid w:val="007C7FA2"/>
    <w:rsid w:val="007D0AFB"/>
    <w:rsid w:val="007D1B01"/>
    <w:rsid w:val="007D1D76"/>
    <w:rsid w:val="007D3E7A"/>
    <w:rsid w:val="007E0AB6"/>
    <w:rsid w:val="007E18A8"/>
    <w:rsid w:val="007E1C29"/>
    <w:rsid w:val="007E48AC"/>
    <w:rsid w:val="007E6393"/>
    <w:rsid w:val="007E693A"/>
    <w:rsid w:val="007F456B"/>
    <w:rsid w:val="007F4D3B"/>
    <w:rsid w:val="007F52BB"/>
    <w:rsid w:val="007F5BD3"/>
    <w:rsid w:val="007F7E6A"/>
    <w:rsid w:val="00800983"/>
    <w:rsid w:val="00801FDA"/>
    <w:rsid w:val="00803C9D"/>
    <w:rsid w:val="008044EA"/>
    <w:rsid w:val="00805E6D"/>
    <w:rsid w:val="00810210"/>
    <w:rsid w:val="00810531"/>
    <w:rsid w:val="00811992"/>
    <w:rsid w:val="008121BA"/>
    <w:rsid w:val="0081261A"/>
    <w:rsid w:val="008129EE"/>
    <w:rsid w:val="00813568"/>
    <w:rsid w:val="00814BBB"/>
    <w:rsid w:val="00814BEE"/>
    <w:rsid w:val="00816E67"/>
    <w:rsid w:val="008177EF"/>
    <w:rsid w:val="008202AB"/>
    <w:rsid w:val="0082138C"/>
    <w:rsid w:val="0082589C"/>
    <w:rsid w:val="00830F51"/>
    <w:rsid w:val="00834423"/>
    <w:rsid w:val="008401E0"/>
    <w:rsid w:val="008410CC"/>
    <w:rsid w:val="008429D6"/>
    <w:rsid w:val="00846049"/>
    <w:rsid w:val="00852FC3"/>
    <w:rsid w:val="00853C4A"/>
    <w:rsid w:val="008604B5"/>
    <w:rsid w:val="00861F7F"/>
    <w:rsid w:val="00864106"/>
    <w:rsid w:val="00865389"/>
    <w:rsid w:val="00867E8D"/>
    <w:rsid w:val="00870423"/>
    <w:rsid w:val="0087077D"/>
    <w:rsid w:val="00870B35"/>
    <w:rsid w:val="008712BB"/>
    <w:rsid w:val="00871C46"/>
    <w:rsid w:val="008749B2"/>
    <w:rsid w:val="00876131"/>
    <w:rsid w:val="00876704"/>
    <w:rsid w:val="00876E17"/>
    <w:rsid w:val="00877A48"/>
    <w:rsid w:val="00877BAC"/>
    <w:rsid w:val="00877CF4"/>
    <w:rsid w:val="00880F8D"/>
    <w:rsid w:val="008837DA"/>
    <w:rsid w:val="0088741B"/>
    <w:rsid w:val="0088763C"/>
    <w:rsid w:val="00887BD4"/>
    <w:rsid w:val="00890159"/>
    <w:rsid w:val="00890A8A"/>
    <w:rsid w:val="00890C37"/>
    <w:rsid w:val="008923D2"/>
    <w:rsid w:val="0089603A"/>
    <w:rsid w:val="00896D6E"/>
    <w:rsid w:val="008A1703"/>
    <w:rsid w:val="008A278D"/>
    <w:rsid w:val="008A2899"/>
    <w:rsid w:val="008A2F9B"/>
    <w:rsid w:val="008A4179"/>
    <w:rsid w:val="008B1CF2"/>
    <w:rsid w:val="008B4A49"/>
    <w:rsid w:val="008C4B3E"/>
    <w:rsid w:val="008C62A8"/>
    <w:rsid w:val="008C67D2"/>
    <w:rsid w:val="008C68A9"/>
    <w:rsid w:val="008D06F2"/>
    <w:rsid w:val="008D4B36"/>
    <w:rsid w:val="008D60FE"/>
    <w:rsid w:val="008E3F0F"/>
    <w:rsid w:val="008E58A5"/>
    <w:rsid w:val="008E7C6F"/>
    <w:rsid w:val="008F047D"/>
    <w:rsid w:val="008F05A9"/>
    <w:rsid w:val="008F1839"/>
    <w:rsid w:val="008F4897"/>
    <w:rsid w:val="008F58B5"/>
    <w:rsid w:val="008F59A9"/>
    <w:rsid w:val="008F7CC4"/>
    <w:rsid w:val="009027FE"/>
    <w:rsid w:val="009047C1"/>
    <w:rsid w:val="009075E3"/>
    <w:rsid w:val="00911263"/>
    <w:rsid w:val="009120C5"/>
    <w:rsid w:val="009129B3"/>
    <w:rsid w:val="00917419"/>
    <w:rsid w:val="00920AA0"/>
    <w:rsid w:val="0092117A"/>
    <w:rsid w:val="009231D9"/>
    <w:rsid w:val="00923367"/>
    <w:rsid w:val="00924673"/>
    <w:rsid w:val="00924EFD"/>
    <w:rsid w:val="00930A48"/>
    <w:rsid w:val="00931D9A"/>
    <w:rsid w:val="00932D43"/>
    <w:rsid w:val="0093535B"/>
    <w:rsid w:val="00936B50"/>
    <w:rsid w:val="0093710D"/>
    <w:rsid w:val="00937739"/>
    <w:rsid w:val="00937A58"/>
    <w:rsid w:val="00943A2B"/>
    <w:rsid w:val="009449E7"/>
    <w:rsid w:val="009453BA"/>
    <w:rsid w:val="0095164D"/>
    <w:rsid w:val="0095281A"/>
    <w:rsid w:val="00954886"/>
    <w:rsid w:val="009560DF"/>
    <w:rsid w:val="00960044"/>
    <w:rsid w:val="00960DA1"/>
    <w:rsid w:val="0096137D"/>
    <w:rsid w:val="00962BE2"/>
    <w:rsid w:val="0096304B"/>
    <w:rsid w:val="00967889"/>
    <w:rsid w:val="00972C2A"/>
    <w:rsid w:val="00973BD4"/>
    <w:rsid w:val="00980BA8"/>
    <w:rsid w:val="00981104"/>
    <w:rsid w:val="0098146B"/>
    <w:rsid w:val="009819B1"/>
    <w:rsid w:val="009843BF"/>
    <w:rsid w:val="0098494D"/>
    <w:rsid w:val="00984FF8"/>
    <w:rsid w:val="00986EAA"/>
    <w:rsid w:val="0099145F"/>
    <w:rsid w:val="00993DA0"/>
    <w:rsid w:val="0099442D"/>
    <w:rsid w:val="00996297"/>
    <w:rsid w:val="00996405"/>
    <w:rsid w:val="009A7396"/>
    <w:rsid w:val="009B0647"/>
    <w:rsid w:val="009B2684"/>
    <w:rsid w:val="009B5E5A"/>
    <w:rsid w:val="009C0E1D"/>
    <w:rsid w:val="009C1089"/>
    <w:rsid w:val="009C33FD"/>
    <w:rsid w:val="009C376E"/>
    <w:rsid w:val="009C4AE0"/>
    <w:rsid w:val="009C61AF"/>
    <w:rsid w:val="009C7C41"/>
    <w:rsid w:val="009C7EB9"/>
    <w:rsid w:val="009D4847"/>
    <w:rsid w:val="009D5C6E"/>
    <w:rsid w:val="009D63A9"/>
    <w:rsid w:val="009E3120"/>
    <w:rsid w:val="009E4319"/>
    <w:rsid w:val="009E4B59"/>
    <w:rsid w:val="009F0624"/>
    <w:rsid w:val="009F2D6A"/>
    <w:rsid w:val="009F2FAE"/>
    <w:rsid w:val="009F3D54"/>
    <w:rsid w:val="009F614F"/>
    <w:rsid w:val="00A00DE1"/>
    <w:rsid w:val="00A03EB5"/>
    <w:rsid w:val="00A04C5A"/>
    <w:rsid w:val="00A0521D"/>
    <w:rsid w:val="00A06C8E"/>
    <w:rsid w:val="00A07CD9"/>
    <w:rsid w:val="00A118EF"/>
    <w:rsid w:val="00A137C5"/>
    <w:rsid w:val="00A14373"/>
    <w:rsid w:val="00A14EC9"/>
    <w:rsid w:val="00A16AFA"/>
    <w:rsid w:val="00A173AC"/>
    <w:rsid w:val="00A175AA"/>
    <w:rsid w:val="00A21720"/>
    <w:rsid w:val="00A21F25"/>
    <w:rsid w:val="00A22C13"/>
    <w:rsid w:val="00A237C6"/>
    <w:rsid w:val="00A23A08"/>
    <w:rsid w:val="00A24985"/>
    <w:rsid w:val="00A257E2"/>
    <w:rsid w:val="00A26D6F"/>
    <w:rsid w:val="00A3122F"/>
    <w:rsid w:val="00A323FC"/>
    <w:rsid w:val="00A34C09"/>
    <w:rsid w:val="00A35456"/>
    <w:rsid w:val="00A359E4"/>
    <w:rsid w:val="00A3664B"/>
    <w:rsid w:val="00A37A0F"/>
    <w:rsid w:val="00A43511"/>
    <w:rsid w:val="00A43C3A"/>
    <w:rsid w:val="00A45C04"/>
    <w:rsid w:val="00A46866"/>
    <w:rsid w:val="00A504D5"/>
    <w:rsid w:val="00A50BE7"/>
    <w:rsid w:val="00A514C2"/>
    <w:rsid w:val="00A527A8"/>
    <w:rsid w:val="00A52821"/>
    <w:rsid w:val="00A5367E"/>
    <w:rsid w:val="00A569DC"/>
    <w:rsid w:val="00A56DD8"/>
    <w:rsid w:val="00A574D4"/>
    <w:rsid w:val="00A62FF2"/>
    <w:rsid w:val="00A64AB1"/>
    <w:rsid w:val="00A66CCA"/>
    <w:rsid w:val="00A67B05"/>
    <w:rsid w:val="00A70C40"/>
    <w:rsid w:val="00A71B15"/>
    <w:rsid w:val="00A7289E"/>
    <w:rsid w:val="00A73F77"/>
    <w:rsid w:val="00A748F9"/>
    <w:rsid w:val="00A817C3"/>
    <w:rsid w:val="00A82B1A"/>
    <w:rsid w:val="00A82CA9"/>
    <w:rsid w:val="00A839E5"/>
    <w:rsid w:val="00A85E52"/>
    <w:rsid w:val="00A8610D"/>
    <w:rsid w:val="00A86487"/>
    <w:rsid w:val="00A86FE4"/>
    <w:rsid w:val="00A929F1"/>
    <w:rsid w:val="00A94B3A"/>
    <w:rsid w:val="00A97BF9"/>
    <w:rsid w:val="00AA1011"/>
    <w:rsid w:val="00AA3426"/>
    <w:rsid w:val="00AA69AB"/>
    <w:rsid w:val="00AA7140"/>
    <w:rsid w:val="00AA79B4"/>
    <w:rsid w:val="00AB6685"/>
    <w:rsid w:val="00AB7890"/>
    <w:rsid w:val="00AC1BC1"/>
    <w:rsid w:val="00AC4200"/>
    <w:rsid w:val="00AC5F22"/>
    <w:rsid w:val="00AC62C3"/>
    <w:rsid w:val="00AC753A"/>
    <w:rsid w:val="00AD06E0"/>
    <w:rsid w:val="00AD2E08"/>
    <w:rsid w:val="00AD3832"/>
    <w:rsid w:val="00AD48EE"/>
    <w:rsid w:val="00AD4BCB"/>
    <w:rsid w:val="00AD5A55"/>
    <w:rsid w:val="00AD65BC"/>
    <w:rsid w:val="00AD783D"/>
    <w:rsid w:val="00AD7D21"/>
    <w:rsid w:val="00AE12C6"/>
    <w:rsid w:val="00AE16BD"/>
    <w:rsid w:val="00AE1AE3"/>
    <w:rsid w:val="00AE23A6"/>
    <w:rsid w:val="00AE30BF"/>
    <w:rsid w:val="00AE4108"/>
    <w:rsid w:val="00AE5D2F"/>
    <w:rsid w:val="00AE6BEA"/>
    <w:rsid w:val="00AE7574"/>
    <w:rsid w:val="00AE75B8"/>
    <w:rsid w:val="00AE76E9"/>
    <w:rsid w:val="00AF2A04"/>
    <w:rsid w:val="00AF4162"/>
    <w:rsid w:val="00AF5BA3"/>
    <w:rsid w:val="00AF6794"/>
    <w:rsid w:val="00AF7567"/>
    <w:rsid w:val="00AF7F16"/>
    <w:rsid w:val="00B0013A"/>
    <w:rsid w:val="00B00535"/>
    <w:rsid w:val="00B01A3F"/>
    <w:rsid w:val="00B02C8F"/>
    <w:rsid w:val="00B03423"/>
    <w:rsid w:val="00B04631"/>
    <w:rsid w:val="00B053E1"/>
    <w:rsid w:val="00B05544"/>
    <w:rsid w:val="00B10CEC"/>
    <w:rsid w:val="00B16FED"/>
    <w:rsid w:val="00B177C6"/>
    <w:rsid w:val="00B20574"/>
    <w:rsid w:val="00B22CC1"/>
    <w:rsid w:val="00B266C0"/>
    <w:rsid w:val="00B302FA"/>
    <w:rsid w:val="00B3061C"/>
    <w:rsid w:val="00B30FDF"/>
    <w:rsid w:val="00B311A3"/>
    <w:rsid w:val="00B31DB6"/>
    <w:rsid w:val="00B34877"/>
    <w:rsid w:val="00B3661C"/>
    <w:rsid w:val="00B411B1"/>
    <w:rsid w:val="00B45FA3"/>
    <w:rsid w:val="00B478EC"/>
    <w:rsid w:val="00B509DA"/>
    <w:rsid w:val="00B513ED"/>
    <w:rsid w:val="00B52696"/>
    <w:rsid w:val="00B54302"/>
    <w:rsid w:val="00B54AA7"/>
    <w:rsid w:val="00B554ED"/>
    <w:rsid w:val="00B556C7"/>
    <w:rsid w:val="00B60BF2"/>
    <w:rsid w:val="00B71271"/>
    <w:rsid w:val="00B72912"/>
    <w:rsid w:val="00B72BA8"/>
    <w:rsid w:val="00B74C3E"/>
    <w:rsid w:val="00B75366"/>
    <w:rsid w:val="00B773DD"/>
    <w:rsid w:val="00B77F8F"/>
    <w:rsid w:val="00B80259"/>
    <w:rsid w:val="00B806C6"/>
    <w:rsid w:val="00B80CC9"/>
    <w:rsid w:val="00B81CD4"/>
    <w:rsid w:val="00B83B41"/>
    <w:rsid w:val="00B84901"/>
    <w:rsid w:val="00B8512F"/>
    <w:rsid w:val="00B85452"/>
    <w:rsid w:val="00B87970"/>
    <w:rsid w:val="00B9032D"/>
    <w:rsid w:val="00B93210"/>
    <w:rsid w:val="00B95206"/>
    <w:rsid w:val="00B960B3"/>
    <w:rsid w:val="00BA0061"/>
    <w:rsid w:val="00BA029F"/>
    <w:rsid w:val="00BA0A26"/>
    <w:rsid w:val="00BA0FD0"/>
    <w:rsid w:val="00BA1358"/>
    <w:rsid w:val="00BA292F"/>
    <w:rsid w:val="00BA5AC3"/>
    <w:rsid w:val="00BA5D64"/>
    <w:rsid w:val="00BB22E5"/>
    <w:rsid w:val="00BB50EF"/>
    <w:rsid w:val="00BB63CF"/>
    <w:rsid w:val="00BC1BFF"/>
    <w:rsid w:val="00BC3787"/>
    <w:rsid w:val="00BC4B19"/>
    <w:rsid w:val="00BC562C"/>
    <w:rsid w:val="00BC570F"/>
    <w:rsid w:val="00BC655E"/>
    <w:rsid w:val="00BD086F"/>
    <w:rsid w:val="00BD1332"/>
    <w:rsid w:val="00BD2798"/>
    <w:rsid w:val="00BD2E85"/>
    <w:rsid w:val="00BD3764"/>
    <w:rsid w:val="00BD5F12"/>
    <w:rsid w:val="00BE3A2B"/>
    <w:rsid w:val="00BE3E66"/>
    <w:rsid w:val="00BE45D1"/>
    <w:rsid w:val="00BE476D"/>
    <w:rsid w:val="00BE7572"/>
    <w:rsid w:val="00BF22D7"/>
    <w:rsid w:val="00BF3CD3"/>
    <w:rsid w:val="00BF663E"/>
    <w:rsid w:val="00C06885"/>
    <w:rsid w:val="00C110BA"/>
    <w:rsid w:val="00C1228A"/>
    <w:rsid w:val="00C13378"/>
    <w:rsid w:val="00C22BC6"/>
    <w:rsid w:val="00C235C5"/>
    <w:rsid w:val="00C23C26"/>
    <w:rsid w:val="00C23C3F"/>
    <w:rsid w:val="00C24BE9"/>
    <w:rsid w:val="00C263CE"/>
    <w:rsid w:val="00C328C5"/>
    <w:rsid w:val="00C339B0"/>
    <w:rsid w:val="00C34940"/>
    <w:rsid w:val="00C373F4"/>
    <w:rsid w:val="00C41A13"/>
    <w:rsid w:val="00C41C6B"/>
    <w:rsid w:val="00C47B11"/>
    <w:rsid w:val="00C53FF7"/>
    <w:rsid w:val="00C55C0E"/>
    <w:rsid w:val="00C56DA4"/>
    <w:rsid w:val="00C6311F"/>
    <w:rsid w:val="00C63332"/>
    <w:rsid w:val="00C642EE"/>
    <w:rsid w:val="00C65D48"/>
    <w:rsid w:val="00C66942"/>
    <w:rsid w:val="00C676BE"/>
    <w:rsid w:val="00C70614"/>
    <w:rsid w:val="00C71521"/>
    <w:rsid w:val="00C7184E"/>
    <w:rsid w:val="00C72DB5"/>
    <w:rsid w:val="00C72FFC"/>
    <w:rsid w:val="00C73DD6"/>
    <w:rsid w:val="00C743FB"/>
    <w:rsid w:val="00C74612"/>
    <w:rsid w:val="00C773A8"/>
    <w:rsid w:val="00C816C2"/>
    <w:rsid w:val="00C82308"/>
    <w:rsid w:val="00C85507"/>
    <w:rsid w:val="00C86A92"/>
    <w:rsid w:val="00C8702E"/>
    <w:rsid w:val="00C9089E"/>
    <w:rsid w:val="00C91D1E"/>
    <w:rsid w:val="00C93CF7"/>
    <w:rsid w:val="00C93E89"/>
    <w:rsid w:val="00C95308"/>
    <w:rsid w:val="00C96EC9"/>
    <w:rsid w:val="00CA137E"/>
    <w:rsid w:val="00CA2925"/>
    <w:rsid w:val="00CA6DF6"/>
    <w:rsid w:val="00CA6E97"/>
    <w:rsid w:val="00CA6F6D"/>
    <w:rsid w:val="00CB04A8"/>
    <w:rsid w:val="00CB08EC"/>
    <w:rsid w:val="00CB13E4"/>
    <w:rsid w:val="00CB2FA2"/>
    <w:rsid w:val="00CB4322"/>
    <w:rsid w:val="00CB584E"/>
    <w:rsid w:val="00CB6B96"/>
    <w:rsid w:val="00CB75D7"/>
    <w:rsid w:val="00CB75EE"/>
    <w:rsid w:val="00CB7C4D"/>
    <w:rsid w:val="00CC04C9"/>
    <w:rsid w:val="00CC0919"/>
    <w:rsid w:val="00CC144A"/>
    <w:rsid w:val="00CC193C"/>
    <w:rsid w:val="00CC33BF"/>
    <w:rsid w:val="00CC384A"/>
    <w:rsid w:val="00CC4337"/>
    <w:rsid w:val="00CC4357"/>
    <w:rsid w:val="00CC6B65"/>
    <w:rsid w:val="00CC7AC6"/>
    <w:rsid w:val="00CD223B"/>
    <w:rsid w:val="00CD2629"/>
    <w:rsid w:val="00CD2E6C"/>
    <w:rsid w:val="00CD3800"/>
    <w:rsid w:val="00CD4832"/>
    <w:rsid w:val="00CD4DF2"/>
    <w:rsid w:val="00CD6C44"/>
    <w:rsid w:val="00CE1141"/>
    <w:rsid w:val="00CE1A9B"/>
    <w:rsid w:val="00CE465C"/>
    <w:rsid w:val="00CE536B"/>
    <w:rsid w:val="00CE727F"/>
    <w:rsid w:val="00CE7E4F"/>
    <w:rsid w:val="00CF1744"/>
    <w:rsid w:val="00CF387D"/>
    <w:rsid w:val="00CF3B76"/>
    <w:rsid w:val="00CF5423"/>
    <w:rsid w:val="00CF5E5F"/>
    <w:rsid w:val="00CF656F"/>
    <w:rsid w:val="00D01125"/>
    <w:rsid w:val="00D01A93"/>
    <w:rsid w:val="00D066E8"/>
    <w:rsid w:val="00D116DF"/>
    <w:rsid w:val="00D12FB5"/>
    <w:rsid w:val="00D14E28"/>
    <w:rsid w:val="00D155F1"/>
    <w:rsid w:val="00D2222D"/>
    <w:rsid w:val="00D257C3"/>
    <w:rsid w:val="00D25EDB"/>
    <w:rsid w:val="00D26119"/>
    <w:rsid w:val="00D26757"/>
    <w:rsid w:val="00D3017C"/>
    <w:rsid w:val="00D325F9"/>
    <w:rsid w:val="00D33E65"/>
    <w:rsid w:val="00D3616A"/>
    <w:rsid w:val="00D379F6"/>
    <w:rsid w:val="00D4067B"/>
    <w:rsid w:val="00D408C7"/>
    <w:rsid w:val="00D40D61"/>
    <w:rsid w:val="00D43772"/>
    <w:rsid w:val="00D450EF"/>
    <w:rsid w:val="00D45134"/>
    <w:rsid w:val="00D5081E"/>
    <w:rsid w:val="00D50F8C"/>
    <w:rsid w:val="00D51EEB"/>
    <w:rsid w:val="00D5403C"/>
    <w:rsid w:val="00D55FFF"/>
    <w:rsid w:val="00D649EC"/>
    <w:rsid w:val="00D7398E"/>
    <w:rsid w:val="00D73D69"/>
    <w:rsid w:val="00D743D9"/>
    <w:rsid w:val="00D7473A"/>
    <w:rsid w:val="00D822DF"/>
    <w:rsid w:val="00D832E8"/>
    <w:rsid w:val="00D84B16"/>
    <w:rsid w:val="00D87100"/>
    <w:rsid w:val="00D87FBB"/>
    <w:rsid w:val="00D90781"/>
    <w:rsid w:val="00D90C99"/>
    <w:rsid w:val="00D929EA"/>
    <w:rsid w:val="00D944BB"/>
    <w:rsid w:val="00D97D7B"/>
    <w:rsid w:val="00DA2840"/>
    <w:rsid w:val="00DA2FEB"/>
    <w:rsid w:val="00DA3FD3"/>
    <w:rsid w:val="00DA6281"/>
    <w:rsid w:val="00DA6757"/>
    <w:rsid w:val="00DB0EF7"/>
    <w:rsid w:val="00DB1160"/>
    <w:rsid w:val="00DB1ACB"/>
    <w:rsid w:val="00DB519E"/>
    <w:rsid w:val="00DB5249"/>
    <w:rsid w:val="00DB5561"/>
    <w:rsid w:val="00DB5835"/>
    <w:rsid w:val="00DB7630"/>
    <w:rsid w:val="00DC0323"/>
    <w:rsid w:val="00DC0AC7"/>
    <w:rsid w:val="00DC111C"/>
    <w:rsid w:val="00DC4466"/>
    <w:rsid w:val="00DC7046"/>
    <w:rsid w:val="00DD14CD"/>
    <w:rsid w:val="00DD77DD"/>
    <w:rsid w:val="00DE13D4"/>
    <w:rsid w:val="00DE4B89"/>
    <w:rsid w:val="00DE7032"/>
    <w:rsid w:val="00DF090D"/>
    <w:rsid w:val="00DF0FA0"/>
    <w:rsid w:val="00DF121D"/>
    <w:rsid w:val="00DF1252"/>
    <w:rsid w:val="00E0184C"/>
    <w:rsid w:val="00E01E1E"/>
    <w:rsid w:val="00E044EE"/>
    <w:rsid w:val="00E05264"/>
    <w:rsid w:val="00E05F1E"/>
    <w:rsid w:val="00E063E7"/>
    <w:rsid w:val="00E07FF1"/>
    <w:rsid w:val="00E1034D"/>
    <w:rsid w:val="00E1300E"/>
    <w:rsid w:val="00E1430E"/>
    <w:rsid w:val="00E1522E"/>
    <w:rsid w:val="00E20001"/>
    <w:rsid w:val="00E22FC2"/>
    <w:rsid w:val="00E22FD8"/>
    <w:rsid w:val="00E23696"/>
    <w:rsid w:val="00E2433D"/>
    <w:rsid w:val="00E2548E"/>
    <w:rsid w:val="00E26268"/>
    <w:rsid w:val="00E2658D"/>
    <w:rsid w:val="00E326B5"/>
    <w:rsid w:val="00E34325"/>
    <w:rsid w:val="00E3558B"/>
    <w:rsid w:val="00E372AA"/>
    <w:rsid w:val="00E40569"/>
    <w:rsid w:val="00E44B24"/>
    <w:rsid w:val="00E45675"/>
    <w:rsid w:val="00E45F83"/>
    <w:rsid w:val="00E46D76"/>
    <w:rsid w:val="00E50F67"/>
    <w:rsid w:val="00E57880"/>
    <w:rsid w:val="00E63238"/>
    <w:rsid w:val="00E65427"/>
    <w:rsid w:val="00E70000"/>
    <w:rsid w:val="00E71977"/>
    <w:rsid w:val="00E71C5B"/>
    <w:rsid w:val="00E72396"/>
    <w:rsid w:val="00E73F11"/>
    <w:rsid w:val="00E76B0F"/>
    <w:rsid w:val="00E80CDF"/>
    <w:rsid w:val="00E80FCF"/>
    <w:rsid w:val="00E812B6"/>
    <w:rsid w:val="00E82F95"/>
    <w:rsid w:val="00E83D7E"/>
    <w:rsid w:val="00E8556A"/>
    <w:rsid w:val="00E86372"/>
    <w:rsid w:val="00E90409"/>
    <w:rsid w:val="00E91580"/>
    <w:rsid w:val="00E94BDA"/>
    <w:rsid w:val="00E970EB"/>
    <w:rsid w:val="00EA3651"/>
    <w:rsid w:val="00EA648B"/>
    <w:rsid w:val="00EA7DF5"/>
    <w:rsid w:val="00EB0FFC"/>
    <w:rsid w:val="00EB4AD1"/>
    <w:rsid w:val="00EB6B72"/>
    <w:rsid w:val="00EC1184"/>
    <w:rsid w:val="00EC2526"/>
    <w:rsid w:val="00EC31EB"/>
    <w:rsid w:val="00EC3795"/>
    <w:rsid w:val="00EC43E0"/>
    <w:rsid w:val="00EC6303"/>
    <w:rsid w:val="00ED0B89"/>
    <w:rsid w:val="00ED1155"/>
    <w:rsid w:val="00EE1A28"/>
    <w:rsid w:val="00EE3C92"/>
    <w:rsid w:val="00EF13A4"/>
    <w:rsid w:val="00EF669A"/>
    <w:rsid w:val="00F02C21"/>
    <w:rsid w:val="00F04E6D"/>
    <w:rsid w:val="00F05CF7"/>
    <w:rsid w:val="00F05FA0"/>
    <w:rsid w:val="00F0601A"/>
    <w:rsid w:val="00F113D9"/>
    <w:rsid w:val="00F11657"/>
    <w:rsid w:val="00F12B20"/>
    <w:rsid w:val="00F15221"/>
    <w:rsid w:val="00F153E6"/>
    <w:rsid w:val="00F204BB"/>
    <w:rsid w:val="00F20B83"/>
    <w:rsid w:val="00F22514"/>
    <w:rsid w:val="00F2255F"/>
    <w:rsid w:val="00F22C8B"/>
    <w:rsid w:val="00F35DF5"/>
    <w:rsid w:val="00F36791"/>
    <w:rsid w:val="00F36AA7"/>
    <w:rsid w:val="00F40134"/>
    <w:rsid w:val="00F410D3"/>
    <w:rsid w:val="00F42A45"/>
    <w:rsid w:val="00F4492F"/>
    <w:rsid w:val="00F50FB9"/>
    <w:rsid w:val="00F52164"/>
    <w:rsid w:val="00F53B82"/>
    <w:rsid w:val="00F60475"/>
    <w:rsid w:val="00F62CD5"/>
    <w:rsid w:val="00F65E78"/>
    <w:rsid w:val="00F65F35"/>
    <w:rsid w:val="00F70794"/>
    <w:rsid w:val="00F716B4"/>
    <w:rsid w:val="00F71D7C"/>
    <w:rsid w:val="00F7208D"/>
    <w:rsid w:val="00F72DBA"/>
    <w:rsid w:val="00F72F26"/>
    <w:rsid w:val="00F73BBE"/>
    <w:rsid w:val="00F74B7F"/>
    <w:rsid w:val="00F81816"/>
    <w:rsid w:val="00F82386"/>
    <w:rsid w:val="00F8694B"/>
    <w:rsid w:val="00F90EC9"/>
    <w:rsid w:val="00F91223"/>
    <w:rsid w:val="00F91722"/>
    <w:rsid w:val="00F92222"/>
    <w:rsid w:val="00F92A61"/>
    <w:rsid w:val="00F954EF"/>
    <w:rsid w:val="00F972AC"/>
    <w:rsid w:val="00F978B5"/>
    <w:rsid w:val="00F97A94"/>
    <w:rsid w:val="00FA19FE"/>
    <w:rsid w:val="00FA2318"/>
    <w:rsid w:val="00FA3D2D"/>
    <w:rsid w:val="00FA5D5D"/>
    <w:rsid w:val="00FA652B"/>
    <w:rsid w:val="00FB039C"/>
    <w:rsid w:val="00FB719C"/>
    <w:rsid w:val="00FC39BC"/>
    <w:rsid w:val="00FC4CEC"/>
    <w:rsid w:val="00FC5A51"/>
    <w:rsid w:val="00FC5E94"/>
    <w:rsid w:val="00FD52E1"/>
    <w:rsid w:val="00FD5740"/>
    <w:rsid w:val="00FD625E"/>
    <w:rsid w:val="00FE050F"/>
    <w:rsid w:val="00FE2945"/>
    <w:rsid w:val="00FE3248"/>
    <w:rsid w:val="00FE3B66"/>
    <w:rsid w:val="00FE4651"/>
    <w:rsid w:val="00FE6C17"/>
    <w:rsid w:val="00FF1A9A"/>
    <w:rsid w:val="00FF2796"/>
    <w:rsid w:val="00FF3101"/>
    <w:rsid w:val="00FF3292"/>
    <w:rsid w:val="0219E599"/>
    <w:rsid w:val="04D64E5F"/>
    <w:rsid w:val="08AD0F17"/>
    <w:rsid w:val="08D916ED"/>
    <w:rsid w:val="0963E3A4"/>
    <w:rsid w:val="0C61FE7A"/>
    <w:rsid w:val="0CBC37A0"/>
    <w:rsid w:val="1B4E1552"/>
    <w:rsid w:val="208C13D0"/>
    <w:rsid w:val="22226C19"/>
    <w:rsid w:val="2408CF10"/>
    <w:rsid w:val="2544EC20"/>
    <w:rsid w:val="26F61F4A"/>
    <w:rsid w:val="271572E0"/>
    <w:rsid w:val="287F354F"/>
    <w:rsid w:val="29C45EFB"/>
    <w:rsid w:val="2E0D873D"/>
    <w:rsid w:val="2FB68EAB"/>
    <w:rsid w:val="330E3AA2"/>
    <w:rsid w:val="35274A9E"/>
    <w:rsid w:val="3C95A7F5"/>
    <w:rsid w:val="3D907511"/>
    <w:rsid w:val="409A1CE6"/>
    <w:rsid w:val="42D2ED0A"/>
    <w:rsid w:val="42EC64E3"/>
    <w:rsid w:val="44DBF876"/>
    <w:rsid w:val="48F314BF"/>
    <w:rsid w:val="523CD10A"/>
    <w:rsid w:val="5289534E"/>
    <w:rsid w:val="57DE1BFE"/>
    <w:rsid w:val="58AFFF8F"/>
    <w:rsid w:val="58E2D236"/>
    <w:rsid w:val="5990D140"/>
    <w:rsid w:val="60B182B9"/>
    <w:rsid w:val="64E33517"/>
    <w:rsid w:val="68F4AFD0"/>
    <w:rsid w:val="691E998D"/>
    <w:rsid w:val="6996D8E7"/>
    <w:rsid w:val="745E562C"/>
    <w:rsid w:val="762BC6D2"/>
    <w:rsid w:val="7A194950"/>
    <w:rsid w:val="7C2E0549"/>
    <w:rsid w:val="7FC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F1E9"/>
  <w15:chartTrackingRefBased/>
  <w15:docId w15:val="{BE9D455D-582A-426D-999C-73AD0EDE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445"/>
  </w:style>
  <w:style w:type="paragraph" w:styleId="Nagwek1">
    <w:name w:val="heading 1"/>
    <w:basedOn w:val="Normalny"/>
    <w:next w:val="Normalny"/>
    <w:uiPriority w:val="9"/>
    <w:qFormat/>
    <w:rsid w:val="0028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8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80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8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80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80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80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80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80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semiHidden/>
    <w:unhideWhenUsed/>
    <w:rsid w:val="006A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6A11D1"/>
  </w:style>
  <w:style w:type="paragraph" w:styleId="Stopka">
    <w:name w:val="footer"/>
    <w:basedOn w:val="Normalny"/>
    <w:link w:val="StopkaZnak1"/>
    <w:uiPriority w:val="99"/>
    <w:semiHidden/>
    <w:unhideWhenUsed/>
    <w:rsid w:val="006A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A11D1"/>
  </w:style>
  <w:style w:type="paragraph" w:styleId="Tytu">
    <w:name w:val="Title"/>
    <w:basedOn w:val="Normalny"/>
    <w:next w:val="Normalny"/>
    <w:link w:val="TytuZnak"/>
    <w:uiPriority w:val="10"/>
    <w:qFormat/>
    <w:rsid w:val="009C0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0B9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0B9"/>
    <w:rPr>
      <w:i/>
      <w:iCs/>
      <w:color w:val="0F4761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0E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0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0B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0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445"/>
    <w:rPr>
      <w:i/>
      <w:iCs/>
      <w:color w:val="0F4761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E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0B9"/>
    <w:rPr>
      <w:sz w:val="20"/>
      <w:szCs w:val="20"/>
    </w:rPr>
  </w:style>
  <w:style w:type="character" w:styleId="Odwoanieintensywne">
    <w:name w:val="Intense Reference"/>
    <w:basedOn w:val="Domylnaczcionkaakapitu"/>
    <w:uiPriority w:val="32"/>
    <w:qFormat/>
    <w:rsid w:val="0028044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B61"/>
    <w:rPr>
      <w:sz w:val="16"/>
      <w:szCs w:val="16"/>
    </w:rPr>
  </w:style>
  <w:style w:type="paragraph" w:styleId="Poprawka">
    <w:name w:val="Revision"/>
    <w:hidden/>
    <w:uiPriority w:val="99"/>
    <w:semiHidden/>
    <w:rsid w:val="007C7C12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55F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14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4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6885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223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223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223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2230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2230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223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223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223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2230B9"/>
    <w:rPr>
      <w:rFonts w:eastAsiaTheme="majorEastAsia" w:cstheme="majorBidi"/>
      <w:color w:val="272727" w:themeColor="text1" w:themeTint="D8"/>
    </w:rPr>
  </w:style>
  <w:style w:type="character" w:customStyle="1" w:styleId="NagwekZnak">
    <w:name w:val="Nagłówek Znak"/>
    <w:basedOn w:val="Domylnaczcionkaakapitu"/>
    <w:uiPriority w:val="99"/>
    <w:rsid w:val="002230B9"/>
  </w:style>
  <w:style w:type="character" w:customStyle="1" w:styleId="StopkaZnak">
    <w:name w:val="Stopka Znak"/>
    <w:basedOn w:val="Domylnaczcionkaakapitu"/>
    <w:uiPriority w:val="99"/>
    <w:rsid w:val="0022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iorbank.pl/dodatkowe-informacje/informacje/serwis-ekonomiczny/analizy-sektorowe/analizy-sektorowe-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pi36271\Documents\MIESIECZNE\ETS_narzedzia\Ceny%20paliw%20EU%20ETS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pi36271\Documents\MIESIECZNE\ETS_narzedzia\Ceny%20paliw%20EU%20ETS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pi36271\Documents\MIESIECZNE\ets2excel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pi36271\Documents\MIESIECZNE\ets2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ysClr val="windowText" lastClr="000000"/>
                </a:solidFill>
                <a:latin typeface="Nunito Sans (Tekst podstawowy)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Prognoza scenariuszowa cen uprawnień do emisji CO2 EU ETS 2 (w EUR)</a:t>
            </a:r>
          </a:p>
        </c:rich>
      </c:tx>
      <c:layout>
        <c:manualLayout>
          <c:xMode val="edge"/>
          <c:yMode val="edge"/>
          <c:x val="0.13444399126783518"/>
          <c:y val="7.52445447705041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ysClr val="windowText" lastClr="000000"/>
              </a:solidFill>
              <a:latin typeface="Nunito Sans (Tekst podstawowy)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8412077820526478E-2"/>
          <c:y val="0.14629453926954783"/>
          <c:w val="0.95158792217947352"/>
          <c:h val="0.6448664853687871"/>
        </c:manualLayout>
      </c:layout>
      <c:lineChart>
        <c:grouping val="standard"/>
        <c:varyColors val="0"/>
        <c:ser>
          <c:idx val="0"/>
          <c:order val="0"/>
          <c:tx>
            <c:strRef>
              <c:f>Arkusz2!$C$4</c:f>
              <c:strCache>
                <c:ptCount val="1"/>
                <c:pt idx="0">
                  <c:v>Scenariusz wysoki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3.2332563510392612E-2"/>
                  <c:y val="-5.6113471143420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98-4008-8657-BAE871958E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Arkusz2!$D$3:$G$3</c:f>
              <c:numCache>
                <c:formatCode>General</c:formatCode>
                <c:ptCount val="4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</c:numCache>
            </c:numRef>
          </c:cat>
          <c:val>
            <c:numRef>
              <c:f>Arkusz2!$D$4:$G$4</c:f>
              <c:numCache>
                <c:formatCode>General</c:formatCode>
                <c:ptCount val="4"/>
                <c:pt idx="0">
                  <c:v>78</c:v>
                </c:pt>
                <c:pt idx="1">
                  <c:v>114</c:v>
                </c:pt>
                <c:pt idx="2">
                  <c:v>127</c:v>
                </c:pt>
                <c:pt idx="3">
                  <c:v>165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798-4008-8657-BAE871958E00}"/>
            </c:ext>
          </c:extLst>
        </c:ser>
        <c:ser>
          <c:idx val="1"/>
          <c:order val="1"/>
          <c:tx>
            <c:strRef>
              <c:f>Arkusz2!$C$5</c:f>
              <c:strCache>
                <c:ptCount val="1"/>
                <c:pt idx="0">
                  <c:v>Scenariusz bazowy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6552630690216862E-2"/>
                  <c:y val="9.918060468174423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98-4008-8657-BAE871958E00}"/>
                </c:ext>
              </c:extLst>
            </c:dLbl>
            <c:dLbl>
              <c:idx val="1"/>
              <c:layout>
                <c:manualLayout>
                  <c:x val="-2.7582348973122089E-2"/>
                  <c:y val="-3.95904800838947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98-4008-8657-BAE871958E00}"/>
                </c:ext>
              </c:extLst>
            </c:dLbl>
            <c:dLbl>
              <c:idx val="2"/>
              <c:layout>
                <c:manualLayout>
                  <c:x val="-3.5039673158637999E-2"/>
                  <c:y val="-3.2066025606844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98-4008-8657-BAE871958E00}"/>
                </c:ext>
              </c:extLst>
            </c:dLbl>
            <c:dLbl>
              <c:idx val="3"/>
              <c:layout>
                <c:manualLayout>
                  <c:x val="-7.410152772844159E-3"/>
                  <c:y val="-1.0027548209366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98-4008-8657-BAE871958E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Arkusz2!$D$3:$G$3</c:f>
              <c:numCache>
                <c:formatCode>General</c:formatCode>
                <c:ptCount val="4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</c:numCache>
            </c:numRef>
          </c:cat>
          <c:val>
            <c:numRef>
              <c:f>Arkusz2!$D$5:$G$5</c:f>
              <c:numCache>
                <c:formatCode>0</c:formatCode>
                <c:ptCount val="4"/>
                <c:pt idx="0">
                  <c:v>66</c:v>
                </c:pt>
                <c:pt idx="1">
                  <c:v>87</c:v>
                </c:pt>
                <c:pt idx="2">
                  <c:v>105</c:v>
                </c:pt>
                <c:pt idx="3">
                  <c:v>137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798-4008-8657-BAE871958E00}"/>
            </c:ext>
          </c:extLst>
        </c:ser>
        <c:ser>
          <c:idx val="2"/>
          <c:order val="2"/>
          <c:tx>
            <c:strRef>
              <c:f>Arkusz2!$C$6</c:f>
              <c:strCache>
                <c:ptCount val="1"/>
                <c:pt idx="0">
                  <c:v>Scenariusz niski</c:v>
                </c:pt>
              </c:strCache>
            </c:strRef>
          </c:tx>
          <c:spPr>
            <a:ln w="28575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Arkusz2!$D$3:$G$3</c:f>
              <c:numCache>
                <c:formatCode>General</c:formatCode>
                <c:ptCount val="4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</c:numCache>
            </c:numRef>
          </c:cat>
          <c:val>
            <c:numRef>
              <c:f>Arkusz2!$D$6:$G$6</c:f>
              <c:numCache>
                <c:formatCode>General</c:formatCode>
                <c:ptCount val="4"/>
                <c:pt idx="0">
                  <c:v>60</c:v>
                </c:pt>
                <c:pt idx="1">
                  <c:v>74</c:v>
                </c:pt>
                <c:pt idx="2">
                  <c:v>83</c:v>
                </c:pt>
                <c:pt idx="3">
                  <c:v>106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798-4008-8657-BAE871958E0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51262792"/>
        <c:axId val="951265672"/>
      </c:lineChart>
      <c:catAx>
        <c:axId val="951262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951265672"/>
        <c:crosses val="autoZero"/>
        <c:auto val="1"/>
        <c:lblAlgn val="ctr"/>
        <c:lblOffset val="100"/>
        <c:noMultiLvlLbl val="0"/>
      </c:catAx>
      <c:valAx>
        <c:axId val="951265672"/>
        <c:scaling>
          <c:orientation val="minMax"/>
          <c:max val="18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951262792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4462494357781311E-4"/>
          <c:y val="0.92839264657135245"/>
          <c:w val="0.99935537505642213"/>
          <c:h val="6.98395309281992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Nunito Sans (Tekst podstawowy)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Nunito Sans (Tekst podstawowy)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Prognoza o ile wzrośnie cena 1l paliwa r/r w związku z wprowadzeniem ETS 2 </a:t>
            </a:r>
            <a:br>
              <a:rPr lang="pl-PL" b="1">
                <a:solidFill>
                  <a:sysClr val="windowText" lastClr="000000"/>
                </a:solidFill>
              </a:rPr>
            </a:br>
            <a:r>
              <a:rPr lang="pl-PL" b="1">
                <a:solidFill>
                  <a:sysClr val="windowText" lastClr="000000"/>
                </a:solidFill>
              </a:rPr>
              <a:t>(scenariusz bazowy, PLN, netto)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Nunito Sans (Tekst podstawowy)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4.3668344545734879E-2"/>
          <c:y val="0.22643097994713526"/>
          <c:w val="0.95633165545426513"/>
          <c:h val="0.60897308260870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Arkusz1!$B$27</c:f>
              <c:strCache>
                <c:ptCount val="1"/>
                <c:pt idx="0">
                  <c:v>Benzyna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8921812520611314E-3"/>
                  <c:y val="2.73280131931896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DB-431E-ACBB-407E8EE23904}"/>
                </c:ext>
              </c:extLst>
            </c:dLbl>
            <c:dLbl>
              <c:idx val="1"/>
              <c:layout>
                <c:manualLayout>
                  <c:x val="-1.1856241669414841E-2"/>
                  <c:y val="2.73280131931901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DB-431E-ACBB-407E8EE23904}"/>
                </c:ext>
              </c:extLst>
            </c:dLbl>
            <c:dLbl>
              <c:idx val="2"/>
              <c:layout>
                <c:manualLayout>
                  <c:x val="-2.9640604173538187E-3"/>
                  <c:y val="1.09312052772760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DB-431E-ACBB-407E8EE23904}"/>
                </c:ext>
              </c:extLst>
            </c:dLbl>
            <c:dLbl>
              <c:idx val="3"/>
              <c:layout>
                <c:manualLayout>
                  <c:x val="-8.8921812520611314E-3"/>
                  <c:y val="5.46560263863802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DB-431E-ACBB-407E8EE23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Arkusz1!$C$26:$F$26</c:f>
              <c:numCache>
                <c:formatCode>General</c:formatCode>
                <c:ptCount val="4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</c:numCache>
            </c:numRef>
          </c:cat>
          <c:val>
            <c:numRef>
              <c:f>Arkusz1!$C$27:$F$27</c:f>
              <c:numCache>
                <c:formatCode>0.00</c:formatCode>
                <c:ptCount val="4"/>
                <c:pt idx="0">
                  <c:v>0.64736879129999991</c:v>
                </c:pt>
                <c:pt idx="1">
                  <c:v>0.20798414752499994</c:v>
                </c:pt>
                <c:pt idx="2">
                  <c:v>0.17696957355000009</c:v>
                </c:pt>
                <c:pt idx="3">
                  <c:v>0.31461257519999974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DB-431E-ACBB-407E8EE23904}"/>
            </c:ext>
          </c:extLst>
        </c:ser>
        <c:ser>
          <c:idx val="1"/>
          <c:order val="1"/>
          <c:tx>
            <c:strRef>
              <c:f>Arkusz1!$B$28</c:f>
              <c:strCache>
                <c:ptCount val="1"/>
                <c:pt idx="0">
                  <c:v>Olej napędowy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Arkusz1!$C$26:$F$26</c:f>
              <c:numCache>
                <c:formatCode>General</c:formatCode>
                <c:ptCount val="4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</c:numCache>
            </c:numRef>
          </c:cat>
          <c:val>
            <c:numRef>
              <c:f>Arkusz1!$C$28:$F$28</c:f>
              <c:numCache>
                <c:formatCode>0.00</c:formatCode>
                <c:ptCount val="4"/>
                <c:pt idx="0">
                  <c:v>0.75252249071999988</c:v>
                </c:pt>
                <c:pt idx="1">
                  <c:v>0.24176752235999999</c:v>
                </c:pt>
                <c:pt idx="2">
                  <c:v>0.20571517511999993</c:v>
                </c:pt>
                <c:pt idx="3">
                  <c:v>0.3657158668799998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1DB-431E-ACBB-407E8EE23904}"/>
            </c:ext>
          </c:extLst>
        </c:ser>
        <c:ser>
          <c:idx val="2"/>
          <c:order val="2"/>
          <c:tx>
            <c:strRef>
              <c:f>Arkusz1!$B$29</c:f>
              <c:strCache>
                <c:ptCount val="1"/>
                <c:pt idx="0">
                  <c:v>LPG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185624166941484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1DB-431E-ACBB-407E8EE239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Arkusz1!$C$26:$F$26</c:f>
              <c:numCache>
                <c:formatCode>General</c:formatCode>
                <c:ptCount val="4"/>
                <c:pt idx="0">
                  <c:v>2028</c:v>
                </c:pt>
                <c:pt idx="1">
                  <c:v>2029</c:v>
                </c:pt>
                <c:pt idx="2">
                  <c:v>2030</c:v>
                </c:pt>
                <c:pt idx="3">
                  <c:v>2031</c:v>
                </c:pt>
              </c:numCache>
            </c:numRef>
          </c:cat>
          <c:val>
            <c:numRef>
              <c:f>Arkusz1!$C$29:$F$29</c:f>
              <c:numCache>
                <c:formatCode>0.00</c:formatCode>
                <c:ptCount val="4"/>
                <c:pt idx="0">
                  <c:v>0.45314562823199994</c:v>
                </c:pt>
                <c:pt idx="1">
                  <c:v>0.14558487906599998</c:v>
                </c:pt>
                <c:pt idx="2">
                  <c:v>0.12387527737199999</c:v>
                </c:pt>
                <c:pt idx="3">
                  <c:v>0.22022271532799997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1DB-431E-ACBB-407E8EE239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36628128"/>
        <c:axId val="736619488"/>
      </c:barChart>
      <c:catAx>
        <c:axId val="73662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736619488"/>
        <c:crosses val="autoZero"/>
        <c:auto val="1"/>
        <c:lblAlgn val="ctr"/>
        <c:lblOffset val="100"/>
        <c:noMultiLvlLbl val="0"/>
      </c:catAx>
      <c:valAx>
        <c:axId val="736619488"/>
        <c:scaling>
          <c:orientation val="minMax"/>
        </c:scaling>
        <c:delete val="0"/>
        <c:axPos val="l"/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73662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18755184559459E-2"/>
          <c:y val="0.91182284203217567"/>
          <c:w val="0.92292550303798893"/>
          <c:h val="8.28166648024531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Nunito Sans (Tekst podstawowy)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Nunito Sans (Tekst podstawowy)"/>
        </a:defRPr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Prognoza emisji CO2 w sektorze budynków mieszkalnych </a:t>
            </a:r>
            <a:br>
              <a:rPr lang="pl-PL" b="1">
                <a:solidFill>
                  <a:sysClr val="windowText" lastClr="000000"/>
                </a:solidFill>
              </a:rPr>
            </a:br>
            <a:r>
              <a:rPr lang="pl-PL" b="1">
                <a:solidFill>
                  <a:sysClr val="windowText" lastClr="000000"/>
                </a:solidFill>
              </a:rPr>
              <a:t>i komercyjnych (w Mt)</a:t>
            </a:r>
          </a:p>
        </c:rich>
      </c:tx>
      <c:layout>
        <c:manualLayout>
          <c:xMode val="edge"/>
          <c:yMode val="edge"/>
          <c:x val="0.1732135273313466"/>
          <c:y val="1.73611111111111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Nunito Sans (Tekst podstawowy)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1041585718700471"/>
          <c:y val="0.36483486439195106"/>
          <c:w val="0.88940378321426827"/>
          <c:h val="0.480579478346456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67-4C50-AC10-28B18F4BAB82}"/>
                </c:ext>
              </c:extLst>
            </c:dLbl>
            <c:dLbl>
              <c:idx val="6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67-4C50-AC10-28B18F4BAB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Arkusz2!$D$5:$J$5</c:f>
              <c:numCache>
                <c:formatCode>General</c:formatCod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</c:numCache>
            </c:numRef>
          </c:cat>
          <c:val>
            <c:numRef>
              <c:f>Arkusz2!$D$12:$J$12</c:f>
              <c:numCache>
                <c:formatCode>General</c:formatCode>
                <c:ptCount val="7"/>
                <c:pt idx="0">
                  <c:v>326</c:v>
                </c:pt>
                <c:pt idx="1">
                  <c:v>318.39999999999998</c:v>
                </c:pt>
                <c:pt idx="2">
                  <c:v>297</c:v>
                </c:pt>
                <c:pt idx="3">
                  <c:v>273.89999999999998</c:v>
                </c:pt>
                <c:pt idx="4">
                  <c:v>244.2</c:v>
                </c:pt>
                <c:pt idx="5">
                  <c:v>218</c:v>
                </c:pt>
                <c:pt idx="6">
                  <c:v>192.1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67-4C50-AC10-28B18F4BA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75962920"/>
        <c:axId val="575958600"/>
      </c:lineChart>
      <c:catAx>
        <c:axId val="575962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575958600"/>
        <c:crosses val="autoZero"/>
        <c:auto val="1"/>
        <c:lblAlgn val="ctr"/>
        <c:lblOffset val="100"/>
        <c:noMultiLvlLbl val="0"/>
      </c:catAx>
      <c:valAx>
        <c:axId val="575958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575962920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Nunito Sans (Tekst podstawowy)"/>
        </a:defRPr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r>
              <a:rPr lang="pl-PL" b="1">
                <a:solidFill>
                  <a:sysClr val="windowText" lastClr="000000"/>
                </a:solidFill>
              </a:rPr>
              <a:t>Prognoza emisji CO2 w transporcie lądowym (w Mt)</a:t>
            </a:r>
          </a:p>
        </c:rich>
      </c:tx>
      <c:layout>
        <c:manualLayout>
          <c:xMode val="edge"/>
          <c:yMode val="edge"/>
          <c:x val="0.1719771241830065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Nunito Sans (Tekst podstawowy)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2288655220551334E-2"/>
          <c:y val="0.29620788058390957"/>
          <c:w val="0.92771134477944861"/>
          <c:h val="0.5661702320411573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C1-423D-AEE6-9D5831F2ABA7}"/>
                </c:ext>
              </c:extLst>
            </c:dLbl>
            <c:dLbl>
              <c:idx val="6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C1-423D-AEE6-9D5831F2ABA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Nunito Sans (Tekst podstawowy)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Arkusz2!$D$5:$J$5</c:f>
              <c:numCache>
                <c:formatCode>General</c:formatCode>
                <c:ptCount val="7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</c:numCache>
            </c:numRef>
          </c:cat>
          <c:val>
            <c:numRef>
              <c:f>Arkusz2!$D$6:$J$6</c:f>
              <c:numCache>
                <c:formatCode>General</c:formatCode>
                <c:ptCount val="7"/>
                <c:pt idx="0">
                  <c:v>721.44</c:v>
                </c:pt>
                <c:pt idx="1">
                  <c:v>703.74</c:v>
                </c:pt>
                <c:pt idx="2">
                  <c:v>682.2</c:v>
                </c:pt>
                <c:pt idx="3">
                  <c:v>658.54</c:v>
                </c:pt>
                <c:pt idx="4">
                  <c:v>632.64</c:v>
                </c:pt>
                <c:pt idx="5">
                  <c:v>604.37</c:v>
                </c:pt>
                <c:pt idx="6">
                  <c:v>586.23889999999994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6C1-423D-AEE6-9D5831F2A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75962920"/>
        <c:axId val="575958600"/>
      </c:lineChart>
      <c:catAx>
        <c:axId val="575962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575958600"/>
        <c:crosses val="autoZero"/>
        <c:auto val="1"/>
        <c:lblAlgn val="ctr"/>
        <c:lblOffset val="100"/>
        <c:noMultiLvlLbl val="0"/>
      </c:catAx>
      <c:valAx>
        <c:axId val="575958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Nunito Sans (Tekst podstawowy)"/>
                <a:ea typeface="+mn-ea"/>
                <a:cs typeface="+mn-cs"/>
              </a:defRPr>
            </a:pPr>
            <a:endParaRPr lang="pl-PL"/>
          </a:p>
        </c:txPr>
        <c:crossAx val="575962920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Nunito Sans (Tekst podstawowy)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Alior_colors 02">
    <a:dk1>
      <a:srgbClr val="404040"/>
    </a:dk1>
    <a:lt1>
      <a:srgbClr val="FFFFFF"/>
    </a:lt1>
    <a:dk2>
      <a:srgbClr val="A7ABA9"/>
    </a:dk2>
    <a:lt2>
      <a:srgbClr val="FFFFFF"/>
    </a:lt2>
    <a:accent1>
      <a:srgbClr val="790038"/>
    </a:accent1>
    <a:accent2>
      <a:srgbClr val="FDC600"/>
    </a:accent2>
    <a:accent3>
      <a:srgbClr val="FFD55A"/>
    </a:accent3>
    <a:accent4>
      <a:srgbClr val="FEE097"/>
    </a:accent4>
    <a:accent5>
      <a:srgbClr val="FEF3D6"/>
    </a:accent5>
    <a:accent6>
      <a:srgbClr val="FEF8EA"/>
    </a:accent6>
    <a:hlink>
      <a:srgbClr val="790038"/>
    </a:hlink>
    <a:folHlink>
      <a:srgbClr val="790038"/>
    </a:folHlink>
  </a:clrScheme>
  <a:fontScheme name="Niestandardowy 3">
    <a:majorFont>
      <a:latin typeface="Nunito Sans ExtraBold"/>
      <a:ea typeface=""/>
      <a:cs typeface=""/>
    </a:majorFont>
    <a:minorFont>
      <a:latin typeface="Nunito Sans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Alior_colors 02">
    <a:dk1>
      <a:srgbClr val="404040"/>
    </a:dk1>
    <a:lt1>
      <a:srgbClr val="FFFFFF"/>
    </a:lt1>
    <a:dk2>
      <a:srgbClr val="A7ABA9"/>
    </a:dk2>
    <a:lt2>
      <a:srgbClr val="FFFFFF"/>
    </a:lt2>
    <a:accent1>
      <a:srgbClr val="790038"/>
    </a:accent1>
    <a:accent2>
      <a:srgbClr val="FDC600"/>
    </a:accent2>
    <a:accent3>
      <a:srgbClr val="FFD55A"/>
    </a:accent3>
    <a:accent4>
      <a:srgbClr val="FEE097"/>
    </a:accent4>
    <a:accent5>
      <a:srgbClr val="FEF3D6"/>
    </a:accent5>
    <a:accent6>
      <a:srgbClr val="FEF8EA"/>
    </a:accent6>
    <a:hlink>
      <a:srgbClr val="790038"/>
    </a:hlink>
    <a:folHlink>
      <a:srgbClr val="790038"/>
    </a:folHlink>
  </a:clrScheme>
  <a:fontScheme name="Niestandardowy 3">
    <a:majorFont>
      <a:latin typeface="Nunito Sans ExtraBold"/>
      <a:ea typeface=""/>
      <a:cs typeface=""/>
    </a:majorFont>
    <a:minorFont>
      <a:latin typeface="Nunito Sans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Alior_colors 02">
    <a:dk1>
      <a:srgbClr val="404040"/>
    </a:dk1>
    <a:lt1>
      <a:srgbClr val="FFFFFF"/>
    </a:lt1>
    <a:dk2>
      <a:srgbClr val="A7ABA9"/>
    </a:dk2>
    <a:lt2>
      <a:srgbClr val="FFFFFF"/>
    </a:lt2>
    <a:accent1>
      <a:srgbClr val="790038"/>
    </a:accent1>
    <a:accent2>
      <a:srgbClr val="FDC600"/>
    </a:accent2>
    <a:accent3>
      <a:srgbClr val="FFD55A"/>
    </a:accent3>
    <a:accent4>
      <a:srgbClr val="FEE097"/>
    </a:accent4>
    <a:accent5>
      <a:srgbClr val="FEF3D6"/>
    </a:accent5>
    <a:accent6>
      <a:srgbClr val="FEF8EA"/>
    </a:accent6>
    <a:hlink>
      <a:srgbClr val="790038"/>
    </a:hlink>
    <a:folHlink>
      <a:srgbClr val="790038"/>
    </a:folHlink>
  </a:clrScheme>
  <a:fontScheme name="Niestandardowy 3">
    <a:majorFont>
      <a:latin typeface="Nunito Sans ExtraBold"/>
      <a:ea typeface=""/>
      <a:cs typeface=""/>
    </a:majorFont>
    <a:minorFont>
      <a:latin typeface="Nunito Sans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Alior_colors 02">
    <a:dk1>
      <a:srgbClr val="404040"/>
    </a:dk1>
    <a:lt1>
      <a:srgbClr val="FFFFFF"/>
    </a:lt1>
    <a:dk2>
      <a:srgbClr val="A7ABA9"/>
    </a:dk2>
    <a:lt2>
      <a:srgbClr val="FFFFFF"/>
    </a:lt2>
    <a:accent1>
      <a:srgbClr val="790038"/>
    </a:accent1>
    <a:accent2>
      <a:srgbClr val="FDC600"/>
    </a:accent2>
    <a:accent3>
      <a:srgbClr val="FFD55A"/>
    </a:accent3>
    <a:accent4>
      <a:srgbClr val="FEE097"/>
    </a:accent4>
    <a:accent5>
      <a:srgbClr val="FEF3D6"/>
    </a:accent5>
    <a:accent6>
      <a:srgbClr val="FEF8EA"/>
    </a:accent6>
    <a:hlink>
      <a:srgbClr val="790038"/>
    </a:hlink>
    <a:folHlink>
      <a:srgbClr val="790038"/>
    </a:folHlink>
  </a:clrScheme>
  <a:fontScheme name="Niestandardowy 3">
    <a:majorFont>
      <a:latin typeface="Nunito Sans ExtraBold"/>
      <a:ea typeface=""/>
      <a:cs typeface=""/>
    </a:majorFont>
    <a:minorFont>
      <a:latin typeface="Nunito Sans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E540E-6F64-4E28-B091-8EFCAC5F5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10B20-5A6E-4AF4-96F4-7CA41735D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3F1F8-113E-43D6-9A0C-ABC67826A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3D5FB-9455-4752-88E9-DCA713699382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17</cp:revision>
  <dcterms:created xsi:type="dcterms:W3CDTF">2026-04-13T11:08:00Z</dcterms:created>
  <dcterms:modified xsi:type="dcterms:W3CDTF">2026-04-22T06:23:00Z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