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80" w:before="280" w:lineRule="auto"/>
        <w:jc w:val="center"/>
        <w:rPr>
          <w:b w:val="1"/>
          <w:bCs w:val="1"/>
          <w:sz w:val="22"/>
          <w:szCs w:val="22"/>
        </w:rPr>
      </w:pPr>
      <w:bookmarkStart w:colFirst="0" w:colLast="0" w:name="_heading=h.i3yalzoyjvva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Ikoniczny biurowiec Gdańska już po metamorfozie. Neptun w nowej odsłonie łączy design, komfort i nowe technologie.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Centrum Biurowe Neptun to jeden z najwyższych i najbardziej rozpoznawalnych biurowców Trójmiasta. Przez dekadę obecności na rynku zbudował solidną pozycję, jednak w tym czasie dynamicznie zmieniały się zarówno technologie, jak i potrzeby użytkowników nowoczesnych przestrzeni biurowych. Ambicją właściciela obiektu – spółki pozostającej pod zarządzaniem CBRE Investment Management (CBRE IM) – jest nie tylko nadążanie za tymi zmianami, ale realne wyprzedzanie rynkowych oczekiwań. Zakończona modernizacja jest jednym z etapów szerszego planu rozwoju Neptuna, a kolejne zmiany zobaczymy jeszcze w 2026 roku.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Sześciomiesięczna metamorfoza objęła kompleksową przebudowę lobby oraz wymianę kluczowych systemów budynkowych, w tym systemów kontroli dostępu oraz Building Management System, a także odświeżenie stref wspólnych. Celem działań było podniesienie komfortu użytkowania i efektywności energetycznej budynku. Za zarządzanie obiektem oraz przeprowadzenie całego procesu modernizacyjnego odpowiadała międzynarodowa agencja doradcza Cushman &amp; Wakefield.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 perspektywy rynku biurowego modernizacja Neptuna wpisuje się w szerszy trend świadomego podnoszenia standardu istniejących obiektów, które – dzięki odpowiednim decyzjom inwestycyjnym – mogą skutecznie konkurować z nowymi realizacjami, zarówno pod względem jakości przestrzeni, standardów ESG, jak i efektywności operacyjnej.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projekcie lobby zespół Cushman &amp; Wakefield położył nacisk na design, w tym na sztukę, trwałość zastosowanych rozwiązań oraz instalację świetlną podkreślającą skalę wysokiego wnętrza, co wzmacnia odbiór obiektu jako przestrzeni odpowiadającej współczesnym standardom biurowym.</w:t>
      </w:r>
    </w:p>
    <w:p w:rsidR="00000000" w:rsidDel="00000000" w:rsidP="00000000" w:rsidRDefault="00000000" w:rsidRPr="00000000" w14:paraId="00000006">
      <w:pPr>
        <w:spacing w:after="240" w:before="240" w:lineRule="auto"/>
        <w:ind w:left="600" w:right="60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„Nowe lobby stało się reprezentacyjną, jasną i funkcjonalną przestrzenią, która już od wejścia buduje doświadczenie użytkownika i standard obiektu. Proces modernizacji przełożył się na wyraźną poprawę jakości przestrzeni wspólnych oraz lepsze dopasowanie budynku do aktualnych oczekiwań użytkowników. Dziś coraz większe znaczenie mają komfort codziennego korzystania z obiektu, jego długoterminowa efektywność oraz odpowiedzialne podejście do kwestii środowiskowych i operacyjnych. To właśnie te elementy były kluczowe przy realizacji tego projektu”, podkreśla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Karolina Wiśniewska, Senior Portfolio Manager, Asset Services EMEA, Cushman &amp; Wakefield.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Realizacja prac </w:t>
      </w:r>
      <w:r w:rsidDel="00000000" w:rsidR="00000000" w:rsidRPr="00000000">
        <w:rPr>
          <w:rtl w:val="0"/>
        </w:rPr>
        <w:t xml:space="preserve">w </w:t>
      </w:r>
      <w:r w:rsidDel="00000000" w:rsidR="00000000" w:rsidRPr="00000000">
        <w:rPr>
          <w:sz w:val="20"/>
          <w:szCs w:val="20"/>
          <w:rtl w:val="0"/>
        </w:rPr>
        <w:t xml:space="preserve">działającym biurowcu wymagała zaawansowanej koordynacji oraz stałego dialogu pomiędzy zarządcą, właścicielem, zespołami projektowymi i wykonawczymi oraz użytkownikami budynku. Kluczowe było zachowanie ciągłości funkcjonowania obiektu oraz zapewnienie komfortu najemców na każdym etapie modernizacji, co istotnie wpływało na sposób planowania i sekwencjonowania poszczególnych działań.</w:t>
      </w:r>
    </w:p>
    <w:p w:rsidR="00000000" w:rsidDel="00000000" w:rsidP="00000000" w:rsidRDefault="00000000" w:rsidRPr="00000000" w14:paraId="00000008">
      <w:pPr>
        <w:spacing w:after="240" w:before="240" w:lineRule="auto"/>
        <w:ind w:left="600" w:right="60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„Modernizacja, w przeciwieństwie do wyburzeń i nowych realizacji, pozwala realnie ograniczyć ślad węglowy inwestycji, przy jednoczesnym zapewnieniu standardu odpowiadającego współczesnym realiom pracy. Z perspektywy zarządcy szczególnym wyzwaniem jest jednak prowadzenie przebudowy oraz wymiany kluczowych systemów w funkcjonującym budynku. Dzięki precyzyjnie zaplanowanemu harmonogramowi oraz ścisłej współpracy z zespołem Cushman &amp; Wakefield Design &amp; Build, odpowiedzialnym za projekt i realizację prac, cały proces udało się przeprowadzić zgodnie z założeniami”, mówi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Dorota Piątek, </w:t>
      </w:r>
      <w:r w:rsidDel="00000000" w:rsidR="00000000" w:rsidRPr="00000000">
        <w:rPr>
          <w:b w:val="1"/>
          <w:bCs w:val="1"/>
          <w:color w:val="212b35"/>
          <w:sz w:val="20"/>
          <w:szCs w:val="20"/>
          <w:highlight w:val="white"/>
          <w:rtl w:val="0"/>
        </w:rPr>
        <w:t xml:space="preserve">Property Manager, Asset Services EMEA, Cushman &amp; Wakefield.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Zlokalizowany przy al. Grunwaldzkiej 103a, w samym sercu Wrzeszcza, 18-piętrowy Neptun  po modernizacji to przykład, jak ikoniczny budynek może wejść w nowy etap życia bez utraty swojej tożsamości, zyskując jednocześnie standard odpowiadający przyszłym potrzebom rynku. Na 2026 rok zaplanowano kolejne zmiany, które obejmą m.in. hole windowe, toalety, rozszerzony pomiar i analizę zużywanych mediów.</w:t>
      </w:r>
    </w:p>
    <w:p w:rsidR="00000000" w:rsidDel="00000000" w:rsidP="00000000" w:rsidRDefault="00000000" w:rsidRPr="00000000" w14:paraId="0000000A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9" w:w="11907" w:orient="portrait"/>
      <w:pgMar w:bottom="2880" w:top="3600" w:left="1224" w:right="1008" w:header="180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Layout w:type="fixed"/>
      <w:tblLook w:val="0400"/>
    </w:tblPr>
    <w:tblGrid>
      <w:gridCol w:w="9000"/>
      <w:tblGridChange w:id="0">
        <w:tblGrid>
          <w:gridCol w:w="900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11">
          <w:pPr>
            <w:pStyle w:val="Heading2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Dodatkowe informacje:</w:t>
          </w:r>
        </w:p>
      </w:tc>
    </w:tr>
    <w:tr>
      <w:trPr>
        <w:cantSplit w:val="0"/>
        <w:trHeight w:val="1260" w:hRule="atLeast"/>
        <w:tblHeader w:val="0"/>
      </w:trPr>
      <w:tc>
        <w:tcPr/>
        <w:p w:rsidR="00000000" w:rsidDel="00000000" w:rsidP="00000000" w:rsidRDefault="00000000" w:rsidRPr="00000000" w14:paraId="00000012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8582.0" w:type="dxa"/>
            <w:jc w:val="left"/>
            <w:tblLayout w:type="fixed"/>
            <w:tblLook w:val="04A0"/>
          </w:tblPr>
          <w:tblGrid>
            <w:gridCol w:w="4244"/>
            <w:gridCol w:w="4102"/>
            <w:gridCol w:w="236"/>
            <w:tblGridChange w:id="0">
              <w:tblGrid>
                <w:gridCol w:w="4244"/>
                <w:gridCol w:w="4102"/>
                <w:gridCol w:w="236"/>
              </w:tblGrid>
            </w:tblGridChange>
          </w:tblGrid>
          <w:tr>
            <w:trPr>
              <w:cantSplit w:val="0"/>
              <w:trHeight w:val="1164" w:hRule="atLeast"/>
              <w:tblHeader w:val="0"/>
            </w:trPr>
            <w:tc>
              <w:tcPr/>
              <w:p w:rsidR="00000000" w:rsidDel="00000000" w:rsidP="00000000" w:rsidRDefault="00000000" w:rsidRPr="00000000" w14:paraId="0000001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tbl>
                <w:tblPr>
                  <w:tblStyle w:val="Table3"/>
                  <w:tblW w:w="12172.0" w:type="dxa"/>
                  <w:jc w:val="left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400"/>
                </w:tblPr>
                <w:tblGrid>
                  <w:gridCol w:w="6086"/>
                  <w:gridCol w:w="6086"/>
                  <w:tblGridChange w:id="0">
                    <w:tblGrid>
                      <w:gridCol w:w="6086"/>
                      <w:gridCol w:w="6086"/>
                    </w:tblGrid>
                  </w:tblGridChange>
                </w:tblGrid>
                <w:tr>
                  <w:trPr>
                    <w:cantSplit w:val="0"/>
                    <w:trHeight w:val="738" w:hRule="atLeast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14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  <w:rtl w:val="0"/>
                        </w:rPr>
                        <w:t xml:space="preserve">Karolina Samczyńska-Fiślak</w:t>
                      </w:r>
                    </w:p>
                    <w:p w:rsidR="00000000" w:rsidDel="00000000" w:rsidP="00000000" w:rsidRDefault="00000000" w:rsidRPr="00000000" w14:paraId="00000015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  <w:rtl w:val="0"/>
                        </w:rPr>
                        <w:t xml:space="preserve">Cushman &amp; Wakefield </w:t>
                      </w:r>
                    </w:p>
                    <w:p w:rsidR="00000000" w:rsidDel="00000000" w:rsidP="00000000" w:rsidRDefault="00000000" w:rsidRPr="00000000" w14:paraId="00000016">
                      <w:pPr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  <w:rtl w:val="0"/>
                        </w:rPr>
                        <w:t xml:space="preserve">Tel: + 48 22 820 20 20; 691 060 202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17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tabs>
                          <w:tab w:val="right" w:leader="none" w:pos="4688"/>
                        </w:tabs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  <w:rtl w:val="0"/>
                        </w:rPr>
                        <w:t xml:space="preserve">e-mail: </w:t>
                      </w:r>
                      <w:hyperlink r:id="rId1">
                        <w:r w:rsidDel="00000000" w:rsidR="00000000" w:rsidRPr="00000000">
                          <w:rPr>
                            <w:rFonts w:ascii="Calibri" w:cs="Calibri" w:eastAsia="Calibri" w:hAnsi="Calibri"/>
                            <w:b w:val="1"/>
                            <w:bCs w:val="1"/>
                            <w:color w:val="4472c4"/>
                            <w:sz w:val="18"/>
                            <w:szCs w:val="18"/>
                            <w:u w:val="single"/>
                            <w:rtl w:val="0"/>
                          </w:rPr>
                          <w:t xml:space="preserve">karolina.samczynska@cushwake.pl</w:t>
                        </w:r>
                      </w:hyperlink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8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  <w:rtl w:val="0"/>
                        </w:rPr>
                        <w:t xml:space="preserve">Magdalena Znyk-Ossowska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19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  <w:rtl w:val="0"/>
                        </w:rPr>
                        <w:t xml:space="preserve">Linkleaders</w:t>
                      </w:r>
                    </w:p>
                    <w:p w:rsidR="00000000" w:rsidDel="00000000" w:rsidP="00000000" w:rsidRDefault="00000000" w:rsidRPr="00000000" w14:paraId="0000001A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  <w:rtl w:val="0"/>
                        </w:rPr>
                        <w:t xml:space="preserve">Tel: +48 502 556 846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1B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1C">
                      <w:pPr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color w:val="000000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  <w:rtl w:val="0"/>
                        </w:rPr>
                        <w:t xml:space="preserve">e-mail: </w:t>
                      </w:r>
                      <w:r w:rsidDel="00000000" w:rsidR="00000000" w:rsidRPr="00000000">
                        <w:rPr>
                          <w:rFonts w:ascii="Calibri" w:cs="Calibri" w:eastAsia="Calibri" w:hAnsi="Calibri"/>
                          <w:color w:val="008b98"/>
                          <w:sz w:val="18"/>
                          <w:szCs w:val="18"/>
                          <w:rtl w:val="0"/>
                        </w:rPr>
                        <w:t xml:space="preserve">Magdalena.ossowska@linkleaders.pl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1D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  <w:p w:rsidR="00000000" w:rsidDel="00000000" w:rsidP="00000000" w:rsidRDefault="00000000" w:rsidRPr="00000000" w14:paraId="0000001E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rFonts w:ascii="Calibri" w:cs="Calibri" w:eastAsia="Calibri" w:hAnsi="Calibri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F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Calibri" w:cs="Calibri" w:eastAsia="Calibri" w:hAnsi="Calibri"/>
                    <w:color w:val="696b6b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Calibri" w:cs="Calibri" w:eastAsia="Calibri" w:hAnsi="Calibri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rFonts w:ascii="Calibri" w:cs="Calibri" w:eastAsia="Calibri" w:hAnsi="Calibri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9000.0" w:type="dxa"/>
      <w:jc w:val="left"/>
      <w:tblLayout w:type="fixed"/>
      <w:tblLook w:val="0400"/>
    </w:tblPr>
    <w:tblGrid>
      <w:gridCol w:w="5670"/>
      <w:gridCol w:w="3330"/>
      <w:tblGridChange w:id="0">
        <w:tblGrid>
          <w:gridCol w:w="5670"/>
          <w:gridCol w:w="333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5">
          <w:pPr>
            <w:pStyle w:val="Heading2"/>
            <w:rPr>
              <w:rFonts w:ascii="Arial" w:cs="Arial" w:eastAsia="Arial" w:hAnsi="Arial"/>
              <w:color w:val="696b6b"/>
            </w:rPr>
          </w:pPr>
          <w:r w:rsidDel="00000000" w:rsidR="00000000" w:rsidRPr="00000000">
            <w:rPr>
              <w:rFonts w:ascii="Arial" w:cs="Arial" w:eastAsia="Arial" w:hAnsi="Arial"/>
              <w:color w:val="696b6b"/>
              <w:rtl w:val="0"/>
            </w:rPr>
            <w:t xml:space="preserve">Media Contact:</w:t>
          </w:r>
        </w:p>
      </w:tc>
      <w:tc>
        <w:tcPr>
          <w:vAlign w:val="bottom"/>
        </w:tcPr>
        <w:p w:rsidR="00000000" w:rsidDel="00000000" w:rsidP="00000000" w:rsidRDefault="00000000" w:rsidRPr="00000000" w14:paraId="00000026">
          <w:pPr>
            <w:spacing w:after="100" w:line="24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26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7">
          <w:pPr>
            <w:keepNext w:val="1"/>
            <w:keepLines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696b6b"/>
              <w:sz w:val="18"/>
              <w:szCs w:val="18"/>
              <w:rtl w:val="0"/>
            </w:rPr>
            <w:t xml:space="preserve">Name</w:t>
          </w:r>
        </w:p>
        <w:p w:rsidR="00000000" w:rsidDel="00000000" w:rsidP="00000000" w:rsidRDefault="00000000" w:rsidRPr="00000000" w14:paraId="000000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Title</w:t>
          </w:r>
        </w:p>
        <w:p w:rsidR="00000000" w:rsidDel="00000000" w:rsidP="00000000" w:rsidRDefault="00000000" w:rsidRPr="00000000" w14:paraId="0000002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+1 000 000 0000</w:t>
          </w:r>
        </w:p>
        <w:p w:rsidR="00000000" w:rsidDel="00000000" w:rsidP="00000000" w:rsidRDefault="00000000" w:rsidRPr="00000000" w14:paraId="0000002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hyperlink r:id="rId1">
            <w:r w:rsidDel="00000000" w:rsidR="00000000" w:rsidRPr="00000000">
              <w:rPr>
                <w:color w:val="4472c4"/>
                <w:sz w:val="18"/>
                <w:szCs w:val="18"/>
                <w:u w:val="single"/>
                <w:rtl w:val="0"/>
              </w:rPr>
              <w:t xml:space="preserve">first.last@cushwake.com</w:t>
            </w:r>
          </w:hyperlink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 </w:t>
          </w:r>
        </w:p>
      </w:tc>
      <w:tc>
        <w:tcPr>
          <w:vAlign w:val="bottom"/>
        </w:tcPr>
        <w:p w:rsidR="00000000" w:rsidDel="00000000" w:rsidP="00000000" w:rsidRDefault="00000000" w:rsidRPr="00000000" w14:paraId="0000002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43135</wp:posOffset>
          </wp:positionH>
          <wp:positionV relativeFrom="paragraph">
            <wp:posOffset>-154972</wp:posOffset>
          </wp:positionV>
          <wp:extent cx="1933575" cy="40767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3814</wp:posOffset>
          </wp:positionH>
          <wp:positionV relativeFrom="paragraph">
            <wp:posOffset>-201291</wp:posOffset>
          </wp:positionV>
          <wp:extent cx="1933575" cy="40767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lineRule="auto"/>
    </w:pPr>
    <w:rPr>
      <w:rFonts w:ascii="Calibri" w:cs="Calibri" w:eastAsia="Calibri" w:hAnsi="Calibri"/>
      <w:b w:val="1"/>
      <w:bCs w:val="1"/>
      <w:smallCaps w:val="1"/>
      <w:color w:val="008b98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karolina.samczynska@cushwake.pl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Yhbf4P3WC/qSjytvwx3XUtzmNQ==">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0x010100EC618526F10DA64CBE3916EAA4716759</vt:lpwstr>
  </property>
  <property fmtid="{D5CDD505-2E9C-101B-9397-08002B2CF9AE}" pid="4" name="MediaServiceImageTags">
    <vt:lpwstr>MediaServiceImageTags</vt:lpwstr>
  </property>
  <property fmtid="{D5CDD505-2E9C-101B-9397-08002B2CF9AE}" pid="5" name="ComplianceAssetId">
    <vt:lpwstr>ComplianceAssetId</vt:lpwstr>
  </property>
  <property fmtid="{D5CDD505-2E9C-101B-9397-08002B2CF9AE}" pid="6" name="_ExtendedDescription">
    <vt:lpwstr>_ExtendedDescription</vt:lpwstr>
  </property>
  <property fmtid="{D5CDD505-2E9C-101B-9397-08002B2CF9AE}" pid="7" name="TriggerFlowInfo">
    <vt:lpwstr>TriggerFlowInfo</vt:lpwstr>
  </property>
  <property fmtid="{D5CDD505-2E9C-101B-9397-08002B2CF9AE}" pid="8" name="docLang">
    <vt:lpwstr>pl</vt:lpwstr>
  </property>
</Properties>
</file>