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267" w14:textId="5BBE5BED" w:rsidR="00965085" w:rsidRPr="00601306" w:rsidRDefault="00263378" w:rsidP="00601306">
      <w:pPr>
        <w:pStyle w:val="NoSpacing"/>
        <w:rPr>
          <w:rFonts w:ascii="Noto Sans" w:hAnsi="Noto Sans" w:cs="Noto Sans"/>
          <w:b/>
          <w:bCs/>
          <w:sz w:val="28"/>
          <w:szCs w:val="28"/>
        </w:rPr>
      </w:pPr>
      <w:proofErr w:type="gramStart"/>
      <w:r w:rsidRPr="00601306">
        <w:rPr>
          <w:rFonts w:ascii="Noto Sans" w:hAnsi="Noto Sans" w:cs="Noto Sans"/>
          <w:b/>
          <w:bCs/>
          <w:sz w:val="28"/>
          <w:szCs w:val="28"/>
          <w:lang w:val="fr"/>
        </w:rPr>
        <w:t>interpack</w:t>
      </w:r>
      <w:proofErr w:type="gramEnd"/>
      <w:r w:rsidRPr="00601306">
        <w:rPr>
          <w:rFonts w:ascii="Noto Sans" w:hAnsi="Noto Sans" w:cs="Noto Sans"/>
          <w:b/>
          <w:bCs/>
          <w:sz w:val="28"/>
          <w:szCs w:val="28"/>
          <w:lang w:val="fr"/>
        </w:rPr>
        <w:t xml:space="preserve"> 2026 (7–13 mai, Messe Düsseldorf)</w:t>
      </w:r>
    </w:p>
    <w:p w14:paraId="2DDE1F57" w14:textId="2C938480" w:rsidR="00A35D11" w:rsidRPr="00601306" w:rsidRDefault="00A35D11" w:rsidP="0020051F">
      <w:pPr>
        <w:spacing w:after="0" w:line="240" w:lineRule="auto"/>
        <w:rPr>
          <w:rFonts w:ascii="Noto Sans" w:hAnsi="Noto Sans" w:cs="Noto Sans"/>
          <w:b/>
          <w:bCs/>
          <w:sz w:val="28"/>
          <w:szCs w:val="28"/>
        </w:rPr>
      </w:pPr>
      <w:r w:rsidRPr="00601306">
        <w:rPr>
          <w:rFonts w:ascii="Noto Sans" w:hAnsi="Noto Sans" w:cs="Noto Sans"/>
          <w:b/>
          <w:bCs/>
          <w:sz w:val="28"/>
          <w:szCs w:val="28"/>
          <w:lang w:val="fr"/>
        </w:rPr>
        <w:t>Domino Printing Sciences – Hall 8b, Stand C41</w:t>
      </w:r>
    </w:p>
    <w:p w14:paraId="4BCE86D8" w14:textId="77777777" w:rsidR="00965085" w:rsidRPr="00601306" w:rsidRDefault="00965085" w:rsidP="00A128F3">
      <w:pPr>
        <w:spacing w:before="120" w:after="120" w:line="240" w:lineRule="auto"/>
        <w:rPr>
          <w:rFonts w:ascii="Noto Sans" w:hAnsi="Noto Sans" w:cs="Noto Sans"/>
          <w:b/>
          <w:bCs/>
          <w:sz w:val="20"/>
          <w:szCs w:val="20"/>
        </w:rPr>
      </w:pPr>
    </w:p>
    <w:p w14:paraId="160B9DD1" w14:textId="00886649" w:rsidR="000E7D99" w:rsidRPr="00601306" w:rsidRDefault="000E7D99" w:rsidP="000E7D99">
      <w:pPr>
        <w:pStyle w:val="NoSpacing"/>
        <w:spacing w:before="120" w:after="120"/>
        <w:rPr>
          <w:rFonts w:ascii="Noto Sans" w:hAnsi="Noto Sans" w:cs="Noto Sans"/>
          <w:b/>
          <w:bCs/>
          <w:sz w:val="24"/>
          <w:szCs w:val="24"/>
          <w:lang w:val="es-ES"/>
        </w:rPr>
      </w:pPr>
      <w:r>
        <w:rPr>
          <w:rFonts w:ascii="Noto Sans" w:hAnsi="Noto Sans" w:cs="Noto Sans"/>
          <w:b/>
          <w:bCs/>
          <w:sz w:val="24"/>
          <w:szCs w:val="24"/>
          <w:lang w:val="fr"/>
        </w:rPr>
        <w:t>Domino présente la tête d'impression Série Gx PRO pour accompagner la transition du secteur vers le codage 2D</w:t>
      </w:r>
    </w:p>
    <w:p w14:paraId="56B2069C" w14:textId="741D1641" w:rsidR="000E7D99" w:rsidRPr="00601306" w:rsidRDefault="005E63FE" w:rsidP="000E7D99">
      <w:pPr>
        <w:pStyle w:val="NoSpacing"/>
        <w:spacing w:before="120" w:after="120"/>
        <w:rPr>
          <w:rFonts w:ascii="Noto Sans" w:hAnsi="Noto Sans" w:cs="Noto Sans"/>
          <w:sz w:val="22"/>
          <w:lang w:val="fr"/>
        </w:rPr>
      </w:pPr>
      <w:r>
        <w:rPr>
          <w:rFonts w:ascii="Noto Sans" w:hAnsi="Noto Sans" w:cs="Noto Sans"/>
          <w:sz w:val="22"/>
          <w:lang w:val="fr"/>
        </w:rPr>
        <w:t>En amont d'</w:t>
      </w:r>
      <w:proofErr w:type="spellStart"/>
      <w:r>
        <w:rPr>
          <w:rFonts w:ascii="Noto Sans" w:hAnsi="Noto Sans" w:cs="Noto Sans"/>
          <w:sz w:val="22"/>
          <w:lang w:val="fr"/>
        </w:rPr>
        <w:t>interpack</w:t>
      </w:r>
      <w:proofErr w:type="spellEnd"/>
      <w:r>
        <w:rPr>
          <w:rFonts w:ascii="Noto Sans" w:hAnsi="Noto Sans" w:cs="Noto Sans"/>
          <w:sz w:val="22"/>
          <w:lang w:val="fr"/>
        </w:rPr>
        <w:t xml:space="preserve"> 2026</w:t>
      </w:r>
      <w:r>
        <w:rPr>
          <w:rFonts w:ascii="Noto Sans" w:hAnsi="Noto Sans" w:cs="Noto Sans"/>
          <w:b/>
          <w:bCs/>
          <w:sz w:val="24"/>
          <w:szCs w:val="24"/>
          <w:lang w:val="fr"/>
        </w:rPr>
        <w:t xml:space="preserve">, </w:t>
      </w:r>
      <w:hyperlink r:id="rId7" w:history="1">
        <w:r w:rsidRPr="00601306">
          <w:rPr>
            <w:rStyle w:val="Hyperlink"/>
            <w:rFonts w:ascii="Noto Sans" w:hAnsi="Noto Sans" w:cs="Noto Sans"/>
            <w:sz w:val="22"/>
            <w:lang w:val="fr"/>
          </w:rPr>
          <w:t>Domino Printing Sciences</w:t>
        </w:r>
      </w:hyperlink>
      <w:r>
        <w:rPr>
          <w:rFonts w:ascii="Noto Sans" w:hAnsi="Noto Sans" w:cs="Noto Sans"/>
          <w:sz w:val="22"/>
          <w:lang w:val="fr"/>
        </w:rPr>
        <w:t xml:space="preserve"> (Domino), expert mondial en solutions avancées d'impression de données variables, a présenté la </w:t>
      </w:r>
      <w:r>
        <w:rPr>
          <w:rFonts w:ascii="Noto Sans" w:hAnsi="Noto Sans" w:cs="Noto Sans"/>
          <w:b/>
          <w:bCs/>
          <w:sz w:val="22"/>
          <w:lang w:val="fr"/>
        </w:rPr>
        <w:t>tête d'impression Série Gx PRO</w:t>
      </w:r>
      <w:r>
        <w:rPr>
          <w:rFonts w:ascii="Noto Sans" w:hAnsi="Noto Sans" w:cs="Noto Sans"/>
          <w:sz w:val="22"/>
          <w:lang w:val="fr"/>
        </w:rPr>
        <w:t>. Cette nouvelle solution à jet d'encre thermique (TIJ) est conçue pour aider les industriels à se préparer à la transition du secteur vers le GS1 Digital Link et les codes 2D variables.</w:t>
      </w:r>
    </w:p>
    <w:p w14:paraId="5181E21D" w14:textId="1255EA7E" w:rsidR="000E7D99" w:rsidRPr="00601306" w:rsidRDefault="00A35D11" w:rsidP="000E7D99">
      <w:pPr>
        <w:pStyle w:val="NoSpacing"/>
        <w:spacing w:before="120" w:after="120"/>
        <w:rPr>
          <w:rFonts w:ascii="Noto Sans" w:hAnsi="Noto Sans" w:cs="Noto Sans"/>
          <w:sz w:val="22"/>
          <w:lang w:val="fr"/>
        </w:rPr>
      </w:pPr>
      <w:r>
        <w:rPr>
          <w:rFonts w:ascii="Noto Sans" w:hAnsi="Noto Sans" w:cs="Noto Sans"/>
          <w:sz w:val="22"/>
          <w:lang w:val="fr"/>
        </w:rPr>
        <w:t>Alors que les distributeurs et les chaînes logistiques réclament davantage de transparence et de précision, le passage au codage GS1 2D est devenu l'une des évolutions les plus importantes pour l'identification des emballages. Les industriels recherchent désormais des solutions de codage capables de couvrir des surfaces d'impression plus larges, d'offrir un contraste renforcé et des performances à plus haute vitesse, tout en garantissant la précision sur des lignes de production de plus en plus complexes.</w:t>
      </w:r>
    </w:p>
    <w:p w14:paraId="7ECC6685" w14:textId="4B3D1425" w:rsidR="000E7D99" w:rsidRPr="00601306" w:rsidRDefault="000E7D99" w:rsidP="000E7D99">
      <w:pPr>
        <w:pStyle w:val="NoSpacing"/>
        <w:spacing w:before="120" w:after="120"/>
        <w:rPr>
          <w:rFonts w:ascii="Noto Sans" w:hAnsi="Noto Sans" w:cs="Noto Sans"/>
          <w:sz w:val="22"/>
          <w:lang w:val="es-ES"/>
        </w:rPr>
      </w:pPr>
      <w:r>
        <w:rPr>
          <w:rFonts w:ascii="Noto Sans" w:hAnsi="Noto Sans" w:cs="Noto Sans"/>
          <w:sz w:val="22"/>
          <w:lang w:val="fr"/>
        </w:rPr>
        <w:t xml:space="preserve">La </w:t>
      </w:r>
      <w:r>
        <w:rPr>
          <w:rFonts w:ascii="Noto Sans" w:hAnsi="Noto Sans" w:cs="Noto Sans"/>
          <w:b/>
          <w:bCs/>
          <w:sz w:val="22"/>
          <w:lang w:val="fr"/>
        </w:rPr>
        <w:t xml:space="preserve">tête d'impression Série </w:t>
      </w:r>
      <w:proofErr w:type="spellStart"/>
      <w:r>
        <w:rPr>
          <w:rFonts w:ascii="Noto Sans" w:hAnsi="Noto Sans" w:cs="Noto Sans"/>
          <w:b/>
          <w:bCs/>
          <w:sz w:val="22"/>
          <w:lang w:val="fr"/>
        </w:rPr>
        <w:t>Gx</w:t>
      </w:r>
      <w:proofErr w:type="spellEnd"/>
      <w:r>
        <w:rPr>
          <w:rFonts w:ascii="Noto Sans" w:hAnsi="Noto Sans" w:cs="Noto Sans"/>
          <w:b/>
          <w:bCs/>
          <w:sz w:val="22"/>
          <w:lang w:val="fr"/>
        </w:rPr>
        <w:t xml:space="preserve"> PRO </w:t>
      </w:r>
      <w:r>
        <w:rPr>
          <w:rFonts w:ascii="Noto Sans" w:hAnsi="Noto Sans" w:cs="Noto Sans"/>
          <w:sz w:val="22"/>
          <w:lang w:val="fr"/>
        </w:rPr>
        <w:t>a été développée autour de trois priorités fondamentales :</w:t>
      </w:r>
    </w:p>
    <w:p w14:paraId="61465F3D" w14:textId="77777777" w:rsidR="007043CB" w:rsidRPr="00601306" w:rsidRDefault="007043CB" w:rsidP="007043CB">
      <w:pPr>
        <w:pStyle w:val="NoSpacing"/>
        <w:numPr>
          <w:ilvl w:val="0"/>
          <w:numId w:val="3"/>
        </w:numPr>
        <w:rPr>
          <w:rFonts w:ascii="Noto Sans" w:hAnsi="Noto Sans" w:cs="Noto Sans"/>
          <w:sz w:val="22"/>
          <w:lang w:val="es-ES"/>
        </w:rPr>
      </w:pPr>
      <w:r>
        <w:rPr>
          <w:rFonts w:ascii="Noto Sans" w:hAnsi="Noto Sans" w:cs="Noto Sans"/>
          <w:b/>
          <w:bCs/>
          <w:sz w:val="22"/>
          <w:lang w:val="fr"/>
        </w:rPr>
        <w:t>Réduction des déchets :</w:t>
      </w:r>
      <w:r>
        <w:rPr>
          <w:rFonts w:ascii="Noto Sans" w:hAnsi="Noto Sans" w:cs="Noto Sans"/>
          <w:sz w:val="22"/>
          <w:lang w:val="fr"/>
        </w:rPr>
        <w:t xml:space="preserve"> prend en charge certaines applications telles que la tarification dynamique, les vérifications automatisées des dates d'expiration et les rappels plus rapides et plus précis, en intégrant directement les informations de date limite de consommation et de lot dans chaque code 2D. En synergie avec </w:t>
      </w:r>
      <w:r>
        <w:rPr>
          <w:rFonts w:ascii="Noto Sans" w:hAnsi="Noto Sans" w:cs="Noto Sans"/>
          <w:b/>
          <w:bCs/>
          <w:sz w:val="22"/>
          <w:lang w:val="fr"/>
        </w:rPr>
        <w:t>Domino Automation</w:t>
      </w:r>
      <w:r>
        <w:rPr>
          <w:rFonts w:ascii="Noto Sans" w:hAnsi="Noto Sans" w:cs="Noto Sans"/>
          <w:sz w:val="22"/>
          <w:lang w:val="fr"/>
        </w:rPr>
        <w:t>, sa plateforme de gestion centralisée des étiquettes et de déploiement automatisé, les industriels et les distributeurs peuvent garantir des codes parfaitement conformes avant impression, éliminer le gaspillage de produits et d'étiquettes, et se prémunir contre les lourdes conséquences financières, réglementaires et d'image qu'entraînent les rappels de produits.</w:t>
      </w:r>
    </w:p>
    <w:p w14:paraId="0286036B" w14:textId="00CA6539" w:rsidR="000E7D99" w:rsidRPr="00601306" w:rsidRDefault="000E7D99" w:rsidP="000E7D99">
      <w:pPr>
        <w:pStyle w:val="NoSpacing"/>
        <w:numPr>
          <w:ilvl w:val="0"/>
          <w:numId w:val="3"/>
        </w:numPr>
        <w:spacing w:before="120" w:after="120"/>
        <w:rPr>
          <w:rFonts w:ascii="Noto Sans" w:hAnsi="Noto Sans" w:cs="Noto Sans"/>
          <w:sz w:val="22"/>
          <w:lang w:val="es-ES"/>
        </w:rPr>
      </w:pPr>
      <w:r>
        <w:rPr>
          <w:rFonts w:ascii="Noto Sans" w:hAnsi="Noto Sans" w:cs="Noto Sans"/>
          <w:b/>
          <w:bCs/>
          <w:sz w:val="22"/>
          <w:lang w:val="fr"/>
        </w:rPr>
        <w:t>Vitesse</w:t>
      </w:r>
      <w:r>
        <w:rPr>
          <w:rFonts w:ascii="Noto Sans" w:hAnsi="Noto Sans" w:cs="Noto Sans"/>
          <w:sz w:val="22"/>
          <w:lang w:val="fr"/>
        </w:rPr>
        <w:t xml:space="preserve"> : production de codes GS1 2D nets et à fort contraste, même aux cadences les plus élevées. L'intégration parfaite avec le système de vision intelligent Série R Domino assure une inspection automatisée en ligne, vérifiant chaque code et détectant toute anomalie avant qu'elle n'affecte votre production. </w:t>
      </w:r>
    </w:p>
    <w:p w14:paraId="5E01F01D" w14:textId="3972D6FC" w:rsidR="000E7D99" w:rsidRPr="00601306" w:rsidRDefault="000E7D99" w:rsidP="000E7D99">
      <w:pPr>
        <w:pStyle w:val="NoSpacing"/>
        <w:numPr>
          <w:ilvl w:val="0"/>
          <w:numId w:val="3"/>
        </w:numPr>
        <w:spacing w:before="120" w:after="120"/>
        <w:rPr>
          <w:rFonts w:ascii="Noto Sans" w:hAnsi="Noto Sans" w:cs="Noto Sans"/>
          <w:sz w:val="22"/>
          <w:lang w:val="es-ES"/>
        </w:rPr>
      </w:pPr>
      <w:r>
        <w:rPr>
          <w:rFonts w:ascii="Noto Sans" w:hAnsi="Noto Sans" w:cs="Noto Sans"/>
          <w:b/>
          <w:bCs/>
          <w:sz w:val="22"/>
          <w:lang w:val="fr"/>
        </w:rPr>
        <w:t>Conformité</w:t>
      </w:r>
      <w:r>
        <w:rPr>
          <w:rFonts w:ascii="Noto Sans" w:hAnsi="Noto Sans" w:cs="Noto Sans"/>
          <w:sz w:val="22"/>
          <w:lang w:val="fr"/>
        </w:rPr>
        <w:t xml:space="preserve"> : afin d'accompagner les industriels de l'agroalimentaire dans le respect de la législation, Domino conçoit une gamme complète d'encres conformes pour emballages alimentaires, formulées à base d'eau ou de solvant. </w:t>
      </w:r>
      <w:r>
        <w:rPr>
          <w:rFonts w:ascii="Noto Sans" w:hAnsi="Noto Sans" w:cs="Noto Sans"/>
          <w:sz w:val="22"/>
          <w:lang w:val="fr"/>
        </w:rPr>
        <w:lastRenderedPageBreak/>
        <w:t>Domino se positionne en leader avec des encres pour emballages alimentaires fabriquées conformément aux BPF de l'</w:t>
      </w:r>
      <w:proofErr w:type="spellStart"/>
      <w:r>
        <w:rPr>
          <w:rFonts w:ascii="Noto Sans" w:hAnsi="Noto Sans" w:cs="Noto Sans"/>
          <w:sz w:val="22"/>
          <w:lang w:val="fr"/>
        </w:rPr>
        <w:t>EuPIA</w:t>
      </w:r>
      <w:proofErr w:type="spellEnd"/>
      <w:r>
        <w:rPr>
          <w:rFonts w:ascii="Noto Sans" w:hAnsi="Noto Sans" w:cs="Noto Sans"/>
          <w:sz w:val="22"/>
          <w:lang w:val="fr"/>
        </w:rPr>
        <w:t>.</w:t>
      </w:r>
    </w:p>
    <w:p w14:paraId="0B6565C0" w14:textId="37920D22" w:rsidR="000E7D99" w:rsidRPr="00601306" w:rsidRDefault="000E7D99" w:rsidP="000E7D99">
      <w:pPr>
        <w:pStyle w:val="NoSpacing"/>
        <w:spacing w:before="120" w:after="120"/>
        <w:rPr>
          <w:rFonts w:ascii="Noto Sans" w:hAnsi="Noto Sans" w:cs="Noto Sans"/>
          <w:sz w:val="22"/>
          <w:lang w:val="fr"/>
        </w:rPr>
      </w:pPr>
      <w:r>
        <w:rPr>
          <w:rFonts w:ascii="Noto Sans" w:hAnsi="Noto Sans" w:cs="Noto Sans"/>
          <w:sz w:val="22"/>
          <w:lang w:val="fr"/>
        </w:rPr>
        <w:t xml:space="preserve">Avec une hauteur d'impression de 23 mm, une haute densité optique, une haute résolution et une grande distance de projection, la </w:t>
      </w:r>
      <w:r>
        <w:rPr>
          <w:rFonts w:ascii="Noto Sans" w:hAnsi="Noto Sans" w:cs="Noto Sans"/>
          <w:b/>
          <w:bCs/>
          <w:sz w:val="22"/>
          <w:lang w:val="fr"/>
        </w:rPr>
        <w:t>tête d'impression Série Gx PRO</w:t>
      </w:r>
      <w:r>
        <w:rPr>
          <w:rFonts w:ascii="Noto Sans" w:hAnsi="Noto Sans" w:cs="Noto Sans"/>
          <w:sz w:val="22"/>
          <w:lang w:val="fr"/>
        </w:rPr>
        <w:t xml:space="preserve"> est idéale pour les applications d'emballage alimentaire à haut débit, les produits frais et réfrigérés comme la viande, le poisson et la volaille, les produits pharmaceutiques et l'impression directe sur boîte, tout en présentant un attrait considérable pour les applications polyvalentes. Combinés à Domino Automation et aux systèmes de vision intelligents Série R, ils constituent une solution entièrement intégrée de codage, de vérification et de gestion des données, disponible auprès d'un seul fournisseur.</w:t>
      </w:r>
    </w:p>
    <w:p w14:paraId="4BFD28BA" w14:textId="7ED71736" w:rsidR="000E7D99" w:rsidRPr="00601306" w:rsidRDefault="000E7D99" w:rsidP="000E7D99">
      <w:pPr>
        <w:pStyle w:val="NoSpacing"/>
        <w:spacing w:before="120" w:after="120"/>
        <w:rPr>
          <w:rFonts w:ascii="Noto Sans" w:hAnsi="Noto Sans" w:cs="Noto Sans"/>
          <w:sz w:val="22"/>
          <w:lang w:val="fr"/>
        </w:rPr>
      </w:pPr>
      <w:r>
        <w:rPr>
          <w:rFonts w:ascii="Noto Sans" w:hAnsi="Noto Sans" w:cs="Noto Sans"/>
          <w:sz w:val="22"/>
          <w:lang w:val="fr"/>
        </w:rPr>
        <w:t>Comme l’indique James Gibbins, Global Thermal Inkjet Product Manager chez Domino :</w:t>
      </w:r>
      <w:r>
        <w:rPr>
          <w:rFonts w:ascii="Noto Sans" w:hAnsi="Noto Sans" w:cs="Noto Sans"/>
          <w:sz w:val="22"/>
          <w:lang w:val="fr"/>
        </w:rPr>
        <w:br/>
        <w:t xml:space="preserve">"La transition vers le GS1 Digital Link est sans conteste l'une des évolutions les plus importantes dans le domaine du codage de données variables. Avec notre nouvelle </w:t>
      </w:r>
      <w:r>
        <w:rPr>
          <w:rFonts w:ascii="Noto Sans" w:hAnsi="Noto Sans" w:cs="Noto Sans"/>
          <w:b/>
          <w:bCs/>
          <w:sz w:val="22"/>
          <w:lang w:val="fr"/>
        </w:rPr>
        <w:t>tête d'impression Série Gx PRO</w:t>
      </w:r>
      <w:r>
        <w:rPr>
          <w:rFonts w:ascii="Noto Sans" w:hAnsi="Noto Sans" w:cs="Noto Sans"/>
          <w:sz w:val="22"/>
          <w:lang w:val="fr"/>
        </w:rPr>
        <w:t xml:space="preserve"> et notre système de vision </w:t>
      </w:r>
      <w:r>
        <w:rPr>
          <w:rFonts w:ascii="Noto Sans" w:hAnsi="Noto Sans" w:cs="Noto Sans"/>
          <w:b/>
          <w:bCs/>
          <w:sz w:val="22"/>
          <w:lang w:val="fr"/>
        </w:rPr>
        <w:t>Série R</w:t>
      </w:r>
      <w:r>
        <w:rPr>
          <w:rFonts w:ascii="Noto Sans" w:hAnsi="Noto Sans" w:cs="Noto Sans"/>
          <w:sz w:val="22"/>
          <w:lang w:val="fr"/>
        </w:rPr>
        <w:t>, nous offrons aux industriels une solution simple et entièrement intégrée pour le codage et la vérification, le tout auprès d'un seul fournisseur de confiance."</w:t>
      </w:r>
    </w:p>
    <w:p w14:paraId="4A104754" w14:textId="7D9D7D16" w:rsidR="000E7D99" w:rsidRPr="00601306" w:rsidRDefault="000E7D99" w:rsidP="000E7D99">
      <w:pPr>
        <w:pStyle w:val="NoSpacing"/>
        <w:spacing w:before="120" w:after="120"/>
        <w:rPr>
          <w:rFonts w:ascii="Noto Sans" w:hAnsi="Noto Sans" w:cs="Noto Sans"/>
          <w:sz w:val="22"/>
          <w:lang w:val="fr"/>
        </w:rPr>
      </w:pPr>
      <w:r>
        <w:rPr>
          <w:rFonts w:ascii="Noto Sans" w:hAnsi="Noto Sans" w:cs="Noto Sans"/>
          <w:sz w:val="22"/>
          <w:lang w:val="fr"/>
        </w:rPr>
        <w:t xml:space="preserve">La </w:t>
      </w:r>
      <w:r>
        <w:rPr>
          <w:rFonts w:ascii="Noto Sans" w:hAnsi="Noto Sans" w:cs="Noto Sans"/>
          <w:b/>
          <w:bCs/>
          <w:sz w:val="22"/>
          <w:lang w:val="fr"/>
        </w:rPr>
        <w:t xml:space="preserve">tête d'impression Série </w:t>
      </w:r>
      <w:proofErr w:type="spellStart"/>
      <w:r>
        <w:rPr>
          <w:rFonts w:ascii="Noto Sans" w:hAnsi="Noto Sans" w:cs="Noto Sans"/>
          <w:b/>
          <w:bCs/>
          <w:sz w:val="22"/>
          <w:lang w:val="fr"/>
        </w:rPr>
        <w:t>Gx</w:t>
      </w:r>
      <w:proofErr w:type="spellEnd"/>
      <w:r>
        <w:rPr>
          <w:rFonts w:ascii="Noto Sans" w:hAnsi="Noto Sans" w:cs="Noto Sans"/>
          <w:b/>
          <w:bCs/>
          <w:sz w:val="22"/>
          <w:lang w:val="fr"/>
        </w:rPr>
        <w:t xml:space="preserve"> PRO</w:t>
      </w:r>
      <w:r>
        <w:rPr>
          <w:rFonts w:ascii="Noto Sans" w:hAnsi="Noto Sans" w:cs="Noto Sans"/>
          <w:sz w:val="22"/>
          <w:lang w:val="fr"/>
        </w:rPr>
        <w:t xml:space="preserve"> s'appuie sur le savoir-faire de longue date de Domino en matière d'impression TIJ. Le résultat est une plateforme de codage plus flexible, optimisée et projetée vers l'avenir, qui accompagne les clients dans une période de changements technologiques et réglementaires rapides.</w:t>
      </w:r>
    </w:p>
    <w:p w14:paraId="6D8D4099" w14:textId="3255E1DD" w:rsidR="000E7D99" w:rsidRPr="00601306" w:rsidRDefault="000E7D99" w:rsidP="000E7D99">
      <w:pPr>
        <w:pStyle w:val="NoSpacing"/>
        <w:spacing w:before="120" w:after="120"/>
        <w:rPr>
          <w:rFonts w:ascii="Noto Sans" w:hAnsi="Noto Sans" w:cs="Noto Sans"/>
          <w:b/>
          <w:bCs/>
          <w:sz w:val="22"/>
          <w:lang w:val="fr"/>
        </w:rPr>
      </w:pPr>
      <w:r>
        <w:rPr>
          <w:rFonts w:ascii="Noto Sans" w:hAnsi="Noto Sans" w:cs="Noto Sans"/>
          <w:b/>
          <w:bCs/>
          <w:sz w:val="22"/>
          <w:lang w:val="fr"/>
        </w:rPr>
        <w:t xml:space="preserve">Retrouvez Domino à </w:t>
      </w:r>
      <w:proofErr w:type="spellStart"/>
      <w:r>
        <w:rPr>
          <w:rFonts w:ascii="Noto Sans" w:hAnsi="Noto Sans" w:cs="Noto Sans"/>
          <w:b/>
          <w:bCs/>
          <w:sz w:val="22"/>
          <w:lang w:val="fr"/>
        </w:rPr>
        <w:t>interpack</w:t>
      </w:r>
      <w:proofErr w:type="spellEnd"/>
      <w:r>
        <w:rPr>
          <w:rFonts w:ascii="Noto Sans" w:hAnsi="Noto Sans" w:cs="Noto Sans"/>
          <w:b/>
          <w:bCs/>
          <w:sz w:val="22"/>
          <w:lang w:val="fr"/>
        </w:rPr>
        <w:t xml:space="preserve"> 2026</w:t>
      </w:r>
    </w:p>
    <w:p w14:paraId="5EF41AAD" w14:textId="26A63CAC" w:rsidR="000E7D99" w:rsidRPr="00601306" w:rsidRDefault="000E7D99" w:rsidP="007043CB">
      <w:pPr>
        <w:spacing w:after="0" w:line="240" w:lineRule="auto"/>
        <w:rPr>
          <w:rFonts w:ascii="Noto Sans" w:hAnsi="Noto Sans" w:cs="Noto Sans"/>
          <w:b/>
          <w:bCs/>
          <w:sz w:val="22"/>
          <w:lang w:val="fr"/>
        </w:rPr>
      </w:pPr>
      <w:r>
        <w:rPr>
          <w:rFonts w:ascii="Noto Sans" w:hAnsi="Noto Sans" w:cs="Noto Sans"/>
          <w:sz w:val="22"/>
          <w:lang w:val="fr"/>
        </w:rPr>
        <w:t>Les experts Domino seront disponibles tout au long d'</w:t>
      </w:r>
      <w:r>
        <w:rPr>
          <w:rFonts w:ascii="Noto Sans" w:hAnsi="Noto Sans" w:cs="Noto Sans"/>
          <w:b/>
          <w:bCs/>
          <w:sz w:val="22"/>
          <w:lang w:val="fr"/>
        </w:rPr>
        <w:t>interpack 2026 (7–13 mai, Düsseldorf</w:t>
      </w:r>
      <w:r>
        <w:rPr>
          <w:rFonts w:ascii="Noto Sans" w:hAnsi="Noto Sans" w:cs="Noto Sans"/>
          <w:sz w:val="22"/>
          <w:lang w:val="fr"/>
        </w:rPr>
        <w:t>) au</w:t>
      </w:r>
      <w:r>
        <w:rPr>
          <w:rFonts w:ascii="Noto Sans" w:hAnsi="Noto Sans" w:cs="Noto Sans"/>
          <w:b/>
          <w:bCs/>
          <w:sz w:val="22"/>
          <w:szCs w:val="22"/>
          <w:lang w:val="fr"/>
        </w:rPr>
        <w:t xml:space="preserve"> Stand C41, Hall 8b</w:t>
      </w:r>
      <w:r>
        <w:rPr>
          <w:rFonts w:ascii="Noto Sans" w:hAnsi="Noto Sans" w:cs="Noto Sans"/>
          <w:sz w:val="22"/>
          <w:lang w:val="fr"/>
        </w:rPr>
        <w:t xml:space="preserve"> pour discuter du codage GS1 2D, explorer les défis opérationnels et conseiller sur les stratégies de préparation. Les visiteurs découvriront comment la tête d'impression Série Gx PRO et les solutions intégrées de Domino offrent un codage alliant précision, conformité et efficacité pour répondre aux exigences des environnements de production actuels.</w:t>
      </w:r>
    </w:p>
    <w:p w14:paraId="672D6A92" w14:textId="43E42BB1" w:rsidR="000E7D99" w:rsidRPr="000E7D99" w:rsidRDefault="000E7D99" w:rsidP="000E7D99">
      <w:pPr>
        <w:pStyle w:val="NoSpacing"/>
        <w:spacing w:before="120" w:after="120"/>
        <w:rPr>
          <w:rFonts w:ascii="Noto Sans" w:hAnsi="Noto Sans" w:cs="Noto Sans"/>
          <w:sz w:val="22"/>
        </w:rPr>
      </w:pPr>
      <w:r>
        <w:rPr>
          <w:rFonts w:ascii="Noto Sans" w:hAnsi="Noto Sans" w:cs="Noto Sans"/>
          <w:sz w:val="22"/>
          <w:lang w:val="fr"/>
        </w:rPr>
        <w:t xml:space="preserve">Pour plus d'informations, veuillez consulter la </w:t>
      </w:r>
      <w:hyperlink r:id="rId8" w:history="1">
        <w:r w:rsidRPr="00601306">
          <w:rPr>
            <w:rStyle w:val="Hyperlink"/>
            <w:rFonts w:ascii="Noto Sans" w:hAnsi="Noto Sans" w:cs="Noto Sans"/>
            <w:sz w:val="22"/>
            <w:lang w:val="fr"/>
          </w:rPr>
          <w:t>page produit Jet d'encre thermique Domino.</w:t>
        </w:r>
      </w:hyperlink>
    </w:p>
    <w:p w14:paraId="0F8CFDDE" w14:textId="77777777" w:rsidR="007214D8" w:rsidRPr="00A86D5D" w:rsidRDefault="007214D8" w:rsidP="00F01DC2">
      <w:pPr>
        <w:pStyle w:val="NoSpacing"/>
        <w:spacing w:before="120" w:after="120"/>
        <w:rPr>
          <w:rFonts w:ascii="Noto Sans" w:hAnsi="Noto Sans" w:cs="Noto Sans"/>
          <w:sz w:val="22"/>
        </w:rPr>
      </w:pPr>
    </w:p>
    <w:p w14:paraId="5E3E2CB7" w14:textId="59B0D497" w:rsidR="007214D8" w:rsidRDefault="007214D8" w:rsidP="00F01DC2">
      <w:pPr>
        <w:pStyle w:val="NoSpacing"/>
        <w:spacing w:before="120" w:after="120"/>
        <w:rPr>
          <w:rFonts w:ascii="Noto Sans" w:hAnsi="Noto Sans" w:cs="Noto Sans"/>
          <w:sz w:val="22"/>
          <w:lang w:val="fr"/>
        </w:rPr>
      </w:pPr>
      <w:r>
        <w:rPr>
          <w:rFonts w:ascii="Noto Sans" w:hAnsi="Noto Sans" w:cs="Noto Sans"/>
          <w:sz w:val="22"/>
          <w:lang w:val="fr"/>
        </w:rPr>
        <w:t>&lt;</w:t>
      </w:r>
      <w:r>
        <w:rPr>
          <w:rFonts w:ascii="Noto Sans" w:hAnsi="Noto Sans" w:cs="Noto Sans"/>
          <w:b/>
          <w:bCs/>
          <w:sz w:val="22"/>
          <w:lang w:val="fr"/>
        </w:rPr>
        <w:t>FIN</w:t>
      </w:r>
      <w:r>
        <w:rPr>
          <w:rFonts w:ascii="Noto Sans" w:hAnsi="Noto Sans" w:cs="Noto Sans"/>
          <w:sz w:val="22"/>
          <w:lang w:val="fr"/>
        </w:rPr>
        <w:t>&gt;</w:t>
      </w:r>
    </w:p>
    <w:p w14:paraId="7D0584A5" w14:textId="77777777" w:rsidR="00601306" w:rsidRDefault="00601306" w:rsidP="00F01DC2">
      <w:pPr>
        <w:pStyle w:val="NoSpacing"/>
        <w:spacing w:before="120" w:after="120"/>
        <w:rPr>
          <w:rFonts w:ascii="Noto Sans" w:eastAsia="Gill Sans" w:hAnsi="Noto Sans" w:cs="Noto Sans"/>
          <w:b/>
          <w:bCs/>
          <w:sz w:val="20"/>
          <w:szCs w:val="20"/>
          <w:lang w:val="fr-FR"/>
        </w:rPr>
      </w:pPr>
      <w:bookmarkStart w:id="0" w:name="_Hlk46133219"/>
    </w:p>
    <w:p w14:paraId="380AE86A" w14:textId="6807599B" w:rsidR="00601306" w:rsidRPr="00601306" w:rsidRDefault="00601306" w:rsidP="00F01DC2">
      <w:pPr>
        <w:pStyle w:val="NoSpacing"/>
        <w:spacing w:before="120" w:after="120"/>
        <w:rPr>
          <w:rFonts w:ascii="Noto Sans" w:hAnsi="Noto Sans" w:cs="Noto Sans"/>
          <w:sz w:val="22"/>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w:t>
      </w:r>
      <w:r w:rsidRPr="00E06028">
        <w:rPr>
          <w:rFonts w:ascii="Noto Sans" w:hAnsi="Noto Sans" w:cs="Noto Sans"/>
          <w:sz w:val="20"/>
          <w:szCs w:val="20"/>
          <w:lang w:val="fr-FR"/>
        </w:rPr>
        <w:lastRenderedPageBreak/>
        <w:t xml:space="preserve">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9"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0" w:history="1">
        <w:r w:rsidRPr="00601306">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1" w:history="1">
        <w:r w:rsidRPr="00E06028">
          <w:rPr>
            <w:rStyle w:val="Hyperlink"/>
            <w:rFonts w:ascii="Noto Sans" w:hAnsi="Noto Sans" w:cs="Noto Sans"/>
            <w:sz w:val="20"/>
            <w:szCs w:val="20"/>
            <w:lang w:val="fr-FR"/>
          </w:rPr>
          <w:t>delphine.baudesson@domino-marquage.com</w:t>
        </w:r>
      </w:hyperlink>
    </w:p>
    <w:sectPr w:rsidR="00601306" w:rsidRPr="00601306"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7BA1" w14:textId="77777777" w:rsidR="00F46900" w:rsidRPr="00A86D5D" w:rsidRDefault="00F46900" w:rsidP="00785717">
      <w:pPr>
        <w:spacing w:line="240" w:lineRule="auto"/>
      </w:pPr>
      <w:r>
        <w:separator/>
      </w:r>
    </w:p>
  </w:endnote>
  <w:endnote w:type="continuationSeparator" w:id="0">
    <w:p w14:paraId="42E1D374" w14:textId="77777777" w:rsidR="00F46900" w:rsidRPr="00A86D5D" w:rsidRDefault="00F46900"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Pr>
        <w:noProof/>
        <w:lang w:val="fr"/>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22AD" w14:textId="77777777" w:rsidR="00F46900" w:rsidRPr="00A86D5D" w:rsidRDefault="00F46900" w:rsidP="00785717">
      <w:pPr>
        <w:spacing w:line="240" w:lineRule="auto"/>
      </w:pPr>
      <w:r>
        <w:separator/>
      </w:r>
    </w:p>
  </w:footnote>
  <w:footnote w:type="continuationSeparator" w:id="0">
    <w:p w14:paraId="7DFF80DA" w14:textId="77777777" w:rsidR="00F46900" w:rsidRPr="00A86D5D" w:rsidRDefault="00F46900"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Pr>
        <w:noProof/>
        <w:lang w:val="fr"/>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65C5"/>
    <w:multiLevelType w:val="multilevel"/>
    <w:tmpl w:val="E07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B18BE"/>
    <w:multiLevelType w:val="multilevel"/>
    <w:tmpl w:val="D78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 w:numId="2" w16cid:durableId="144587054">
    <w:abstractNumId w:val="1"/>
  </w:num>
  <w:num w:numId="3" w16cid:durableId="15403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DE9"/>
    <w:rsid w:val="000627F9"/>
    <w:rsid w:val="000643C2"/>
    <w:rsid w:val="00074A23"/>
    <w:rsid w:val="000B4CEA"/>
    <w:rsid w:val="000C63A7"/>
    <w:rsid w:val="000C6478"/>
    <w:rsid w:val="000E7D99"/>
    <w:rsid w:val="000F6D00"/>
    <w:rsid w:val="00103DA3"/>
    <w:rsid w:val="00135252"/>
    <w:rsid w:val="00141A1B"/>
    <w:rsid w:val="00156D2C"/>
    <w:rsid w:val="001938DC"/>
    <w:rsid w:val="001C452F"/>
    <w:rsid w:val="001D743C"/>
    <w:rsid w:val="001F0E27"/>
    <w:rsid w:val="0020051F"/>
    <w:rsid w:val="00221695"/>
    <w:rsid w:val="002322E0"/>
    <w:rsid w:val="00250646"/>
    <w:rsid w:val="00263378"/>
    <w:rsid w:val="002766D9"/>
    <w:rsid w:val="002A080F"/>
    <w:rsid w:val="002E0AD5"/>
    <w:rsid w:val="0032570C"/>
    <w:rsid w:val="00372E92"/>
    <w:rsid w:val="00383D32"/>
    <w:rsid w:val="003B7690"/>
    <w:rsid w:val="00414563"/>
    <w:rsid w:val="00441058"/>
    <w:rsid w:val="004964D0"/>
    <w:rsid w:val="00497E2A"/>
    <w:rsid w:val="004B6A13"/>
    <w:rsid w:val="004C395C"/>
    <w:rsid w:val="004C4954"/>
    <w:rsid w:val="004D655A"/>
    <w:rsid w:val="004E5535"/>
    <w:rsid w:val="005167B1"/>
    <w:rsid w:val="005272B1"/>
    <w:rsid w:val="005524DB"/>
    <w:rsid w:val="005741C7"/>
    <w:rsid w:val="005E63FE"/>
    <w:rsid w:val="005F5B77"/>
    <w:rsid w:val="00600F53"/>
    <w:rsid w:val="00601306"/>
    <w:rsid w:val="00647055"/>
    <w:rsid w:val="00660F46"/>
    <w:rsid w:val="006F6D4C"/>
    <w:rsid w:val="007043CB"/>
    <w:rsid w:val="007214D8"/>
    <w:rsid w:val="00733004"/>
    <w:rsid w:val="00751B98"/>
    <w:rsid w:val="00785717"/>
    <w:rsid w:val="00790CDB"/>
    <w:rsid w:val="007C4F05"/>
    <w:rsid w:val="008220B7"/>
    <w:rsid w:val="00823B77"/>
    <w:rsid w:val="008263B2"/>
    <w:rsid w:val="00880AF4"/>
    <w:rsid w:val="00885511"/>
    <w:rsid w:val="008916A8"/>
    <w:rsid w:val="008B6455"/>
    <w:rsid w:val="008B6461"/>
    <w:rsid w:val="008D1CAC"/>
    <w:rsid w:val="008D55D2"/>
    <w:rsid w:val="008E29C7"/>
    <w:rsid w:val="008F1494"/>
    <w:rsid w:val="008F3E38"/>
    <w:rsid w:val="00931996"/>
    <w:rsid w:val="00965085"/>
    <w:rsid w:val="0097689D"/>
    <w:rsid w:val="009A1716"/>
    <w:rsid w:val="009A1DEC"/>
    <w:rsid w:val="009A32B3"/>
    <w:rsid w:val="009D6280"/>
    <w:rsid w:val="009E328C"/>
    <w:rsid w:val="009E60F5"/>
    <w:rsid w:val="00A03A33"/>
    <w:rsid w:val="00A101E2"/>
    <w:rsid w:val="00A128F3"/>
    <w:rsid w:val="00A34918"/>
    <w:rsid w:val="00A34D57"/>
    <w:rsid w:val="00A35D11"/>
    <w:rsid w:val="00A75DB7"/>
    <w:rsid w:val="00A86D5D"/>
    <w:rsid w:val="00AA3A7C"/>
    <w:rsid w:val="00AB04B7"/>
    <w:rsid w:val="00AB11DA"/>
    <w:rsid w:val="00AD08B9"/>
    <w:rsid w:val="00AE3E83"/>
    <w:rsid w:val="00B21349"/>
    <w:rsid w:val="00B23C3C"/>
    <w:rsid w:val="00B306FD"/>
    <w:rsid w:val="00B546C5"/>
    <w:rsid w:val="00B55517"/>
    <w:rsid w:val="00BC7C15"/>
    <w:rsid w:val="00BD23CA"/>
    <w:rsid w:val="00C02F92"/>
    <w:rsid w:val="00C063FE"/>
    <w:rsid w:val="00C44603"/>
    <w:rsid w:val="00C541FE"/>
    <w:rsid w:val="00CF1AD5"/>
    <w:rsid w:val="00D37A0A"/>
    <w:rsid w:val="00D41C1D"/>
    <w:rsid w:val="00D544B1"/>
    <w:rsid w:val="00D602FB"/>
    <w:rsid w:val="00DA130B"/>
    <w:rsid w:val="00DF646F"/>
    <w:rsid w:val="00E03029"/>
    <w:rsid w:val="00E032D8"/>
    <w:rsid w:val="00E201E8"/>
    <w:rsid w:val="00E203D6"/>
    <w:rsid w:val="00E75F34"/>
    <w:rsid w:val="00E80A66"/>
    <w:rsid w:val="00EB28F9"/>
    <w:rsid w:val="00EC19AD"/>
    <w:rsid w:val="00EC1C5A"/>
    <w:rsid w:val="00F01DC2"/>
    <w:rsid w:val="00F46900"/>
    <w:rsid w:val="00F50B09"/>
    <w:rsid w:val="00F5604B"/>
    <w:rsid w:val="00F76ED4"/>
    <w:rsid w:val="00F82F7D"/>
    <w:rsid w:val="00FD2E50"/>
    <w:rsid w:val="00FF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B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E75F34"/>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products/gx-series?utm_medium=non-paid&amp;utm_source=onlinepublication&amp;utm_content=pr-gx-series-pro-interpack-fr&amp;utm_campaign=2026-int-fr-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fr-fr/news-and-events/news.aspx?utm_medium=non-paid&amp;utm_source=onlinepublication&amp;utm_content=pr-gx-series-pro-interpack-fr&amp;utm_campaign=2026-int-fr-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lphine.baudesson@domino-marquag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2026-03-25T12:07:00Z</dcterms:created>
  <dcterms:modified xsi:type="dcterms:W3CDTF">2026-03-25T12:07:00Z</dcterms:modified>
</cp:coreProperties>
</file>