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9DD1" w14:textId="00886649" w:rsidR="000E7D99" w:rsidRPr="000E7D99" w:rsidRDefault="000E7D99" w:rsidP="000E7D99">
      <w:pPr>
        <w:pStyle w:val="NoSpacing"/>
        <w:spacing w:before="120" w:after="120"/>
        <w:rPr>
          <w:rFonts w:ascii="Noto Sans" w:hAnsi="Noto Sans" w:cs="Noto Sans"/>
          <w:b/>
          <w:bCs/>
          <w:sz w:val="24"/>
          <w:szCs w:val="24"/>
          <w:lang w:eastAsia="ja-JP"/>
        </w:rPr>
      </w:pPr>
      <w:r w:rsidRPr="000E7D99">
        <w:rPr>
          <w:rFonts w:ascii="Noto Sans" w:hAnsi="Noto Sans" w:cs="Noto Sans"/>
          <w:b/>
          <w:bCs/>
          <w:sz w:val="24"/>
          <w:szCs w:val="24"/>
          <w:lang w:eastAsia="ja-JP"/>
        </w:rPr>
        <w:t xml:space="preserve">Domino </w:t>
      </w:r>
      <w:r w:rsidR="005167B1">
        <w:rPr>
          <w:rFonts w:ascii="Noto Sans" w:hAnsi="Noto Sans" w:cs="Noto Sans"/>
          <w:b/>
          <w:bCs/>
          <w:sz w:val="24"/>
          <w:szCs w:val="24"/>
          <w:lang w:eastAsia="ja-JP"/>
        </w:rPr>
        <w:t>I</w:t>
      </w:r>
      <w:r w:rsidRPr="000E7D99">
        <w:rPr>
          <w:rFonts w:ascii="Noto Sans" w:hAnsi="Noto Sans" w:cs="Noto Sans"/>
          <w:b/>
          <w:bCs/>
          <w:sz w:val="24"/>
          <w:szCs w:val="24"/>
          <w:lang w:eastAsia="ja-JP"/>
        </w:rPr>
        <w:t>ntroduces the Gx</w:t>
      </w:r>
      <w:r w:rsidRPr="000E7D99">
        <w:rPr>
          <w:rFonts w:ascii="Noto Sans" w:hAnsi="Noto Sans" w:cs="Noto Sans"/>
          <w:b/>
          <w:bCs/>
          <w:sz w:val="24"/>
          <w:szCs w:val="24"/>
          <w:lang w:eastAsia="ja-JP"/>
        </w:rPr>
        <w:noBreakHyphen/>
        <w:t>Series PRO</w:t>
      </w:r>
      <w:r w:rsidR="00F50B09">
        <w:rPr>
          <w:rFonts w:ascii="Noto Sans" w:hAnsi="Noto Sans" w:cs="Noto Sans"/>
          <w:b/>
          <w:bCs/>
          <w:sz w:val="24"/>
          <w:szCs w:val="24"/>
          <w:lang w:eastAsia="ja-JP"/>
        </w:rPr>
        <w:t xml:space="preserve"> Printhead</w:t>
      </w:r>
      <w:r w:rsidRPr="000E7D99">
        <w:rPr>
          <w:rFonts w:ascii="Noto Sans" w:hAnsi="Noto Sans" w:cs="Noto Sans"/>
          <w:b/>
          <w:bCs/>
          <w:sz w:val="24"/>
          <w:szCs w:val="24"/>
          <w:lang w:eastAsia="ja-JP"/>
        </w:rPr>
        <w:t xml:space="preserve"> to </w:t>
      </w:r>
      <w:r w:rsidR="005167B1">
        <w:rPr>
          <w:rFonts w:ascii="Noto Sans" w:hAnsi="Noto Sans" w:cs="Noto Sans"/>
          <w:b/>
          <w:bCs/>
          <w:sz w:val="24"/>
          <w:szCs w:val="24"/>
          <w:lang w:eastAsia="ja-JP"/>
        </w:rPr>
        <w:t>S</w:t>
      </w:r>
      <w:r w:rsidRPr="000E7D99">
        <w:rPr>
          <w:rFonts w:ascii="Noto Sans" w:hAnsi="Noto Sans" w:cs="Noto Sans"/>
          <w:b/>
          <w:bCs/>
          <w:sz w:val="24"/>
          <w:szCs w:val="24"/>
          <w:lang w:eastAsia="ja-JP"/>
        </w:rPr>
        <w:t>upport</w:t>
      </w:r>
      <w:r w:rsidR="005E63FE">
        <w:rPr>
          <w:rFonts w:ascii="Noto Sans" w:hAnsi="Noto Sans" w:cs="Noto Sans"/>
          <w:b/>
          <w:bCs/>
          <w:sz w:val="24"/>
          <w:szCs w:val="24"/>
          <w:lang w:eastAsia="ja-JP"/>
        </w:rPr>
        <w:t xml:space="preserve"> </w:t>
      </w:r>
      <w:r w:rsidR="00A35D11">
        <w:rPr>
          <w:rFonts w:ascii="Noto Sans" w:hAnsi="Noto Sans" w:cs="Noto Sans"/>
          <w:b/>
          <w:bCs/>
          <w:sz w:val="24"/>
          <w:szCs w:val="24"/>
          <w:lang w:eastAsia="ja-JP"/>
        </w:rPr>
        <w:t xml:space="preserve">the </w:t>
      </w:r>
      <w:r w:rsidR="005167B1">
        <w:rPr>
          <w:rFonts w:ascii="Noto Sans" w:hAnsi="Noto Sans" w:cs="Noto Sans"/>
          <w:b/>
          <w:bCs/>
          <w:sz w:val="24"/>
          <w:szCs w:val="24"/>
          <w:lang w:eastAsia="ja-JP"/>
        </w:rPr>
        <w:t>I</w:t>
      </w:r>
      <w:r w:rsidR="005E63FE">
        <w:rPr>
          <w:rFonts w:ascii="Noto Sans" w:hAnsi="Noto Sans" w:cs="Noto Sans"/>
          <w:b/>
          <w:bCs/>
          <w:sz w:val="24"/>
          <w:szCs w:val="24"/>
          <w:lang w:eastAsia="ja-JP"/>
        </w:rPr>
        <w:t>ndustry</w:t>
      </w:r>
      <w:r w:rsidRPr="000E7D99">
        <w:rPr>
          <w:rFonts w:ascii="Noto Sans" w:hAnsi="Noto Sans" w:cs="Noto Sans"/>
          <w:b/>
          <w:bCs/>
          <w:sz w:val="24"/>
          <w:szCs w:val="24"/>
          <w:lang w:eastAsia="ja-JP"/>
        </w:rPr>
        <w:t xml:space="preserve"> </w:t>
      </w:r>
      <w:r w:rsidR="005167B1">
        <w:rPr>
          <w:rFonts w:ascii="Noto Sans" w:hAnsi="Noto Sans" w:cs="Noto Sans"/>
          <w:b/>
          <w:bCs/>
          <w:sz w:val="24"/>
          <w:szCs w:val="24"/>
          <w:lang w:eastAsia="ja-JP"/>
        </w:rPr>
        <w:t>T</w:t>
      </w:r>
      <w:r w:rsidRPr="000E7D99">
        <w:rPr>
          <w:rFonts w:ascii="Noto Sans" w:hAnsi="Noto Sans" w:cs="Noto Sans"/>
          <w:b/>
          <w:bCs/>
          <w:sz w:val="24"/>
          <w:szCs w:val="24"/>
          <w:lang w:eastAsia="ja-JP"/>
        </w:rPr>
        <w:t xml:space="preserve">ransition to 2D </w:t>
      </w:r>
      <w:r w:rsidR="005167B1">
        <w:rPr>
          <w:rFonts w:ascii="Noto Sans" w:hAnsi="Noto Sans" w:cs="Noto Sans"/>
          <w:b/>
          <w:bCs/>
          <w:sz w:val="24"/>
          <w:szCs w:val="24"/>
          <w:lang w:eastAsia="ja-JP"/>
        </w:rPr>
        <w:t>C</w:t>
      </w:r>
      <w:r w:rsidRPr="000E7D99">
        <w:rPr>
          <w:rFonts w:ascii="Noto Sans" w:hAnsi="Noto Sans" w:cs="Noto Sans"/>
          <w:b/>
          <w:bCs/>
          <w:sz w:val="24"/>
          <w:szCs w:val="24"/>
          <w:lang w:eastAsia="ja-JP"/>
        </w:rPr>
        <w:t>oding</w:t>
      </w:r>
    </w:p>
    <w:p w14:paraId="56B2069C" w14:textId="0E766F8B" w:rsidR="000E7D99" w:rsidRPr="000E7D99" w:rsidRDefault="00A473CA" w:rsidP="000E7D99">
      <w:pPr>
        <w:pStyle w:val="NoSpacing"/>
        <w:spacing w:before="120" w:after="120"/>
        <w:rPr>
          <w:rFonts w:ascii="Noto Sans" w:hAnsi="Noto Sans" w:cs="Noto Sans"/>
          <w:sz w:val="22"/>
          <w:lang w:eastAsia="ja-JP"/>
        </w:rPr>
      </w:pPr>
      <w:hyperlink r:id="rId7" w:history="1">
        <w:r w:rsidR="000E7D99" w:rsidRPr="00A473CA">
          <w:rPr>
            <w:rStyle w:val="Hyperlink"/>
            <w:rFonts w:ascii="Noto Sans" w:hAnsi="Noto Sans" w:cs="Noto Sans"/>
            <w:sz w:val="22"/>
            <w:lang w:eastAsia="ja-JP"/>
          </w:rPr>
          <w:t>Domino Printing Sciences</w:t>
        </w:r>
      </w:hyperlink>
      <w:r w:rsidR="000E7D99" w:rsidRPr="000E7D99">
        <w:rPr>
          <w:rFonts w:ascii="Noto Sans" w:hAnsi="Noto Sans" w:cs="Noto Sans"/>
          <w:sz w:val="22"/>
          <w:lang w:eastAsia="ja-JP"/>
        </w:rPr>
        <w:t xml:space="preserve"> (Domino), a global expert in advanced variable data printing solutions, </w:t>
      </w:r>
      <w:r w:rsidR="00066824">
        <w:rPr>
          <w:rFonts w:ascii="Noto Sans" w:hAnsi="Noto Sans" w:cs="Noto Sans"/>
          <w:sz w:val="22"/>
          <w:lang w:eastAsia="ja-JP"/>
        </w:rPr>
        <w:t>introduces</w:t>
      </w:r>
      <w:r w:rsidR="000E7D99" w:rsidRPr="000E7D99">
        <w:rPr>
          <w:rFonts w:ascii="Noto Sans" w:hAnsi="Noto Sans" w:cs="Noto Sans"/>
          <w:sz w:val="22"/>
          <w:lang w:eastAsia="ja-JP"/>
        </w:rPr>
        <w:t xml:space="preserve"> the </w:t>
      </w:r>
      <w:r w:rsidR="000E7D99" w:rsidRPr="000E7D99">
        <w:rPr>
          <w:rFonts w:ascii="Noto Sans" w:hAnsi="Noto Sans" w:cs="Noto Sans"/>
          <w:b/>
          <w:bCs/>
          <w:sz w:val="22"/>
          <w:lang w:eastAsia="ja-JP"/>
        </w:rPr>
        <w:t>Gx</w:t>
      </w:r>
      <w:r w:rsidR="000E7D99" w:rsidRPr="000E7D99">
        <w:rPr>
          <w:rFonts w:ascii="Noto Sans" w:hAnsi="Noto Sans" w:cs="Noto Sans"/>
          <w:b/>
          <w:bCs/>
          <w:sz w:val="22"/>
          <w:lang w:eastAsia="ja-JP"/>
        </w:rPr>
        <w:noBreakHyphen/>
        <w:t>Series PRO</w:t>
      </w:r>
      <w:r w:rsidR="00F50B09">
        <w:rPr>
          <w:rFonts w:ascii="Noto Sans" w:hAnsi="Noto Sans" w:cs="Noto Sans"/>
          <w:b/>
          <w:bCs/>
          <w:sz w:val="22"/>
          <w:lang w:eastAsia="ja-JP"/>
        </w:rPr>
        <w:t xml:space="preserve"> Printhead</w:t>
      </w:r>
      <w:r w:rsidR="005E63FE">
        <w:rPr>
          <w:rFonts w:ascii="Noto Sans" w:hAnsi="Noto Sans" w:cs="Noto Sans"/>
          <w:sz w:val="22"/>
          <w:lang w:eastAsia="ja-JP"/>
        </w:rPr>
        <w:t>. The new</w:t>
      </w:r>
      <w:r w:rsidR="000E7D99" w:rsidRPr="000E7D99">
        <w:rPr>
          <w:rFonts w:ascii="Noto Sans" w:hAnsi="Noto Sans" w:cs="Noto Sans"/>
          <w:sz w:val="22"/>
          <w:lang w:eastAsia="ja-JP"/>
        </w:rPr>
        <w:t xml:space="preserve"> </w:t>
      </w:r>
      <w:r w:rsidR="00A35D11" w:rsidRPr="000E7D99">
        <w:rPr>
          <w:rFonts w:ascii="Noto Sans" w:hAnsi="Noto Sans" w:cs="Noto Sans"/>
          <w:sz w:val="22"/>
          <w:lang w:eastAsia="ja-JP"/>
        </w:rPr>
        <w:t xml:space="preserve">thermal inkjet (TIJ) </w:t>
      </w:r>
      <w:r w:rsidR="005E63FE">
        <w:rPr>
          <w:rFonts w:ascii="Noto Sans" w:hAnsi="Noto Sans" w:cs="Noto Sans"/>
          <w:sz w:val="22"/>
          <w:lang w:eastAsia="ja-JP"/>
        </w:rPr>
        <w:t xml:space="preserve">solution </w:t>
      </w:r>
      <w:r w:rsidR="00A35D11">
        <w:rPr>
          <w:rFonts w:ascii="Noto Sans" w:hAnsi="Noto Sans" w:cs="Noto Sans"/>
          <w:sz w:val="22"/>
          <w:lang w:eastAsia="ja-JP"/>
        </w:rPr>
        <w:t xml:space="preserve">is </w:t>
      </w:r>
      <w:r w:rsidR="000E7D99" w:rsidRPr="000E7D99">
        <w:rPr>
          <w:rFonts w:ascii="Noto Sans" w:hAnsi="Noto Sans" w:cs="Noto Sans"/>
          <w:sz w:val="22"/>
          <w:lang w:eastAsia="ja-JP"/>
        </w:rPr>
        <w:t>designed to help manufacturers prepare for the industry’s transition to GS1 Digital Link and variable 2D codes.</w:t>
      </w:r>
    </w:p>
    <w:p w14:paraId="5181E21D" w14:textId="1255EA7E" w:rsidR="000E7D99" w:rsidRPr="000E7D99" w:rsidRDefault="00A35D11" w:rsidP="000E7D99">
      <w:pPr>
        <w:pStyle w:val="NoSpacing"/>
        <w:spacing w:before="120" w:after="120"/>
        <w:rPr>
          <w:rFonts w:ascii="Noto Sans" w:hAnsi="Noto Sans" w:cs="Noto Sans"/>
          <w:sz w:val="22"/>
          <w:lang w:eastAsia="ja-JP"/>
        </w:rPr>
      </w:pPr>
      <w:r w:rsidRPr="00A35D11">
        <w:rPr>
          <w:rFonts w:ascii="Noto Sans" w:hAnsi="Noto Sans" w:cs="Noto Sans"/>
          <w:sz w:val="22"/>
          <w:lang w:eastAsia="ja-JP"/>
        </w:rPr>
        <w:t xml:space="preserve">As retailers and supply chains push for greater transparency and accuracy, the move to GS1 2D coding </w:t>
      </w:r>
      <w:r w:rsidR="0020051F">
        <w:rPr>
          <w:rFonts w:ascii="Noto Sans" w:hAnsi="Noto Sans" w:cs="Noto Sans"/>
          <w:sz w:val="22"/>
          <w:lang w:eastAsia="ja-JP"/>
        </w:rPr>
        <w:t>has</w:t>
      </w:r>
      <w:r w:rsidRPr="00A35D11">
        <w:rPr>
          <w:rFonts w:ascii="Noto Sans" w:hAnsi="Noto Sans" w:cs="Noto Sans"/>
          <w:sz w:val="22"/>
          <w:lang w:eastAsia="ja-JP"/>
        </w:rPr>
        <w:t xml:space="preserve"> becom</w:t>
      </w:r>
      <w:r w:rsidR="0020051F">
        <w:rPr>
          <w:rFonts w:ascii="Noto Sans" w:hAnsi="Noto Sans" w:cs="Noto Sans"/>
          <w:sz w:val="22"/>
          <w:lang w:eastAsia="ja-JP"/>
        </w:rPr>
        <w:t>e</w:t>
      </w:r>
      <w:r w:rsidRPr="00A35D11">
        <w:rPr>
          <w:rFonts w:ascii="Noto Sans" w:hAnsi="Noto Sans" w:cs="Noto Sans"/>
          <w:sz w:val="22"/>
          <w:lang w:eastAsia="ja-JP"/>
        </w:rPr>
        <w:t xml:space="preserve"> one of the most significant developments </w:t>
      </w:r>
      <w:r>
        <w:rPr>
          <w:rFonts w:ascii="Noto Sans" w:hAnsi="Noto Sans" w:cs="Noto Sans"/>
          <w:sz w:val="22"/>
          <w:lang w:eastAsia="ja-JP"/>
        </w:rPr>
        <w:t>for</w:t>
      </w:r>
      <w:r w:rsidRPr="00A35D11">
        <w:rPr>
          <w:rFonts w:ascii="Noto Sans" w:hAnsi="Noto Sans" w:cs="Noto Sans"/>
          <w:sz w:val="22"/>
          <w:lang w:eastAsia="ja-JP"/>
        </w:rPr>
        <w:t xml:space="preserve"> </w:t>
      </w:r>
      <w:r>
        <w:rPr>
          <w:rFonts w:ascii="Noto Sans" w:hAnsi="Noto Sans" w:cs="Noto Sans"/>
          <w:sz w:val="22"/>
          <w:lang w:eastAsia="ja-JP"/>
        </w:rPr>
        <w:t xml:space="preserve">packaging </w:t>
      </w:r>
      <w:r w:rsidRPr="00A35D11">
        <w:rPr>
          <w:rFonts w:ascii="Noto Sans" w:hAnsi="Noto Sans" w:cs="Noto Sans"/>
          <w:sz w:val="22"/>
          <w:lang w:eastAsia="ja-JP"/>
        </w:rPr>
        <w:t>identification.</w:t>
      </w:r>
      <w:r>
        <w:rPr>
          <w:rFonts w:ascii="Noto Sans" w:hAnsi="Noto Sans" w:cs="Noto Sans"/>
          <w:sz w:val="22"/>
          <w:lang w:eastAsia="ja-JP"/>
        </w:rPr>
        <w:t xml:space="preserve"> </w:t>
      </w:r>
      <w:r w:rsidR="000E7D99" w:rsidRPr="000E7D99">
        <w:rPr>
          <w:rFonts w:ascii="Noto Sans" w:hAnsi="Noto Sans" w:cs="Noto Sans"/>
          <w:sz w:val="22"/>
          <w:lang w:eastAsia="ja-JP"/>
        </w:rPr>
        <w:t>Manufacturers now require coding systems that can deliver larger print areas, higher contrast, and higher</w:t>
      </w:r>
      <w:r w:rsidR="000E7D99" w:rsidRPr="000E7D99">
        <w:rPr>
          <w:rFonts w:ascii="Noto Sans" w:hAnsi="Noto Sans" w:cs="Noto Sans"/>
          <w:sz w:val="22"/>
          <w:lang w:eastAsia="ja-JP"/>
        </w:rPr>
        <w:noBreakHyphen/>
        <w:t>speed performance, all while maintaining accuracy on increasingly complex production lines.</w:t>
      </w:r>
    </w:p>
    <w:p w14:paraId="7ECC6685" w14:textId="4B3D1425"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 xml:space="preserve">Series PRO </w:t>
      </w:r>
      <w:r w:rsidR="00F50B09">
        <w:rPr>
          <w:rFonts w:ascii="Noto Sans" w:hAnsi="Noto Sans" w:cs="Noto Sans"/>
          <w:b/>
          <w:bCs/>
          <w:sz w:val="22"/>
          <w:lang w:eastAsia="ja-JP"/>
        </w:rPr>
        <w:t xml:space="preserve">Printhead </w:t>
      </w:r>
      <w:r w:rsidR="002A080F">
        <w:rPr>
          <w:rFonts w:ascii="Noto Sans" w:hAnsi="Noto Sans" w:cs="Noto Sans"/>
          <w:sz w:val="22"/>
          <w:lang w:eastAsia="ja-JP"/>
        </w:rPr>
        <w:t>has been</w:t>
      </w:r>
      <w:r w:rsidRPr="000E7D99">
        <w:rPr>
          <w:rFonts w:ascii="Noto Sans" w:hAnsi="Noto Sans" w:cs="Noto Sans"/>
          <w:sz w:val="22"/>
          <w:lang w:eastAsia="ja-JP"/>
        </w:rPr>
        <w:t xml:space="preserve"> developed around three core priorities:</w:t>
      </w:r>
    </w:p>
    <w:p w14:paraId="61465F3D" w14:textId="77777777" w:rsidR="007043CB" w:rsidRPr="007043CB" w:rsidRDefault="007043CB" w:rsidP="007043CB">
      <w:pPr>
        <w:pStyle w:val="NoSpacing"/>
        <w:numPr>
          <w:ilvl w:val="0"/>
          <w:numId w:val="3"/>
        </w:numPr>
        <w:rPr>
          <w:rFonts w:ascii="Noto Sans" w:hAnsi="Noto Sans" w:cs="Noto Sans"/>
          <w:sz w:val="22"/>
          <w:lang w:eastAsia="ja-JP"/>
        </w:rPr>
      </w:pPr>
      <w:r w:rsidRPr="007043CB">
        <w:rPr>
          <w:rFonts w:ascii="Noto Sans" w:hAnsi="Noto Sans" w:cs="Noto Sans"/>
          <w:b/>
          <w:bCs/>
          <w:sz w:val="22"/>
          <w:lang w:eastAsia="ja-JP"/>
        </w:rPr>
        <w:t>Waste reduction</w:t>
      </w:r>
      <w:r w:rsidRPr="007043CB">
        <w:rPr>
          <w:rFonts w:ascii="Noto Sans" w:hAnsi="Noto Sans" w:cs="Noto Sans"/>
          <w:sz w:val="22"/>
          <w:lang w:eastAsia="ja-JP"/>
        </w:rPr>
        <w:t xml:space="preserve"> – supports applications such as dynamic pricing, automated expiry checks, and faster, more accurate recalls by embedding best</w:t>
      </w:r>
      <w:r w:rsidRPr="007043CB">
        <w:rPr>
          <w:rFonts w:ascii="Noto Sans" w:hAnsi="Noto Sans" w:cs="Noto Sans"/>
          <w:sz w:val="22"/>
          <w:lang w:eastAsia="ja-JP"/>
        </w:rPr>
        <w:noBreakHyphen/>
        <w:t xml:space="preserve">before and batch information directly in each 2D code. Combined with </w:t>
      </w:r>
      <w:r w:rsidRPr="007043CB">
        <w:rPr>
          <w:rFonts w:ascii="Noto Sans" w:hAnsi="Noto Sans" w:cs="Noto Sans"/>
          <w:b/>
          <w:bCs/>
          <w:sz w:val="22"/>
          <w:lang w:eastAsia="ja-JP"/>
        </w:rPr>
        <w:t>Domino Automation</w:t>
      </w:r>
      <w:r w:rsidRPr="007043CB">
        <w:rPr>
          <w:rFonts w:ascii="Noto Sans" w:hAnsi="Noto Sans" w:cs="Noto Sans"/>
          <w:sz w:val="22"/>
          <w:lang w:eastAsia="ja-JP"/>
        </w:rPr>
        <w:t>, its centralised label management and automated deployment software, manufacturers and retailers can ensure codes are correct before print, reduce product and label waste, and mitigate the significant financial, regulatory, and reputational risks of product recalls.</w:t>
      </w:r>
    </w:p>
    <w:p w14:paraId="0286036B" w14:textId="00CA6539" w:rsidR="000E7D99" w:rsidRPr="000E7D99" w:rsidRDefault="000E7D99" w:rsidP="000E7D99">
      <w:pPr>
        <w:pStyle w:val="NoSpacing"/>
        <w:numPr>
          <w:ilvl w:val="0"/>
          <w:numId w:val="3"/>
        </w:numPr>
        <w:spacing w:before="120" w:after="120"/>
        <w:rPr>
          <w:rFonts w:ascii="Noto Sans" w:hAnsi="Noto Sans" w:cs="Noto Sans"/>
          <w:sz w:val="22"/>
          <w:lang w:eastAsia="ja-JP"/>
        </w:rPr>
      </w:pPr>
      <w:r w:rsidRPr="007043CB">
        <w:rPr>
          <w:rFonts w:ascii="Noto Sans" w:hAnsi="Noto Sans" w:cs="Noto Sans"/>
          <w:b/>
          <w:bCs/>
          <w:sz w:val="22"/>
          <w:lang w:eastAsia="ja-JP"/>
        </w:rPr>
        <w:t>Speed</w:t>
      </w:r>
      <w:r w:rsidRPr="000E7D99">
        <w:rPr>
          <w:rFonts w:ascii="Noto Sans" w:hAnsi="Noto Sans" w:cs="Noto Sans"/>
          <w:sz w:val="22"/>
          <w:lang w:eastAsia="ja-JP"/>
        </w:rPr>
        <w:t xml:space="preserve"> – delivering crisp, high</w:t>
      </w:r>
      <w:r w:rsidRPr="000E7D99">
        <w:rPr>
          <w:rFonts w:ascii="Noto Sans" w:hAnsi="Noto Sans" w:cs="Noto Sans"/>
          <w:sz w:val="22"/>
          <w:lang w:eastAsia="ja-JP"/>
        </w:rPr>
        <w:noBreakHyphen/>
        <w:t xml:space="preserve">contrast GS1 2D codes at industrial line speeds, supported by seamless integration with </w:t>
      </w:r>
      <w:r w:rsidRPr="000C63A7">
        <w:rPr>
          <w:rFonts w:ascii="Noto Sans" w:hAnsi="Noto Sans" w:cs="Noto Sans"/>
          <w:sz w:val="22"/>
          <w:lang w:eastAsia="ja-JP"/>
        </w:rPr>
        <w:t>Domino’s</w:t>
      </w:r>
      <w:r w:rsidRPr="007043CB">
        <w:rPr>
          <w:rFonts w:ascii="Noto Sans" w:hAnsi="Noto Sans" w:cs="Noto Sans"/>
          <w:b/>
          <w:bCs/>
          <w:sz w:val="22"/>
          <w:lang w:eastAsia="ja-JP"/>
        </w:rPr>
        <w:t xml:space="preserve"> R</w:t>
      </w:r>
      <w:r w:rsidRPr="007043CB">
        <w:rPr>
          <w:rFonts w:ascii="Noto Sans" w:hAnsi="Noto Sans" w:cs="Noto Sans"/>
          <w:b/>
          <w:bCs/>
          <w:sz w:val="22"/>
          <w:lang w:eastAsia="ja-JP"/>
        </w:rPr>
        <w:noBreakHyphen/>
        <w:t>Series</w:t>
      </w:r>
      <w:r w:rsidRPr="000E7D99">
        <w:rPr>
          <w:rFonts w:ascii="Noto Sans" w:hAnsi="Noto Sans" w:cs="Noto Sans"/>
          <w:sz w:val="22"/>
          <w:lang w:eastAsia="ja-JP"/>
        </w:rPr>
        <w:t xml:space="preserve"> </w:t>
      </w:r>
      <w:r w:rsidR="00E75F34">
        <w:rPr>
          <w:rFonts w:ascii="Noto Sans" w:hAnsi="Noto Sans" w:cs="Noto Sans"/>
          <w:sz w:val="22"/>
          <w:lang w:eastAsia="ja-JP"/>
        </w:rPr>
        <w:t xml:space="preserve">smart </w:t>
      </w:r>
      <w:r w:rsidRPr="000E7D99">
        <w:rPr>
          <w:rFonts w:ascii="Noto Sans" w:hAnsi="Noto Sans" w:cs="Noto Sans"/>
          <w:sz w:val="22"/>
          <w:lang w:eastAsia="ja-JP"/>
        </w:rPr>
        <w:t>vision system for automated</w:t>
      </w:r>
      <w:r w:rsidR="004D655A">
        <w:rPr>
          <w:rFonts w:ascii="Noto Sans" w:hAnsi="Noto Sans" w:cs="Noto Sans"/>
          <w:sz w:val="22"/>
          <w:lang w:eastAsia="ja-JP"/>
        </w:rPr>
        <w:t xml:space="preserve"> </w:t>
      </w:r>
      <w:r w:rsidR="00E75F34">
        <w:rPr>
          <w:rFonts w:ascii="Noto Sans" w:hAnsi="Noto Sans" w:cs="Noto Sans"/>
          <w:sz w:val="22"/>
          <w:lang w:eastAsia="ja-JP"/>
        </w:rPr>
        <w:t xml:space="preserve">inline </w:t>
      </w:r>
      <w:r w:rsidRPr="000E7D99">
        <w:rPr>
          <w:rFonts w:ascii="Noto Sans" w:hAnsi="Noto Sans" w:cs="Noto Sans"/>
          <w:sz w:val="22"/>
          <w:lang w:eastAsia="ja-JP"/>
        </w:rPr>
        <w:t>inspection</w:t>
      </w:r>
      <w:r w:rsidR="00E75F34">
        <w:rPr>
          <w:rFonts w:ascii="Noto Sans" w:hAnsi="Noto Sans" w:cs="Noto Sans"/>
          <w:sz w:val="22"/>
          <w:lang w:eastAsia="ja-JP"/>
        </w:rPr>
        <w:t xml:space="preserve"> to check every code and detect issues before they impact production. </w:t>
      </w:r>
    </w:p>
    <w:p w14:paraId="5E01F01D" w14:textId="3972D6FC" w:rsidR="000E7D99" w:rsidRPr="000E7D99" w:rsidRDefault="000E7D99" w:rsidP="000E7D99">
      <w:pPr>
        <w:pStyle w:val="NoSpacing"/>
        <w:numPr>
          <w:ilvl w:val="0"/>
          <w:numId w:val="3"/>
        </w:numPr>
        <w:spacing w:before="120" w:after="120"/>
        <w:rPr>
          <w:rFonts w:ascii="Noto Sans" w:hAnsi="Noto Sans" w:cs="Noto Sans"/>
          <w:sz w:val="22"/>
          <w:lang w:eastAsia="ja-JP"/>
        </w:rPr>
      </w:pPr>
      <w:r w:rsidRPr="007043CB">
        <w:rPr>
          <w:rFonts w:ascii="Noto Sans" w:hAnsi="Noto Sans" w:cs="Noto Sans"/>
          <w:b/>
          <w:bCs/>
          <w:sz w:val="22"/>
          <w:lang w:eastAsia="ja-JP"/>
        </w:rPr>
        <w:t>Compliance</w:t>
      </w:r>
      <w:r w:rsidRPr="000E7D99">
        <w:rPr>
          <w:rFonts w:ascii="Noto Sans" w:hAnsi="Noto Sans" w:cs="Noto Sans"/>
          <w:sz w:val="22"/>
          <w:lang w:eastAsia="ja-JP"/>
        </w:rPr>
        <w:t xml:space="preserve"> </w:t>
      </w:r>
      <w:r w:rsidR="007043CB" w:rsidRPr="000E7D99">
        <w:rPr>
          <w:rFonts w:ascii="Noto Sans" w:hAnsi="Noto Sans" w:cs="Noto Sans"/>
          <w:sz w:val="22"/>
          <w:lang w:eastAsia="ja-JP"/>
        </w:rPr>
        <w:t>– helping</w:t>
      </w:r>
      <w:r w:rsidR="007043CB">
        <w:rPr>
          <w:rFonts w:ascii="Noto Sans" w:hAnsi="Noto Sans" w:cs="Noto Sans"/>
          <w:sz w:val="22"/>
          <w:lang w:eastAsia="ja-JP"/>
        </w:rPr>
        <w:t xml:space="preserve"> </w:t>
      </w:r>
      <w:r w:rsidRPr="000E7D99">
        <w:rPr>
          <w:rFonts w:ascii="Noto Sans" w:hAnsi="Noto Sans" w:cs="Noto Sans"/>
          <w:sz w:val="22"/>
          <w:lang w:eastAsia="ja-JP"/>
        </w:rPr>
        <w:t xml:space="preserve">food </w:t>
      </w:r>
      <w:r w:rsidR="000627F9">
        <w:rPr>
          <w:rFonts w:ascii="Noto Sans" w:hAnsi="Noto Sans" w:cs="Noto Sans"/>
          <w:sz w:val="22"/>
          <w:lang w:eastAsia="ja-JP"/>
        </w:rPr>
        <w:t xml:space="preserve">manufacturers </w:t>
      </w:r>
      <w:r w:rsidR="007043CB">
        <w:rPr>
          <w:rFonts w:ascii="Noto Sans" w:hAnsi="Noto Sans" w:cs="Noto Sans"/>
          <w:sz w:val="22"/>
          <w:lang w:eastAsia="ja-JP"/>
        </w:rPr>
        <w:t xml:space="preserve">adhere to </w:t>
      </w:r>
      <w:r w:rsidR="007043CB" w:rsidRPr="000E7D99">
        <w:rPr>
          <w:rFonts w:ascii="Noto Sans" w:hAnsi="Noto Sans" w:cs="Noto Sans"/>
          <w:sz w:val="22"/>
          <w:lang w:eastAsia="ja-JP"/>
        </w:rPr>
        <w:t>legislation</w:t>
      </w:r>
      <w:r w:rsidR="00AB04B7">
        <w:rPr>
          <w:rFonts w:ascii="Noto Sans" w:hAnsi="Noto Sans" w:cs="Noto Sans"/>
          <w:sz w:val="22"/>
          <w:lang w:eastAsia="ja-JP"/>
        </w:rPr>
        <w:t>, Domino is developing</w:t>
      </w:r>
      <w:r w:rsidR="00BD23CA">
        <w:rPr>
          <w:rFonts w:ascii="Noto Sans" w:hAnsi="Noto Sans" w:cs="Noto Sans"/>
          <w:sz w:val="22"/>
          <w:lang w:eastAsia="ja-JP"/>
        </w:rPr>
        <w:t xml:space="preserve"> </w:t>
      </w:r>
      <w:r w:rsidR="00AB04B7">
        <w:rPr>
          <w:rFonts w:ascii="Noto Sans" w:hAnsi="Noto Sans" w:cs="Noto Sans"/>
          <w:sz w:val="22"/>
          <w:lang w:eastAsia="ja-JP"/>
        </w:rPr>
        <w:t xml:space="preserve">both water-based and solvent-based </w:t>
      </w:r>
      <w:r w:rsidR="00BD23CA">
        <w:rPr>
          <w:rFonts w:ascii="Noto Sans" w:hAnsi="Noto Sans" w:cs="Noto Sans"/>
          <w:sz w:val="22"/>
          <w:lang w:eastAsia="ja-JP"/>
        </w:rPr>
        <w:t>food</w:t>
      </w:r>
      <w:r w:rsidR="00F50B09">
        <w:rPr>
          <w:rFonts w:ascii="Noto Sans" w:hAnsi="Noto Sans" w:cs="Noto Sans"/>
          <w:sz w:val="22"/>
          <w:lang w:eastAsia="ja-JP"/>
        </w:rPr>
        <w:t xml:space="preserve"> packaging compliant</w:t>
      </w:r>
      <w:r w:rsidRPr="000E7D99">
        <w:rPr>
          <w:rFonts w:ascii="Noto Sans" w:hAnsi="Noto Sans" w:cs="Noto Sans"/>
          <w:sz w:val="22"/>
          <w:lang w:eastAsia="ja-JP"/>
        </w:rPr>
        <w:t xml:space="preserve"> inks. Domino is </w:t>
      </w:r>
      <w:r w:rsidR="007043CB">
        <w:rPr>
          <w:rFonts w:ascii="Noto Sans" w:hAnsi="Noto Sans" w:cs="Noto Sans"/>
          <w:sz w:val="22"/>
          <w:lang w:eastAsia="ja-JP"/>
        </w:rPr>
        <w:t xml:space="preserve">leading the way with </w:t>
      </w:r>
      <w:r w:rsidR="00F50B09">
        <w:rPr>
          <w:rFonts w:ascii="Noto Sans" w:hAnsi="Noto Sans" w:cs="Noto Sans"/>
          <w:sz w:val="22"/>
          <w:lang w:eastAsia="ja-JP"/>
        </w:rPr>
        <w:t>food packaging</w:t>
      </w:r>
      <w:r w:rsidR="008E29C7">
        <w:rPr>
          <w:rFonts w:ascii="Noto Sans" w:hAnsi="Noto Sans" w:cs="Noto Sans"/>
          <w:sz w:val="22"/>
          <w:lang w:eastAsia="ja-JP"/>
        </w:rPr>
        <w:t xml:space="preserve"> </w:t>
      </w:r>
      <w:r w:rsidRPr="000E7D99">
        <w:rPr>
          <w:rFonts w:ascii="Noto Sans" w:hAnsi="Noto Sans" w:cs="Noto Sans"/>
          <w:sz w:val="22"/>
          <w:lang w:eastAsia="ja-JP"/>
        </w:rPr>
        <w:t xml:space="preserve">inks </w:t>
      </w:r>
      <w:r w:rsidR="00F50B09">
        <w:rPr>
          <w:rFonts w:ascii="Noto Sans" w:hAnsi="Noto Sans" w:cs="Noto Sans"/>
          <w:sz w:val="22"/>
          <w:lang w:eastAsia="ja-JP"/>
        </w:rPr>
        <w:t>manufactured in accordance with EuPIA GMP</w:t>
      </w:r>
      <w:r w:rsidRPr="000E7D99">
        <w:rPr>
          <w:rFonts w:ascii="Noto Sans" w:hAnsi="Noto Sans" w:cs="Noto Sans"/>
          <w:sz w:val="22"/>
          <w:lang w:eastAsia="ja-JP"/>
        </w:rPr>
        <w:t>.</w:t>
      </w:r>
    </w:p>
    <w:p w14:paraId="0B6565C0" w14:textId="37920D22"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With a 23 mm print height, high optical density, </w:t>
      </w:r>
      <w:r w:rsidR="00BD23CA">
        <w:rPr>
          <w:rFonts w:ascii="Noto Sans" w:hAnsi="Noto Sans" w:cs="Noto Sans"/>
          <w:sz w:val="22"/>
          <w:lang w:eastAsia="ja-JP"/>
        </w:rPr>
        <w:t xml:space="preserve">high resolution </w:t>
      </w:r>
      <w:r w:rsidRPr="000E7D99">
        <w:rPr>
          <w:rFonts w:ascii="Noto Sans" w:hAnsi="Noto Sans" w:cs="Noto Sans"/>
          <w:sz w:val="22"/>
          <w:lang w:eastAsia="ja-JP"/>
        </w:rPr>
        <w:t xml:space="preserve">and </w:t>
      </w:r>
      <w:r w:rsidR="00AB04B7">
        <w:rPr>
          <w:rFonts w:ascii="Noto Sans" w:hAnsi="Noto Sans" w:cs="Noto Sans"/>
          <w:sz w:val="22"/>
          <w:lang w:eastAsia="ja-JP"/>
        </w:rPr>
        <w:t>long</w:t>
      </w:r>
      <w:r w:rsidRPr="000E7D99">
        <w:rPr>
          <w:rFonts w:ascii="Noto Sans" w:hAnsi="Noto Sans" w:cs="Noto Sans"/>
          <w:sz w:val="22"/>
          <w:lang w:eastAsia="ja-JP"/>
        </w:rPr>
        <w:t xml:space="preserve"> throw distance, 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Pr>
          <w:rFonts w:ascii="Noto Sans" w:hAnsi="Noto Sans" w:cs="Noto Sans"/>
          <w:sz w:val="22"/>
          <w:lang w:eastAsia="ja-JP"/>
        </w:rPr>
        <w:t xml:space="preserve"> </w:t>
      </w:r>
      <w:r w:rsidRPr="000E7D99">
        <w:rPr>
          <w:rFonts w:ascii="Noto Sans" w:hAnsi="Noto Sans" w:cs="Noto Sans"/>
          <w:sz w:val="22"/>
          <w:lang w:eastAsia="ja-JP"/>
        </w:rPr>
        <w:t>is ideal for high</w:t>
      </w:r>
      <w:r w:rsidRPr="000E7D99">
        <w:rPr>
          <w:rFonts w:ascii="Noto Sans" w:hAnsi="Noto Sans" w:cs="Noto Sans"/>
          <w:sz w:val="22"/>
          <w:lang w:eastAsia="ja-JP"/>
        </w:rPr>
        <w:noBreakHyphen/>
        <w:t xml:space="preserve">throughput food </w:t>
      </w:r>
      <w:r w:rsidR="00BD23CA">
        <w:rPr>
          <w:rFonts w:ascii="Noto Sans" w:hAnsi="Noto Sans" w:cs="Noto Sans"/>
          <w:sz w:val="22"/>
          <w:lang w:eastAsia="ja-JP"/>
        </w:rPr>
        <w:t xml:space="preserve">packaging </w:t>
      </w:r>
      <w:r w:rsidRPr="000E7D99">
        <w:rPr>
          <w:rFonts w:ascii="Noto Sans" w:hAnsi="Noto Sans" w:cs="Noto Sans"/>
          <w:sz w:val="22"/>
          <w:lang w:eastAsia="ja-JP"/>
        </w:rPr>
        <w:t>applications, fresh and chilled products</w:t>
      </w:r>
      <w:r w:rsidR="009A32B3">
        <w:rPr>
          <w:rFonts w:ascii="Noto Sans" w:hAnsi="Noto Sans" w:cs="Noto Sans"/>
          <w:sz w:val="22"/>
          <w:lang w:eastAsia="ja-JP"/>
        </w:rPr>
        <w:t xml:space="preserve"> – including meat, fish, and poultry –</w:t>
      </w:r>
      <w:r w:rsidRPr="000E7D99">
        <w:rPr>
          <w:rFonts w:ascii="Noto Sans" w:hAnsi="Noto Sans" w:cs="Noto Sans"/>
          <w:sz w:val="22"/>
          <w:lang w:eastAsia="ja-JP"/>
        </w:rPr>
        <w:t xml:space="preserve"> pharmaceuticals, and direct</w:t>
      </w:r>
      <w:r w:rsidRPr="000E7D99">
        <w:rPr>
          <w:rFonts w:ascii="Noto Sans" w:hAnsi="Noto Sans" w:cs="Noto Sans"/>
          <w:sz w:val="22"/>
          <w:lang w:eastAsia="ja-JP"/>
        </w:rPr>
        <w:noBreakHyphen/>
        <w:t>to</w:t>
      </w:r>
      <w:r w:rsidRPr="000E7D99">
        <w:rPr>
          <w:rFonts w:ascii="Noto Sans" w:hAnsi="Noto Sans" w:cs="Noto Sans"/>
          <w:sz w:val="22"/>
          <w:lang w:eastAsia="ja-JP"/>
        </w:rPr>
        <w:noBreakHyphen/>
        <w:t>box printing</w:t>
      </w:r>
      <w:r w:rsidR="00BD23CA">
        <w:rPr>
          <w:rFonts w:ascii="Noto Sans" w:hAnsi="Noto Sans" w:cs="Noto Sans"/>
          <w:sz w:val="22"/>
          <w:lang w:eastAsia="ja-JP"/>
        </w:rPr>
        <w:t xml:space="preserve"> whil</w:t>
      </w:r>
      <w:r w:rsidR="00D37A0A">
        <w:rPr>
          <w:rFonts w:ascii="Noto Sans" w:hAnsi="Noto Sans" w:cs="Noto Sans"/>
          <w:sz w:val="22"/>
          <w:lang w:eastAsia="ja-JP"/>
        </w:rPr>
        <w:t>s</w:t>
      </w:r>
      <w:r w:rsidR="00BD23CA">
        <w:rPr>
          <w:rFonts w:ascii="Noto Sans" w:hAnsi="Noto Sans" w:cs="Noto Sans"/>
          <w:sz w:val="22"/>
          <w:lang w:eastAsia="ja-JP"/>
        </w:rPr>
        <w:t>t also having significant appeal for general purpose applications</w:t>
      </w:r>
      <w:r w:rsidRPr="000E7D99">
        <w:rPr>
          <w:rFonts w:ascii="Noto Sans" w:hAnsi="Noto Sans" w:cs="Noto Sans"/>
          <w:sz w:val="22"/>
          <w:lang w:eastAsia="ja-JP"/>
        </w:rPr>
        <w:t xml:space="preserve">. When combined with </w:t>
      </w:r>
      <w:r w:rsidRPr="000E7D99">
        <w:rPr>
          <w:rFonts w:ascii="Noto Sans" w:hAnsi="Noto Sans" w:cs="Noto Sans"/>
          <w:b/>
          <w:bCs/>
          <w:sz w:val="22"/>
          <w:lang w:eastAsia="ja-JP"/>
        </w:rPr>
        <w:t>Domino Automation</w:t>
      </w:r>
      <w:r w:rsidRPr="000E7D99">
        <w:rPr>
          <w:rFonts w:ascii="Noto Sans" w:hAnsi="Noto Sans" w:cs="Noto Sans"/>
          <w:sz w:val="22"/>
          <w:lang w:eastAsia="ja-JP"/>
        </w:rPr>
        <w:t xml:space="preserve"> and </w:t>
      </w:r>
      <w:r w:rsidRPr="000E7D99">
        <w:rPr>
          <w:rFonts w:ascii="Noto Sans" w:hAnsi="Noto Sans" w:cs="Noto Sans"/>
          <w:b/>
          <w:bCs/>
          <w:sz w:val="22"/>
          <w:lang w:eastAsia="ja-JP"/>
        </w:rPr>
        <w:t>R</w:t>
      </w:r>
      <w:r w:rsidRPr="000E7D99">
        <w:rPr>
          <w:rFonts w:ascii="Noto Sans" w:hAnsi="Noto Sans" w:cs="Noto Sans"/>
          <w:b/>
          <w:bCs/>
          <w:sz w:val="22"/>
          <w:lang w:eastAsia="ja-JP"/>
        </w:rPr>
        <w:noBreakHyphen/>
        <w:t>Series</w:t>
      </w:r>
      <w:r w:rsidRPr="007043CB">
        <w:rPr>
          <w:rFonts w:ascii="Noto Sans" w:hAnsi="Noto Sans" w:cs="Noto Sans"/>
          <w:sz w:val="22"/>
          <w:lang w:eastAsia="ja-JP"/>
        </w:rPr>
        <w:t xml:space="preserve"> </w:t>
      </w:r>
      <w:r w:rsidR="005167B1" w:rsidRPr="007043CB">
        <w:rPr>
          <w:rFonts w:ascii="Noto Sans" w:hAnsi="Noto Sans" w:cs="Noto Sans"/>
          <w:sz w:val="22"/>
          <w:lang w:eastAsia="ja-JP"/>
        </w:rPr>
        <w:t>smart</w:t>
      </w:r>
      <w:r w:rsidR="005167B1">
        <w:rPr>
          <w:rFonts w:ascii="Noto Sans" w:hAnsi="Noto Sans" w:cs="Noto Sans"/>
          <w:b/>
          <w:bCs/>
          <w:sz w:val="22"/>
          <w:lang w:eastAsia="ja-JP"/>
        </w:rPr>
        <w:t xml:space="preserve"> </w:t>
      </w:r>
      <w:r w:rsidRPr="007043CB">
        <w:rPr>
          <w:rFonts w:ascii="Noto Sans" w:hAnsi="Noto Sans" w:cs="Noto Sans"/>
          <w:sz w:val="22"/>
          <w:lang w:eastAsia="ja-JP"/>
        </w:rPr>
        <w:t>vision</w:t>
      </w:r>
      <w:r w:rsidR="005167B1">
        <w:rPr>
          <w:rFonts w:ascii="Noto Sans" w:hAnsi="Noto Sans" w:cs="Noto Sans"/>
          <w:sz w:val="22"/>
          <w:lang w:eastAsia="ja-JP"/>
        </w:rPr>
        <w:t xml:space="preserve"> system</w:t>
      </w:r>
      <w:r w:rsidR="00BD23CA">
        <w:rPr>
          <w:rFonts w:ascii="Noto Sans" w:hAnsi="Noto Sans" w:cs="Noto Sans"/>
          <w:sz w:val="22"/>
          <w:lang w:eastAsia="ja-JP"/>
        </w:rPr>
        <w:t>s</w:t>
      </w:r>
      <w:r w:rsidRPr="000E7D99">
        <w:rPr>
          <w:rFonts w:ascii="Noto Sans" w:hAnsi="Noto Sans" w:cs="Noto Sans"/>
          <w:sz w:val="22"/>
          <w:lang w:eastAsia="ja-JP"/>
        </w:rPr>
        <w:t xml:space="preserve">, the </w:t>
      </w:r>
      <w:r w:rsidR="005167B1">
        <w:rPr>
          <w:rFonts w:ascii="Noto Sans" w:hAnsi="Noto Sans" w:cs="Noto Sans"/>
          <w:sz w:val="22"/>
          <w:lang w:eastAsia="ja-JP"/>
        </w:rPr>
        <w:t xml:space="preserve">result </w:t>
      </w:r>
      <w:r w:rsidR="00790CDB">
        <w:rPr>
          <w:rFonts w:ascii="Noto Sans" w:hAnsi="Noto Sans" w:cs="Noto Sans"/>
          <w:sz w:val="22"/>
          <w:lang w:eastAsia="ja-JP"/>
        </w:rPr>
        <w:t xml:space="preserve">is </w:t>
      </w:r>
      <w:r w:rsidRPr="000E7D99">
        <w:rPr>
          <w:rFonts w:ascii="Noto Sans" w:hAnsi="Noto Sans" w:cs="Noto Sans"/>
          <w:sz w:val="22"/>
          <w:lang w:eastAsia="ja-JP"/>
        </w:rPr>
        <w:t>a fully integrated coding, verification, and data management solution from a single supplier.</w:t>
      </w:r>
    </w:p>
    <w:p w14:paraId="4BFD28BA" w14:textId="7ED71736"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James Gibbins, Global Thermal Inkjet Product Manager</w:t>
      </w:r>
      <w:r w:rsidR="00E032D8">
        <w:rPr>
          <w:rFonts w:ascii="Noto Sans" w:hAnsi="Noto Sans" w:cs="Noto Sans"/>
          <w:sz w:val="22"/>
          <w:lang w:eastAsia="ja-JP"/>
        </w:rPr>
        <w:t>,</w:t>
      </w:r>
      <w:r w:rsidRPr="000E7D99">
        <w:rPr>
          <w:rFonts w:ascii="Noto Sans" w:hAnsi="Noto Sans" w:cs="Noto Sans"/>
          <w:sz w:val="22"/>
          <w:lang w:eastAsia="ja-JP"/>
        </w:rPr>
        <w:t xml:space="preserve"> Domino, comment</w:t>
      </w:r>
      <w:r w:rsidR="002A080F">
        <w:rPr>
          <w:rFonts w:ascii="Noto Sans" w:hAnsi="Noto Sans" w:cs="Noto Sans"/>
          <w:sz w:val="22"/>
          <w:lang w:eastAsia="ja-JP"/>
        </w:rPr>
        <w:t>ed:</w:t>
      </w:r>
      <w:r w:rsidRPr="000E7D99">
        <w:rPr>
          <w:rFonts w:ascii="Noto Sans" w:hAnsi="Noto Sans" w:cs="Noto Sans"/>
          <w:sz w:val="22"/>
          <w:lang w:eastAsia="ja-JP"/>
        </w:rPr>
        <w:br/>
        <w:t xml:space="preserve">“The GS1 Digital Link transition is arguably one of the most significant shifts in variable data coding. With our new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sidRPr="000E7D99">
        <w:rPr>
          <w:rFonts w:ascii="Noto Sans" w:hAnsi="Noto Sans" w:cs="Noto Sans"/>
          <w:sz w:val="22"/>
          <w:lang w:eastAsia="ja-JP"/>
        </w:rPr>
        <w:t xml:space="preserve"> </w:t>
      </w:r>
      <w:r w:rsidRPr="000E7D99">
        <w:rPr>
          <w:rFonts w:ascii="Noto Sans" w:hAnsi="Noto Sans" w:cs="Noto Sans"/>
          <w:sz w:val="22"/>
          <w:lang w:eastAsia="ja-JP"/>
        </w:rPr>
        <w:t>and</w:t>
      </w:r>
      <w:r w:rsidR="00221695">
        <w:rPr>
          <w:rFonts w:ascii="Noto Sans" w:hAnsi="Noto Sans" w:cs="Noto Sans"/>
          <w:sz w:val="22"/>
          <w:lang w:eastAsia="ja-JP"/>
        </w:rPr>
        <w:t xml:space="preserve"> our</w:t>
      </w:r>
      <w:r w:rsidRPr="000E7D99">
        <w:rPr>
          <w:rFonts w:ascii="Noto Sans" w:hAnsi="Noto Sans" w:cs="Noto Sans"/>
          <w:sz w:val="22"/>
          <w:lang w:eastAsia="ja-JP"/>
        </w:rPr>
        <w:t xml:space="preserve"> </w:t>
      </w:r>
      <w:r w:rsidRPr="004E5535">
        <w:rPr>
          <w:rFonts w:ascii="Noto Sans" w:hAnsi="Noto Sans" w:cs="Noto Sans"/>
          <w:b/>
          <w:bCs/>
          <w:sz w:val="22"/>
          <w:lang w:eastAsia="ja-JP"/>
        </w:rPr>
        <w:t>R</w:t>
      </w:r>
      <w:r w:rsidRPr="004E5535">
        <w:rPr>
          <w:rFonts w:ascii="Noto Sans" w:hAnsi="Noto Sans" w:cs="Noto Sans"/>
          <w:b/>
          <w:bCs/>
          <w:sz w:val="22"/>
          <w:lang w:eastAsia="ja-JP"/>
        </w:rPr>
        <w:noBreakHyphen/>
        <w:t>Series</w:t>
      </w:r>
      <w:r w:rsidRPr="000E7D99">
        <w:rPr>
          <w:rFonts w:ascii="Noto Sans" w:hAnsi="Noto Sans" w:cs="Noto Sans"/>
          <w:sz w:val="22"/>
          <w:lang w:eastAsia="ja-JP"/>
        </w:rPr>
        <w:t xml:space="preserve"> vision system, </w:t>
      </w:r>
      <w:r w:rsidRPr="000E7D99">
        <w:rPr>
          <w:rFonts w:ascii="Noto Sans" w:hAnsi="Noto Sans" w:cs="Noto Sans"/>
          <w:sz w:val="22"/>
          <w:lang w:eastAsia="ja-JP"/>
        </w:rPr>
        <w:lastRenderedPageBreak/>
        <w:t>we provide manufacturers with a simple, fully integrated solution for coding and verification – all from a single trusted supplier.”</w:t>
      </w:r>
    </w:p>
    <w:p w14:paraId="4A104754" w14:textId="7D9D7D16"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The </w:t>
      </w:r>
      <w:r w:rsidRPr="000E7D99">
        <w:rPr>
          <w:rFonts w:ascii="Noto Sans" w:hAnsi="Noto Sans" w:cs="Noto Sans"/>
          <w:b/>
          <w:bCs/>
          <w:sz w:val="22"/>
          <w:lang w:eastAsia="ja-JP"/>
        </w:rPr>
        <w:t>Gx</w:t>
      </w:r>
      <w:r w:rsidRPr="000E7D99">
        <w:rPr>
          <w:rFonts w:ascii="Noto Sans" w:hAnsi="Noto Sans" w:cs="Noto Sans"/>
          <w:b/>
          <w:bCs/>
          <w:sz w:val="22"/>
          <w:lang w:eastAsia="ja-JP"/>
        </w:rPr>
        <w:noBreakHyphen/>
        <w:t>Series PRO</w:t>
      </w:r>
      <w:r w:rsidRPr="000E7D99">
        <w:rPr>
          <w:rFonts w:ascii="Noto Sans" w:hAnsi="Noto Sans" w:cs="Noto Sans"/>
          <w:sz w:val="22"/>
          <w:lang w:eastAsia="ja-JP"/>
        </w:rPr>
        <w:t xml:space="preserve"> </w:t>
      </w:r>
      <w:r w:rsidR="00BD23CA" w:rsidRPr="007043CB">
        <w:rPr>
          <w:rFonts w:ascii="Noto Sans" w:hAnsi="Noto Sans" w:cs="Noto Sans"/>
          <w:b/>
          <w:bCs/>
          <w:sz w:val="22"/>
          <w:lang w:eastAsia="ja-JP"/>
        </w:rPr>
        <w:t>Printhead</w:t>
      </w:r>
      <w:r w:rsidR="00BD23CA">
        <w:rPr>
          <w:rFonts w:ascii="Noto Sans" w:hAnsi="Noto Sans" w:cs="Noto Sans"/>
          <w:sz w:val="22"/>
          <w:lang w:eastAsia="ja-JP"/>
        </w:rPr>
        <w:t xml:space="preserve"> </w:t>
      </w:r>
      <w:r w:rsidRPr="000E7D99">
        <w:rPr>
          <w:rFonts w:ascii="Noto Sans" w:hAnsi="Noto Sans" w:cs="Noto Sans"/>
          <w:sz w:val="22"/>
          <w:lang w:eastAsia="ja-JP"/>
        </w:rPr>
        <w:t>builds on Domino’s long</w:t>
      </w:r>
      <w:r w:rsidRPr="000E7D99">
        <w:rPr>
          <w:rFonts w:ascii="Noto Sans" w:hAnsi="Noto Sans" w:cs="Noto Sans"/>
          <w:sz w:val="22"/>
          <w:lang w:eastAsia="ja-JP"/>
        </w:rPr>
        <w:noBreakHyphen/>
        <w:t>established expertise in TIJ printing</w:t>
      </w:r>
      <w:r w:rsidR="0020051F">
        <w:rPr>
          <w:rFonts w:ascii="Noto Sans" w:hAnsi="Noto Sans" w:cs="Noto Sans"/>
          <w:sz w:val="22"/>
          <w:lang w:eastAsia="ja-JP"/>
        </w:rPr>
        <w:t xml:space="preserve">. </w:t>
      </w:r>
      <w:r w:rsidRPr="000E7D99">
        <w:rPr>
          <w:rFonts w:ascii="Noto Sans" w:hAnsi="Noto Sans" w:cs="Noto Sans"/>
          <w:sz w:val="22"/>
          <w:lang w:eastAsia="ja-JP"/>
        </w:rPr>
        <w:t xml:space="preserve">The result is a more flexible, </w:t>
      </w:r>
      <w:r w:rsidR="00C02F92">
        <w:rPr>
          <w:rFonts w:ascii="Noto Sans" w:hAnsi="Noto Sans" w:cs="Noto Sans"/>
          <w:sz w:val="22"/>
          <w:lang w:eastAsia="ja-JP"/>
        </w:rPr>
        <w:t>optimis</w:t>
      </w:r>
      <w:r w:rsidRPr="000E7D99">
        <w:rPr>
          <w:rFonts w:ascii="Noto Sans" w:hAnsi="Noto Sans" w:cs="Noto Sans"/>
          <w:sz w:val="22"/>
          <w:lang w:eastAsia="ja-JP"/>
        </w:rPr>
        <w:t>ed, and future</w:t>
      </w:r>
      <w:r w:rsidRPr="000E7D99">
        <w:rPr>
          <w:rFonts w:ascii="Noto Sans" w:hAnsi="Noto Sans" w:cs="Noto Sans"/>
          <w:sz w:val="22"/>
          <w:lang w:eastAsia="ja-JP"/>
        </w:rPr>
        <w:noBreakHyphen/>
        <w:t>ready coding platform that supports customers through a period of rapid technological and regulatory change.</w:t>
      </w:r>
    </w:p>
    <w:p w14:paraId="672D6A92" w14:textId="513FD222" w:rsidR="000E7D99" w:rsidRPr="000E7D99" w:rsidRDefault="000E7D99" w:rsidP="000E7D99">
      <w:pPr>
        <w:pStyle w:val="NoSpacing"/>
        <w:spacing w:before="120" w:after="120"/>
        <w:rPr>
          <w:rFonts w:ascii="Noto Sans" w:hAnsi="Noto Sans" w:cs="Noto Sans"/>
          <w:sz w:val="22"/>
          <w:lang w:eastAsia="ja-JP"/>
        </w:rPr>
      </w:pPr>
      <w:r w:rsidRPr="000E7D99">
        <w:rPr>
          <w:rFonts w:ascii="Noto Sans" w:hAnsi="Noto Sans" w:cs="Noto Sans"/>
          <w:sz w:val="22"/>
          <w:lang w:eastAsia="ja-JP"/>
        </w:rPr>
        <w:t xml:space="preserve">For more information, please visit the Domino </w:t>
      </w:r>
      <w:hyperlink r:id="rId8" w:history="1">
        <w:r w:rsidRPr="00FD73C5">
          <w:rPr>
            <w:rStyle w:val="Hyperlink"/>
            <w:rFonts w:ascii="Noto Sans" w:hAnsi="Noto Sans" w:cs="Noto Sans"/>
            <w:sz w:val="22"/>
            <w:lang w:eastAsia="ja-JP"/>
          </w:rPr>
          <w:t>TIJ product page</w:t>
        </w:r>
      </w:hyperlink>
      <w:r w:rsidRPr="000E7D99">
        <w:rPr>
          <w:rFonts w:ascii="Noto Sans" w:hAnsi="Noto Sans" w:cs="Noto Sans"/>
          <w:sz w:val="22"/>
          <w:lang w:eastAsia="ja-JP"/>
        </w:rPr>
        <w:t>.</w:t>
      </w:r>
    </w:p>
    <w:p w14:paraId="0F8CFDDE" w14:textId="77777777" w:rsidR="007214D8" w:rsidRPr="00A86D5D" w:rsidRDefault="007214D8" w:rsidP="00F01DC2">
      <w:pPr>
        <w:pStyle w:val="NoSpacing"/>
        <w:spacing w:before="120" w:after="120"/>
        <w:rPr>
          <w:rFonts w:ascii="Noto Sans" w:hAnsi="Noto Sans" w:cs="Noto Sans"/>
          <w:sz w:val="22"/>
          <w:lang w:eastAsia="ja-JP"/>
        </w:rPr>
      </w:pPr>
    </w:p>
    <w:p w14:paraId="5E3E2CB7" w14:textId="59B0D497" w:rsidR="007214D8" w:rsidRDefault="007214D8" w:rsidP="00F01DC2">
      <w:pPr>
        <w:pStyle w:val="NoSpacing"/>
        <w:spacing w:before="120" w:after="120"/>
        <w:rPr>
          <w:rFonts w:ascii="Noto Sans" w:hAnsi="Noto Sans" w:cs="Noto Sans"/>
          <w:sz w:val="22"/>
          <w:lang w:eastAsia="ja-JP"/>
        </w:rPr>
      </w:pPr>
      <w:r w:rsidRPr="00A86D5D">
        <w:rPr>
          <w:rFonts w:ascii="Noto Sans" w:hAnsi="Noto Sans" w:cs="Noto Sans"/>
          <w:sz w:val="22"/>
          <w:lang w:eastAsia="ja-JP"/>
        </w:rPr>
        <w:t>&lt;</w:t>
      </w:r>
      <w:r w:rsidRPr="00A86D5D">
        <w:rPr>
          <w:rFonts w:ascii="Noto Sans" w:hAnsi="Noto Sans" w:cs="Noto Sans"/>
          <w:b/>
          <w:bCs/>
          <w:sz w:val="22"/>
          <w:lang w:eastAsia="ja-JP"/>
        </w:rPr>
        <w:t>END</w:t>
      </w:r>
      <w:r w:rsidRPr="00A86D5D">
        <w:rPr>
          <w:rFonts w:ascii="Noto Sans" w:hAnsi="Noto Sans" w:cs="Noto Sans"/>
          <w:sz w:val="22"/>
          <w:lang w:eastAsia="ja-JP"/>
        </w:rPr>
        <w:t>&gt;</w:t>
      </w:r>
    </w:p>
    <w:p w14:paraId="3BD69CE4" w14:textId="77777777" w:rsidR="008836C9" w:rsidRDefault="008836C9" w:rsidP="00F01DC2">
      <w:pPr>
        <w:pStyle w:val="NoSpacing"/>
        <w:spacing w:before="120" w:after="120"/>
        <w:rPr>
          <w:rFonts w:ascii="Noto Sans" w:hAnsi="Noto Sans" w:cs="Noto Sans"/>
          <w:sz w:val="22"/>
          <w:lang w:eastAsia="ja-JP"/>
        </w:rPr>
      </w:pPr>
    </w:p>
    <w:p w14:paraId="1A03B8D7" w14:textId="77777777" w:rsidR="008836C9" w:rsidRPr="00D949CC" w:rsidRDefault="008836C9" w:rsidP="008836C9">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lastRenderedPageBreak/>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9">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0"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0"/>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1"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4603C75B" w14:textId="77777777" w:rsidR="008836C9" w:rsidRPr="00A86D5D" w:rsidRDefault="008836C9" w:rsidP="00F01DC2">
      <w:pPr>
        <w:pStyle w:val="NoSpacing"/>
        <w:spacing w:before="120" w:after="120"/>
        <w:rPr>
          <w:rFonts w:ascii="Noto Sans" w:hAnsi="Noto Sans" w:cs="Noto Sans"/>
          <w:sz w:val="22"/>
          <w:lang w:eastAsia="ja-JP"/>
        </w:rPr>
      </w:pPr>
    </w:p>
    <w:sectPr w:rsidR="008836C9" w:rsidRPr="00A86D5D"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BA1" w14:textId="77777777" w:rsidR="00F46900" w:rsidRPr="00A86D5D" w:rsidRDefault="00F46900" w:rsidP="00785717">
      <w:pPr>
        <w:spacing w:line="240" w:lineRule="auto"/>
      </w:pPr>
      <w:r w:rsidRPr="00A86D5D">
        <w:separator/>
      </w:r>
    </w:p>
  </w:endnote>
  <w:endnote w:type="continuationSeparator" w:id="0">
    <w:p w14:paraId="42E1D374" w14:textId="77777777" w:rsidR="00F46900" w:rsidRPr="00A86D5D" w:rsidRDefault="00F46900"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22AD" w14:textId="77777777" w:rsidR="00F46900" w:rsidRPr="00A86D5D" w:rsidRDefault="00F46900" w:rsidP="00785717">
      <w:pPr>
        <w:spacing w:line="240" w:lineRule="auto"/>
      </w:pPr>
      <w:r w:rsidRPr="00A86D5D">
        <w:separator/>
      </w:r>
    </w:p>
  </w:footnote>
  <w:footnote w:type="continuationSeparator" w:id="0">
    <w:p w14:paraId="7DFF80DA" w14:textId="77777777" w:rsidR="00F46900" w:rsidRPr="00A86D5D" w:rsidRDefault="00F46900"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 w:numId="2" w16cid:durableId="144587054">
    <w:abstractNumId w:val="1"/>
  </w:num>
  <w:num w:numId="3" w16cid:durableId="15403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DE9"/>
    <w:rsid w:val="000627F9"/>
    <w:rsid w:val="000643C2"/>
    <w:rsid w:val="00066824"/>
    <w:rsid w:val="000704A5"/>
    <w:rsid w:val="00074A23"/>
    <w:rsid w:val="000B4CEA"/>
    <w:rsid w:val="000C63A7"/>
    <w:rsid w:val="000C6478"/>
    <w:rsid w:val="000E7D99"/>
    <w:rsid w:val="000F6D00"/>
    <w:rsid w:val="00103DA3"/>
    <w:rsid w:val="00135252"/>
    <w:rsid w:val="00141A1B"/>
    <w:rsid w:val="00156D2C"/>
    <w:rsid w:val="001938DC"/>
    <w:rsid w:val="001C452F"/>
    <w:rsid w:val="001D743C"/>
    <w:rsid w:val="001F0E27"/>
    <w:rsid w:val="0020051F"/>
    <w:rsid w:val="00221695"/>
    <w:rsid w:val="002322E0"/>
    <w:rsid w:val="00250646"/>
    <w:rsid w:val="00263378"/>
    <w:rsid w:val="002766D9"/>
    <w:rsid w:val="002A080F"/>
    <w:rsid w:val="0032570C"/>
    <w:rsid w:val="00372E92"/>
    <w:rsid w:val="00383D32"/>
    <w:rsid w:val="003B7690"/>
    <w:rsid w:val="00414563"/>
    <w:rsid w:val="00441058"/>
    <w:rsid w:val="004964D0"/>
    <w:rsid w:val="00497E2A"/>
    <w:rsid w:val="004B6A13"/>
    <w:rsid w:val="004C395C"/>
    <w:rsid w:val="004C4954"/>
    <w:rsid w:val="004D655A"/>
    <w:rsid w:val="004E5535"/>
    <w:rsid w:val="005167B1"/>
    <w:rsid w:val="005272B1"/>
    <w:rsid w:val="005524DB"/>
    <w:rsid w:val="005741C7"/>
    <w:rsid w:val="005E63FE"/>
    <w:rsid w:val="005F5B77"/>
    <w:rsid w:val="00600F53"/>
    <w:rsid w:val="00647055"/>
    <w:rsid w:val="00660F46"/>
    <w:rsid w:val="006C4C6D"/>
    <w:rsid w:val="006F6D4C"/>
    <w:rsid w:val="007043CB"/>
    <w:rsid w:val="007214D8"/>
    <w:rsid w:val="00733004"/>
    <w:rsid w:val="00751B98"/>
    <w:rsid w:val="00785717"/>
    <w:rsid w:val="00790CDB"/>
    <w:rsid w:val="007C4F05"/>
    <w:rsid w:val="008220B7"/>
    <w:rsid w:val="00823B77"/>
    <w:rsid w:val="008263B2"/>
    <w:rsid w:val="00880AF4"/>
    <w:rsid w:val="008836C9"/>
    <w:rsid w:val="00885511"/>
    <w:rsid w:val="008916A8"/>
    <w:rsid w:val="008B6455"/>
    <w:rsid w:val="008B6461"/>
    <w:rsid w:val="008D1CAC"/>
    <w:rsid w:val="008D55D2"/>
    <w:rsid w:val="008E29C7"/>
    <w:rsid w:val="008F1494"/>
    <w:rsid w:val="008F3E38"/>
    <w:rsid w:val="00931996"/>
    <w:rsid w:val="00965085"/>
    <w:rsid w:val="0097689D"/>
    <w:rsid w:val="009A1716"/>
    <w:rsid w:val="009A1DEC"/>
    <w:rsid w:val="009A32B3"/>
    <w:rsid w:val="009D6280"/>
    <w:rsid w:val="009E328C"/>
    <w:rsid w:val="009E60F5"/>
    <w:rsid w:val="00A03A33"/>
    <w:rsid w:val="00A101E2"/>
    <w:rsid w:val="00A128F3"/>
    <w:rsid w:val="00A34918"/>
    <w:rsid w:val="00A34D57"/>
    <w:rsid w:val="00A35D11"/>
    <w:rsid w:val="00A473CA"/>
    <w:rsid w:val="00A75DB7"/>
    <w:rsid w:val="00A86D5D"/>
    <w:rsid w:val="00AA3A7C"/>
    <w:rsid w:val="00AB04B7"/>
    <w:rsid w:val="00AB11DA"/>
    <w:rsid w:val="00AD08B9"/>
    <w:rsid w:val="00AE3E83"/>
    <w:rsid w:val="00AF2AC0"/>
    <w:rsid w:val="00B21349"/>
    <w:rsid w:val="00B23C3C"/>
    <w:rsid w:val="00B306FD"/>
    <w:rsid w:val="00B546C5"/>
    <w:rsid w:val="00B55517"/>
    <w:rsid w:val="00BC7C15"/>
    <w:rsid w:val="00BD23CA"/>
    <w:rsid w:val="00C02F92"/>
    <w:rsid w:val="00C063FE"/>
    <w:rsid w:val="00C44603"/>
    <w:rsid w:val="00C541FE"/>
    <w:rsid w:val="00CF1AD5"/>
    <w:rsid w:val="00D37A0A"/>
    <w:rsid w:val="00D41C1D"/>
    <w:rsid w:val="00D544B1"/>
    <w:rsid w:val="00D602FB"/>
    <w:rsid w:val="00DA130B"/>
    <w:rsid w:val="00DF646F"/>
    <w:rsid w:val="00E03029"/>
    <w:rsid w:val="00E032D8"/>
    <w:rsid w:val="00E201E8"/>
    <w:rsid w:val="00E203D6"/>
    <w:rsid w:val="00E75F34"/>
    <w:rsid w:val="00E80A66"/>
    <w:rsid w:val="00EB28F9"/>
    <w:rsid w:val="00EC19AD"/>
    <w:rsid w:val="00EC1C5A"/>
    <w:rsid w:val="00F01DC2"/>
    <w:rsid w:val="00F46900"/>
    <w:rsid w:val="00F50B09"/>
    <w:rsid w:val="00F5604B"/>
    <w:rsid w:val="00F76ED4"/>
    <w:rsid w:val="00F82F7D"/>
    <w:rsid w:val="00FD2E50"/>
    <w:rsid w:val="00FD73C5"/>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6C9"/>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 w:type="character" w:customStyle="1" w:styleId="ui-provider">
    <w:name w:val="ui-provider"/>
    <w:basedOn w:val="DefaultParagraphFont"/>
    <w:rsid w:val="0088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ae/products/gx-series?utm_medium=non-paid&amp;utm_source=onlinepublication&amp;utm_content=pr-gx-series-pro-uae&amp;utm_campaign=2026-int-en-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ae/news-and-events/news.aspx?utm_medium=non-paid&amp;utm_source=onlinepublication&amp;utm_content=pr-gx-series-pro-uae&amp;utm_campaign=2026-int-en-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domino-me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2026-04-02T08:47:00Z</dcterms:created>
  <dcterms:modified xsi:type="dcterms:W3CDTF">2026-04-02T08:55:00Z</dcterms:modified>
</cp:coreProperties>
</file>