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Ponad 70 tys. mkw. nowej podaży powierzchni handlowej i przeszło 10x tyle w budowie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Międzynarodowa agencja doradcza Cushman &amp; Wakefield podsumowała sytuację w sektorze nieruchomości handlowych w Polsce po pierwszych trzech miesiącach br. Analiza danych wskazuje na postępującą decentralizację handlu – wszystkie nowo oddane inwestycje to parki handlowe zlokalizowane w miastach poniżej 50 tys. mieszkańców. Jednocześnie w największych aglomeracjach obserwujemy trend uzupełniania istniejących zasobów, czego dowodem jest fakt, że połowa nowej powierzchni dostarczonej w pierwszym kwartale powstała w wyniku rozbudowy obecnych obiektów. Rekordowy poziom powierzchni w budowie może zwiastować sukcesywne spadki w wynikach sprzedaży pojedynczych centrów i parków handlowych w dłuższej perspektywie czasu.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both"/>
        <w:rPr>
          <w:color w:val="222222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PODAŻ: SOLIDNY WYNIK PODAŻY NA POZIOMIE OK 73 TYS. MKW.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pierwszym kwartale 2026 roku deweloperzy oddali do użytkowania 73 tys. mkw. nowoczesnej powierzchni handlowej. To wynik wyraźnie lepszy niż w analogicznym okresie 2025 roku, kiedy na rynek trafiło 47 tys. mkw., choć nieco niższy niż w pierwszym kwartale 2024 roku (89 tys. mkw.). Statystyki podaży obejmują obiekty o powierzchni powyżej 5000 mkw. GLA i uwzględniają nowe budynki, ale także rozbudowy i przebudowy.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Nowa podaż powierzchni handlowej rozwija się obecnie w dwóch odmiennych kierunkach: z jednej strony obejmuje zagospodarowywanie białych plam w mniejszych miejscowościach, obarczone większym ryzykiem długoterminowym ze względu na uwarunkowania demograficzne, z drugiej – koncentruje się na dalszym dogęszczaniu rynku w największych aglomeracjach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W pierwszym kwartale oddano do użytkowania pięć nowych inwestycji – wszystkie w formacie parków handlowych, zlokalizowanych w Bochni, Bogatyni, Tomaszowie Lubelskim, Tarnobrzegu i Żyrardowie. Wszystkie nowe obiekty powstały w miastach liczących poniżej 50 tys. mieszkańców. Z kolei rozbudowy koncentrowały się przede wszystkim w największych aglomeracjach powyżej 400 tys. mieszkańców. W tym przypadku rozwój wspierany jest pozytywną demografią, rosnącymi płacami i wyższą chłonnością popytu </w:t>
      </w:r>
      <w:r w:rsidDel="00000000" w:rsidR="00000000" w:rsidRPr="00000000">
        <w:rPr>
          <w:sz w:val="20"/>
          <w:szCs w:val="20"/>
          <w:rtl w:val="0"/>
        </w:rPr>
        <w:t xml:space="preserve">– mówi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Ewa Derlatka-Chilewicz, Head of Research, Cushman &amp; Wakefield.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uwagę zasługuje również obserwowana tendencja do zmniejszania skali nowych inwestycji handlowych. Analiza danych dla pierwszych kwartałów ostatnich lat pokazuje systematyczny spadek średniej powierzchni oddawanych nowych budynków – z około 11 tys. mkw. w 2024 roku, przez 8,2 tys. mkw. w 2025 roku, do 7,2 tys. mkw. w 2026 roku. Całkowita nowoczesna powierzchnia handlowa w Polsce sięga obecnie ok. 17,3 mln mkw. GLA.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WYJĄTKOWO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WYSOKA SKALA PODAŻY W BUDOWIE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Zgodnie ze stanem na koniec pierwszego kwartału w budowie pozostawało aż około 770 tys. mkw. GLA powierzchni handlowej. Jest to bezprecedensowy rekord od ponad dekady na polskim rynku handlowym. Pomimo, że deweloperzy i inwestorzy uważnie analizują zasadność powstawania nowych inwestycji, należy mieć na uwadze, że wraz ze wzrostem podaży ruch klientów oraz obroty będą rozkładać się na większą liczbę obiektów, co w dłuższej perspektywie może przełożyć się na spadki w wynikach osiąganych przez pojedyncze centra i parki handlowe.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POPYT: C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ZTERY NOWE SIECI HANDLOWE W POLSCE W PIERWSZYM KWARTALE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120" w:line="264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pierwszym kwartale br.</w:t>
      </w:r>
      <w:r w:rsidDel="00000000" w:rsidR="00000000" w:rsidRPr="00000000">
        <w:rPr>
          <w:sz w:val="20"/>
          <w:szCs w:val="20"/>
          <w:rtl w:val="0"/>
        </w:rPr>
        <w:t xml:space="preserve"> cztery marki handlowe zadebiutowały otwierając w naszym kraju swoje pierwsze sklepy stacjonarne. Były to: Lululemon (odzież sportowa, pierwszy sklep w Westfield Arkadia), Yavorska (polska marka modowa z debiutem w Klif Gdynia), iLunch (litewska sieć gastronomiczna, otwarcie w Olivia Centre w Gdańsku), XIMI-V (azjatycka marka lifestyle'owa z akcesoriami, która pojawiła się w Blue City w Warszawie).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320" w:line="264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SPRZEDAŻ DETALICZNA: OBIECUJĄCY START 2026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120" w:line="264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Początek 2026 roku przyniósł kontynuację pozytywnych trendów w handlu detalicznym, a sprzedaż w cenach stałych utrzymała dodatnią dynamikę. Z dostępnych danych GUS obejmujących obecnie dwa miesiące pierwszego kwartału wynika, że styczeń przyniósł wzrost sprzedaży o 4,4% r/r, natomiast w lutym tempo wzrostu dodatkowo przyspieszyło do 5,0% r/r. </w:t>
      </w:r>
    </w:p>
    <w:p w:rsidR="00000000" w:rsidDel="00000000" w:rsidP="00000000" w:rsidRDefault="00000000" w:rsidRPr="00000000" w14:paraId="0000000F">
      <w:pPr>
        <w:widowControl w:val="0"/>
        <w:spacing w:after="0" w:before="120" w:line="264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 pierwszym kwartale 2026 r. najsilniejsze wzrosty ponownie koncentrowały się w segmentach istotnych z punktu widzenia funkcjonowania centrów handlowych. W lutym sprzedaż w kategorii Meble, RTV, AGD zwiększyła się o 7,3% r/r, natomiast w grupie Tekstylia, odzież, obuwie odnotowano wzrost na poziomie 9% r/r. Po okresie słabszych wyników poprawa objęła również kategorię Żywność, napoje i wyroby tytoniowe, w przypadku których sprzedaż wzrosła o 1,1% r/r. Jedynym segmentem notującym spadki pozostawały Prasa i książki (-4,7% r/r)</w:t>
      </w:r>
      <w:r w:rsidDel="00000000" w:rsidR="00000000" w:rsidRPr="00000000">
        <w:rPr>
          <w:sz w:val="20"/>
          <w:szCs w:val="20"/>
          <w:rtl w:val="0"/>
        </w:rPr>
        <w:t xml:space="preserve"> – komentuje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Ewelina Staruch, Senior Analyst, Cushman &amp; Wakefield.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120" w:line="264" w:lineRule="auto"/>
        <w:jc w:val="both"/>
        <w:rPr>
          <w:b w:val="1"/>
          <w:bCs w:val="1"/>
          <w:color w:val="0093ad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Struktura wzrostu wskazuje, że w pierwszych miesiącach 2026 roku popyt konsumencki pozostawał szczególnie silny w segmencie dóbr nieżywieniowych, co sprzyjało poprawie wyników sprzedażowych w obiektach handlowych</w:t>
      </w:r>
      <w:r w:rsidDel="00000000" w:rsidR="00000000" w:rsidRPr="00000000">
        <w:rPr>
          <w:color w:val="2f313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120" w:line="264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Marzec 2026 przyniósł pogorszenie nastrojów konsumenckich. Bieżący wskaźnik ufności konsumenckiej (BWUK) spadł do poziomu -12,2, co oznacza pogłębienie pesymizmu wśród konsumentów i przerwanie wcześniejszego trendu poprawy. Wskaźnik wyprzedzający (WWUK) również zanotował spadek, osiągając wartość -9,5, co wskazuje na rosnącą ostrożność w oczekiwaniach dotyczących przyszłej sytuacji gospodarczej i konsumpcji, związaną zapewne m.in. z wysokimi cenami paliw i sytuacją geopolityczną niesprzyjającą planowaniu większych wydatków. </w:t>
      </w:r>
    </w:p>
    <w:p w:rsidR="00000000" w:rsidDel="00000000" w:rsidP="00000000" w:rsidRDefault="00000000" w:rsidRPr="00000000" w14:paraId="00000012">
      <w:pPr>
        <w:widowControl w:val="0"/>
        <w:spacing w:after="0" w:before="120" w:line="264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Dane GUS pokazują, że fundamenty nastrojów konsumenckich są coraz bardziej zróżnicowane. W marcu konsumenci pozytywnie oceniali swoją bieżącą sytuację finansową, której wskaźnik osiągnął wartość +31,7. Również przewidywania dotyczące przyszłej sytuacji finansowej gospodarstwa domowego (+14,0) oraz skłonność do oszczędzania (+13,5) pozostały na relatywnie wysokim poziomie. Jednocześnie jednak respondenci negatywnie oceniali zmiany ogólnej sytuacji ekonomicznej kraju – zarówno w ujęciu bieżącym (-22,4), jak i przyszłym (-24,1). Wskaźnik dotyczący planowania większych zakupów utrzymał się na niskim poziomie (-26,9) </w:t>
      </w:r>
      <w:r w:rsidDel="00000000" w:rsidR="00000000" w:rsidRPr="00000000">
        <w:rPr>
          <w:sz w:val="20"/>
          <w:szCs w:val="20"/>
          <w:rtl w:val="0"/>
        </w:rPr>
        <w:t xml:space="preserve">– dodaje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Ewelina Staruch, Senior Analyst, Cushman &amp; Wakefield.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120" w:line="264" w:lineRule="auto"/>
        <w:jc w:val="both"/>
        <w:rPr>
          <w:color w:val="2f313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tle Europy Polska nadal prez</w:t>
      </w:r>
      <w:r w:rsidDel="00000000" w:rsidR="00000000" w:rsidRPr="00000000">
        <w:rPr>
          <w:color w:val="2f3131"/>
          <w:sz w:val="20"/>
          <w:szCs w:val="20"/>
          <w:rtl w:val="0"/>
        </w:rPr>
        <w:t xml:space="preserve">entuje się relatywnie dobrze. W marcowym badaniu Eurostatu wskaźnik ufności konsumenckiej dla Polski wyniósł -2,0, podczas gdy średnia dla całej Unii Europejskiej spadła do -15,5. To potwierdza, że polscy konsumenci pozostają jednymi z najbardziej optymistycznych w regionie, mimo pogorszenia nastrojów. Relatywna odporność na zewnętrzne wstrząsy gospodarcze może świadczyć o wysokiej stabilności krajowego rynku pracy i sytuacji dochodowej gospodarstw domowych.</w:t>
      </w:r>
    </w:p>
    <w:p w:rsidR="00000000" w:rsidDel="00000000" w:rsidP="00000000" w:rsidRDefault="00000000" w:rsidRPr="00000000" w14:paraId="00000014">
      <w:pPr>
        <w:widowControl w:val="0"/>
        <w:spacing w:after="0" w:before="120" w:line="264" w:lineRule="auto"/>
        <w:jc w:val="both"/>
        <w:rPr>
          <w:color w:val="2f31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ODWIEDZALNOŚĆ I OBROTY: MOCNY PIERWSZY KWARTAŁ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Odwiedzalność centrów handlowych w pierwszym kwartale 2026 roku utrzymywała się na podobnym poziomie do roku 2025. Po ujemnym wyniku w całym 2025 roku (-0,6% r/r), pierwszy kwartał 2026 odnotował delikatną poprawę wskaźnika odwiedzalności o 1,3% r/r. Marzec był najlepszym w tym kwartale miesiącem pod względem ruchu klientów (3,4% wzrostu r/r).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before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Mocniejsze odbicie odnotowały obroty najemców centrów handlowych w pierwszych dwóch miesiącach roku. W styczniu 2026 roku wzrost wyniósł prawie 8,5%, natomiast w lutym przekroczył 4%, co biorąc pod uwagę wskaźniki wzrostu cen w tych miesiącach na poziomie 2,1% oznacza realne wzrosty obrotów najemców</w:t>
      </w:r>
      <w:r w:rsidDel="00000000" w:rsidR="00000000" w:rsidRPr="00000000">
        <w:rPr>
          <w:sz w:val="20"/>
          <w:szCs w:val="20"/>
          <w:rtl w:val="0"/>
        </w:rPr>
        <w:t xml:space="preserve"> – tłumaczy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Ewelina Staruch, Senior Analyst, Cushman &amp; Wakefield.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12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CZYNSZE W OBIEKTACH PRIME: ŚREDNIO 180 EUR/ MKW. ZA NAJLEPSZE LOKALE O POWIERZCHNI OK. 100 MKW. W CENTRACH HANDLOWYCH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Zgodnie z przewidywaniami Cushman &amp; Wakefield, czynsze w najlepszych obiektach handlowych w Polsce odnotowały wzrost w pierwszym kwartale.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 przypadku centrów i parków handlowych dynamika wzrostów czynszów przekroczyła inflację, która stanowi podstawę indeksacji w umowach najmu. Na początku 2026 roku indeksacja czynszów wyniosła bowiem 1,9%-2,1% dla stawek w walucie euro oraz 3,6% w przypadku umów w złotówkach, zgodnie ze wskaźnikiem GUS. Poziom czynszów w centrach handlowych jest istotnie wyższy niż w parkach handlowych. W pierwszym kwartale dla flagowych obiektów czynsz prime sięgnął 180 EUR/ mkw. dla najlepszych lokali o powierzchni ok. 100 mkw. w galeriach handlowych, zaś w najlepszych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regionalnych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parkach handlowych wyniósł ok. 19,5 EUR/ mkw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– komentuje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Michał Masztakowski, Head of Retail Agency, Cushman &amp; Wakefield. 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9" w:w="11907" w:orient="portrait"/>
      <w:pgMar w:bottom="2880" w:top="3600" w:left="1224" w:right="1008" w:header="180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Layout w:type="fixed"/>
      <w:tblLook w:val="0400"/>
    </w:tblPr>
    <w:tblGrid>
      <w:gridCol w:w="9000"/>
      <w:tblGridChange w:id="0">
        <w:tblGrid>
          <w:gridCol w:w="900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2">
          <w:pPr>
            <w:pStyle w:val="Heading2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Dodatkowe informacje:</w:t>
          </w:r>
        </w:p>
      </w:tc>
    </w:tr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23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9000.0" w:type="dxa"/>
            <w:jc w:val="left"/>
            <w:tblLayout w:type="fixed"/>
            <w:tblLook w:val="04A0"/>
          </w:tblPr>
          <w:tblGrid>
            <w:gridCol w:w="8560"/>
            <w:gridCol w:w="220"/>
            <w:gridCol w:w="220"/>
            <w:tblGridChange w:id="0">
              <w:tblGrid>
                <w:gridCol w:w="8560"/>
                <w:gridCol w:w="220"/>
                <w:gridCol w:w="220"/>
              </w:tblGrid>
            </w:tblGridChange>
          </w:tblGrid>
          <w:tr>
            <w:trPr>
              <w:cantSplit w:val="0"/>
              <w:trHeight w:val="1164" w:hRule="atLeast"/>
              <w:tblHeader w:val="0"/>
            </w:trPr>
            <w:tc>
              <w:tcPr/>
              <w:p w:rsidR="00000000" w:rsidDel="00000000" w:rsidP="00000000" w:rsidRDefault="00000000" w:rsidRPr="00000000" w14:paraId="0000002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tbl>
                <w:tblPr>
                  <w:tblStyle w:val="Table3"/>
                  <w:tblW w:w="12172.0" w:type="dxa"/>
                  <w:jc w:val="left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6041"/>
                  <w:gridCol w:w="6131"/>
                  <w:tblGridChange w:id="0">
                    <w:tblGrid>
                      <w:gridCol w:w="6041"/>
                      <w:gridCol w:w="6131"/>
                    </w:tblGrid>
                  </w:tblGridChange>
                </w:tblGrid>
                <w:tr>
                  <w:trPr>
                    <w:cantSplit w:val="0"/>
                    <w:trHeight w:val="738" w:hRule="atLeast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25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Karolina Samczyńska-Fiślak</w:t>
                      </w:r>
                    </w:p>
                    <w:p w:rsidR="00000000" w:rsidDel="00000000" w:rsidP="00000000" w:rsidRDefault="00000000" w:rsidRPr="00000000" w14:paraId="00000026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rtl w:val="0"/>
                        </w:rPr>
                        <w:t xml:space="preserve">Cushman &amp; Wakefield </w:t>
                      </w:r>
                    </w:p>
                    <w:p w:rsidR="00000000" w:rsidDel="00000000" w:rsidP="00000000" w:rsidRDefault="00000000" w:rsidRPr="00000000" w14:paraId="00000027">
                      <w:pPr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rtl w:val="0"/>
                        </w:rPr>
                        <w:t xml:space="preserve">Tel: + 48 22 820 20 20; 691 060 202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8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tabs>
                          <w:tab w:val="right" w:leader="none" w:pos="4688"/>
                        </w:tabs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e-mail: </w:t>
                      </w:r>
                      <w:hyperlink r:id="rId1">
                        <w:r w:rsidDel="00000000" w:rsidR="00000000" w:rsidRPr="00000000">
                          <w:rPr>
                            <w:rFonts w:ascii="Calibri" w:cs="Calibri" w:eastAsia="Calibri" w:hAnsi="Calibri"/>
                            <w:b w:val="1"/>
                            <w:bCs w:val="1"/>
                            <w:color w:val="4472c4"/>
                            <w:sz w:val="18"/>
                            <w:szCs w:val="18"/>
                            <w:u w:val="single"/>
                            <w:rtl w:val="0"/>
                          </w:rPr>
                          <w:t xml:space="preserve">karolina.samczynska@cushwake.pl</w:t>
                        </w:r>
                      </w:hyperlink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9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Magdalena Znyk-Ossowska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A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Linkleaders</w:t>
                      </w:r>
                    </w:p>
                    <w:p w:rsidR="00000000" w:rsidDel="00000000" w:rsidP="00000000" w:rsidRDefault="00000000" w:rsidRPr="00000000" w14:paraId="0000002B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Tel: +48 502 556 846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C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D">
                      <w:pPr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000000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rtl w:val="0"/>
                        </w:rPr>
                        <w:t xml:space="preserve">e-mail: </w:t>
                      </w:r>
                      <w:r w:rsidDel="00000000" w:rsidR="00000000" w:rsidRPr="00000000">
                        <w:rPr>
                          <w:rFonts w:ascii="Calibri" w:cs="Calibri" w:eastAsia="Calibri" w:hAnsi="Calibri"/>
                          <w:color w:val="008b98"/>
                          <w:sz w:val="18"/>
                          <w:szCs w:val="18"/>
                          <w:rtl w:val="0"/>
                        </w:rPr>
                        <w:t xml:space="preserve">Magdalena.ossowska@linkleaders.pl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E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  <w:p w:rsidR="00000000" w:rsidDel="00000000" w:rsidP="00000000" w:rsidRDefault="00000000" w:rsidRPr="00000000" w14:paraId="0000002F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Calibri" w:cs="Calibri" w:eastAsia="Calibri" w:hAnsi="Calibri"/>
                    <w:color w:val="696b6b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Layout w:type="fixed"/>
      <w:tblLook w:val="0400"/>
    </w:tblPr>
    <w:tblGrid>
      <w:gridCol w:w="5670"/>
      <w:gridCol w:w="3330"/>
      <w:tblGridChange w:id="0">
        <w:tblGrid>
          <w:gridCol w:w="5670"/>
          <w:gridCol w:w="333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36">
          <w:pPr>
            <w:pStyle w:val="Heading2"/>
            <w:rPr>
              <w:rFonts w:ascii="Arial" w:cs="Arial" w:eastAsia="Arial" w:hAnsi="Arial"/>
              <w:color w:val="696b6b"/>
            </w:rPr>
          </w:pPr>
          <w:r w:rsidDel="00000000" w:rsidR="00000000" w:rsidRPr="00000000">
            <w:rPr>
              <w:rFonts w:ascii="Arial" w:cs="Arial" w:eastAsia="Arial" w:hAnsi="Arial"/>
              <w:color w:val="696b6b"/>
              <w:rtl w:val="0"/>
            </w:rPr>
            <w:t xml:space="preserve">Media Contact:</w:t>
          </w:r>
        </w:p>
      </w:tc>
      <w:tc>
        <w:tcPr>
          <w:vAlign w:val="bottom"/>
        </w:tcPr>
        <w:p w:rsidR="00000000" w:rsidDel="00000000" w:rsidP="00000000" w:rsidRDefault="00000000" w:rsidRPr="00000000" w14:paraId="00000037">
          <w:pPr>
            <w:spacing w:after="100" w:line="24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6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38">
          <w:pPr>
            <w:keepNext w:val="1"/>
            <w:keepLines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696b6b"/>
              <w:sz w:val="18"/>
              <w:szCs w:val="18"/>
              <w:rtl w:val="0"/>
            </w:rPr>
            <w:t xml:space="preserve">Name</w:t>
          </w:r>
        </w:p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Title</w:t>
          </w:r>
        </w:p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+1 000 000 0000</w:t>
          </w:r>
        </w:p>
        <w:p w:rsidR="00000000" w:rsidDel="00000000" w:rsidP="00000000" w:rsidRDefault="00000000" w:rsidRPr="00000000" w14:paraId="0000003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hyperlink r:id="rId1">
            <w:r w:rsidDel="00000000" w:rsidR="00000000" w:rsidRPr="00000000">
              <w:rPr>
                <w:color w:val="4472c4"/>
                <w:sz w:val="18"/>
                <w:szCs w:val="18"/>
                <w:u w:val="single"/>
                <w:rtl w:val="0"/>
              </w:rPr>
              <w:t xml:space="preserve">first.last@cushwake.com</w:t>
            </w:r>
          </w:hyperlink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 </w:t>
          </w:r>
        </w:p>
      </w:tc>
      <w:tc>
        <w:tcPr>
          <w:vAlign w:val="bottom"/>
        </w:tcPr>
        <w:p w:rsidR="00000000" w:rsidDel="00000000" w:rsidP="00000000" w:rsidRDefault="00000000" w:rsidRPr="00000000" w14:paraId="000000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43135</wp:posOffset>
          </wp:positionH>
          <wp:positionV relativeFrom="paragraph">
            <wp:posOffset>-154972</wp:posOffset>
          </wp:positionV>
          <wp:extent cx="1933575" cy="40767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3814</wp:posOffset>
          </wp:positionH>
          <wp:positionV relativeFrom="paragraph">
            <wp:posOffset>-201291</wp:posOffset>
          </wp:positionV>
          <wp:extent cx="1933575" cy="40767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lineRule="auto"/>
    </w:pPr>
    <w:rPr>
      <w:rFonts w:ascii="Calibri" w:cs="Calibri" w:eastAsia="Calibri" w:hAnsi="Calibri"/>
      <w:b w:val="1"/>
      <w:bCs w:val="1"/>
      <w:smallCaps w:val="1"/>
      <w:color w:val="008b98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ch6gMpENRWm9h6SOE5W6xhZdw==">CgMxLjAikQIKC0FBQUIzdmNzUV9JEt4BCgtBQUFCM3Zjc1FfSRILQUFBQjN2Y3NRX0kaDQoJdGV4dC9odG1sEgAiDgoKdGV4dC9wbGFpbhIAKiUiH0FOT05ZTU9VU18xMDgyMTc0MTI5NTQwOTM3OTU4NTAoADgBMM+d/tbaMziyof7W2jNKOwokYXBwbGljYXRpb24vdm5kLmdvb2dsZS1hcHBzLmRvY3MubWRzGhPC19rkAQ0SCwoHCgFpEAEYABABWgw5NTIxYTJ4a2tzNDFyAiAAeACCARNzdWdnZXN0Lm5xczlnd2NqdnMxmgEGCAAQABgAGM+d/tbaMyCyof7W2jNCE3N1Z2dlc3QubnFzOWd3Y2p2czEigAIKC0FBQUIzdmNzUkFnEs0BCgtBQUFCM3Zjc1JBZxILQUFBQjN2Y3NSQWcaDQoJdGV4dC9odG1sEgAiDgoKdGV4dC9wbGFpbhIAKhsiFTExNzgzMTEzMjUxMDM2NjAwNDM2MSgAOAAw+qGR19ozOKCmkdfaM0o0CiRhcHBsaWNhdGlvbi92bmQuZ29vZ2xlLWFwcHMuZG9jcy5tZHMaDMLX2uQBBiIECAUQAVoMNmVqanBjZGlzdGdycgIgAHgAggETc3VnZ2VzdC50dG1saDNrNXZybJoBBggAEAAYABj6oZHX2jMgoKaR19ozQhNzdWdnZXN0LnR0bWxoM2s1dnJsIpMCCgtBQUFCM3Zjc1FfRRLfAQoLQUFBQjN2Y3NRX0USC0FBQUIzdmNzUV9FGg0KCXRleHQvaHRtbBIAIg4KCnRleHQvcGxhaW4SAColIh9BTk9OWU1PVVNfMTA4MjE3NDEyOTU0MDkzNzk1ODUwKAA4ATCfkP7W2jM4lZT+1tozSjsKJGFwcGxpY2F0aW9uL3ZuZC5nb29nbGUtYXBwcy5kb2NzLm1kcxoTwtfa5AENGgsKBwoBaRABGAAQAVoMaXc2bnAwMmRxYzRkcgIgAHgAggEUc3VnZ2VzdC5mbjFnOXV4NWtqc2maAQYIABAAGAAYn5D+1tozIJWU/tbaM0IUc3VnZ2VzdC5mbjFnOXV4NWtqc2kiggIKC0FBQUIzdmNzUkNnEs4BCgtBQUFCM3Zjc1JDZxILQUFBQjN2Y3NSQ2caDQoJdGV4dC9odG1sEgAiDgoKdGV4dC9wbGFpbhIAKhsiFTExNzgzMTEzMjUxMDM2NjAwNDM2MSgAOAAwgZKl19ozOL+WpdfaM0o0CiRhcHBsaWNhdGlvbi92bmQuZ29vZ2xlLWFwcHMuZG9jcy5tZHMaDMLX2uQBBiIECAUQAVoMNmk0dWZqNHh3dTlycgIgAHgAggEUc3VnZ2VzdC5yZDZiMWJvNW8xYXWaAQYIABAAGAAYgZKl19ozIL+WpdfaM0IUc3VnZ2VzdC5yZDZiMWJvNW8xYXUikgIKC0FBQUIzdmNzUV9NEt4BCgtBQUFCM3Zjc1FfTRILQUFBQjN2Y3NRX00aDQoJdGV4dC9odG1sEgAiDgoKdGV4dC9wbGFpbhIAKiUiH0FOT05ZTU9VU18xMDgyMTc0MTI5NTQwOTM3OTU4NTAoADgBMOSr/tbaMzjUr/7W2jNKOgokYXBwbGljYXRpb24vdm5kLmdvb2dsZS1hcHBzLmRvY3MubWRzGhLC19rkAQwSCgoGCgAQFBgAEAFaDGoyaGJybjU4NGR1M3ICIAB4AIIBFHN1Z2dlc3QuaGt6YjR4cWV0OW10mgEGCAAQABgAGOSr/tbaMyDUr/7W2jNCFHN1Z2dlc3QuaGt6YjR4cWV0OW10Ip8CCgtBQUFCM3Zjc1FfQRLrAQoLQUFBQjN2Y3NRX0ESC0FBQUIzdmNzUV9BGg0KCXRleHQvaHRtbBIAIg4KCnRleHQvcGxhaW4SAColIh9BTk9OWU1PVVNfMTA4MjE3NDEyOTU0MDkzNzk1ODUwKAA4ATCF+f3W2jM4v/z91tozSkcKJGFwcGxpY2F0aW9uL3ZuZC5nb29nbGUtYXBwcy5kb2NzLm1kcxofwtfa5AEZEgsKBwoBaRABGAAQARoKCgYKABAUGAAQAVoMbnBleWw2c3JwcG9hcgIgAHgAggEUc3VnZ2VzdC56aTVha2k4bXQ5NHCaAQYIABAAGAAYhfn91tozIL/8/dbaM0IUc3VnZ2VzdC56aTVha2k4bXQ5NHA4AGogChNzdWdnZXN0Lm5xczlnd2NqdnMxEglBbm9ueW1vdXNqIAoTc3VnZ2VzdC50dG1saDNrNXZybBIJRXdlbGluYSBTaiEKFHN1Z2dlc3QuZm4xZzl1eDVranNpEglBbm9ueW1vdXNqIQoUc3VnZ2VzdC5yZDZiMWJvNW8xYXUSCUV3ZWxpbmEgU2ohChRzdWdnZXN0LmRtZ2lzeDR1OTJycxIJQW5vbnltb3VzaiEKFHN1Z2dlc3QueW9xM2Y4NmphY3gxEglFd2VsaW5hIFNqIQoUc3VnZ2VzdC5oa3piNHhxZXQ5bXQSCUFub255bW91c2ohChRzdWdnZXN0LmFzaWc1M2lkcm9zYxIJRXdlbGluYSBTaiEKFHN1Z2dlc3QuMXBteXJsdnF5d2NpEglFd2VsaW5hIFNqIQoUc3VnZ2VzdC5mbTR0YmNjZmtocDUSCUV3ZWxpbmEgU2ohChRzdWdnZXN0LnFjMGNzN3lyNjF6ORIJRXdlbGluYSBTaiEKFHN1Z2dlc3QuY21lN212Y2N3Y3IzEglFd2VsaW5hIFNqIQoUc3VnZ2VzdC5hOWp6NTFyeXBucDQSCUV3ZWxpbmEgU2ohChRzdWdnZXN0Lmh6MWd6anA4Y2wxbRIJRXdlbGluYSBTaiEKFHN1Z2dlc3QuNnp0eDYwdGoweTlrEglFd2VsaW5hIFNqIQoUc3VnZ2VzdC5uNDFwdHpwcmY2dXYSCUV3ZWxpbmEgU2ohChRzdWdnZXN0Ljh0N285Z3ZsNmtocRIJRXdlbGluYSBTaiEKFHN1Z2dlc3QuaGtrOWM5bHhlejIxEglFd2VsaW5hIFNqIQoUc3VnZ2VzdC4xM2Jhbzc3c3BzY2USCUV3ZWxpbmEgU2ohChRzdWdnZXN0LmMzaXN5c2RqbjFmaBIJVXJzenVsYSBTaiEKFHN1Z2dlc3QuZTAxMW9kdjZ1dTBvEglFd2VsaW5hIFNqIQoUc3VnZ2VzdC54a2VjaXZrdnVtaTESCUV3ZWxpbmEgU2ohChRzdWdnZXN0LmN0czY3Z29lMWd4ehIJRXdlbGluYSBTaiEKFHN1Z2dlc3Qud2o3eWg0NDg3dWs1EglFd2VsaW5hIFNqIQoUc3VnZ2VzdC54MDRqMWNzcnBiODgSCUFub255bW91c2ohChRzdWdnZXN0Lmo2cGRkanU2d2cyZhIJRXdlbGluYSBTaiEKFHN1Z2dlc3QuNnJwaHV5NG8zMDlyEglFd2VsaW5hIFNqIQoUc3VnZ2VzdC5jbnM0YTZoNmFrZmkSCUV3ZWxpbmEgU2ohChRzdWdnZXN0LmthMHBxN2puejNqYRIJRXdlbGluYSBTaiEKFHN1Z2dlc3QucWEwaDA3YXMzNGczEglFd2VsaW5hIFNqIQoUc3VnZ2VzdC5jM2NnbXFsZTlnN2kSCUV3ZWxpbmEgU2ohChRzdWdnZXN0Lmk4bG43NWMzemVoZhIJRXdlbGluYSBTaiEKFHN1Z2dlc3Quemk1YWtpOG10OTRwEglBbm9ueW1vdXNqIQoUc3VnZ2VzdC53aDNwYXVlc293bXASCUV3ZWxpbmEgU2ohChRzdWdnZXN0LmxsdGE2OTY3NDRlbBIJRXdlbGluYSBTaiEKFHN1Z2dlc3Qua243dTJpYTlpZzBjEglFd2VsaW5hIFNyITF4NEQyeGFpbTk5cTRwQ1g5QVk5a1VObU82WWp4Z3lN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0x010100EC618526F10DA64CBE3916EAA4716759</vt:lpwstr>
  </property>
  <property fmtid="{D5CDD505-2E9C-101B-9397-08002B2CF9AE}" pid="4" name="MediaServiceImageTags">
    <vt:lpwstr>MediaServiceImageTags</vt:lpwstr>
  </property>
  <property fmtid="{D5CDD505-2E9C-101B-9397-08002B2CF9AE}" pid="5" name="ComplianceAssetId">
    <vt:lpwstr>ComplianceAssetId</vt:lpwstr>
  </property>
  <property fmtid="{D5CDD505-2E9C-101B-9397-08002B2CF9AE}" pid="6" name="_ExtendedDescription">
    <vt:lpwstr>_ExtendedDescription</vt:lpwstr>
  </property>
  <property fmtid="{D5CDD505-2E9C-101B-9397-08002B2CF9AE}" pid="7" name="TriggerFlowInfo">
    <vt:lpwstr>TriggerFlowInfo</vt:lpwstr>
  </property>
  <property fmtid="{D5CDD505-2E9C-101B-9397-08002B2CF9AE}" pid="8" name="docLang">
    <vt:lpwstr>pl</vt:lpwstr>
  </property>
</Properties>
</file>