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B4A" w:rsidRDefault="001932C6">
      <w:r>
        <w:t>Informacja prasowa</w:t>
      </w:r>
    </w:p>
    <w:p w:rsidR="001B1B4A" w:rsidRDefault="001932C6">
      <w:pPr>
        <w:jc w:val="right"/>
      </w:pPr>
      <w:r>
        <w:t>Warszawa, 20 kwietnia 2026</w:t>
      </w:r>
    </w:p>
    <w:p w:rsidR="001B1B4A" w:rsidRDefault="001B1B4A">
      <w:pPr>
        <w:spacing w:after="0"/>
        <w:jc w:val="both"/>
        <w:rPr>
          <w:b/>
          <w:bCs/>
          <w:sz w:val="32"/>
          <w:szCs w:val="32"/>
        </w:rPr>
      </w:pPr>
    </w:p>
    <w:p w:rsidR="001B1B4A" w:rsidRDefault="001932C6">
      <w:pPr>
        <w:spacing w:after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Branża meblarska szykuje się na nowe regulacje w zakresie emisji</w:t>
      </w:r>
    </w:p>
    <w:p w:rsidR="001B1B4A" w:rsidRDefault="001B1B4A">
      <w:pPr>
        <w:spacing w:after="0"/>
        <w:jc w:val="both"/>
        <w:rPr>
          <w:b/>
          <w:bCs/>
        </w:rPr>
      </w:pPr>
    </w:p>
    <w:p w:rsidR="001B1B4A" w:rsidRDefault="001932C6">
      <w:pPr>
        <w:spacing w:after="0"/>
        <w:jc w:val="both"/>
        <w:rPr>
          <w:b/>
          <w:bCs/>
        </w:rPr>
      </w:pPr>
      <w:r>
        <w:rPr>
          <w:b/>
          <w:bCs/>
        </w:rPr>
        <w:t>Już za kilka miesięcy wejdą w życie nowe, bardziej restrykcyjne regulacje dotyczące emisji formaldehydu w meblach. Przepisy te znacząco zaostrzają obowiązującą obecnie normę, obniżając ją niemal o połowę. Po 6 sierpnia 2026 roku do obrotu nie będą mogły by</w:t>
      </w:r>
      <w:r>
        <w:rPr>
          <w:b/>
          <w:bCs/>
        </w:rPr>
        <w:t>ć wprowadzane meble i wyroby drewnopochodne, w których stężenie uwalnianego formaldehydu wynosi powyżej 0,062 mg/m3. Nowe przepisy dotyczą szerokiego grona producentów i dystrybutorów artykułów, takich jak: szafy, komody, biurka, łóżka, panele ścienne i po</w:t>
      </w:r>
      <w:r>
        <w:rPr>
          <w:b/>
          <w:bCs/>
        </w:rPr>
        <w:t xml:space="preserve">dłogowe, płyty laminowane. Polska od lat znajduje się w światowej czołówce w dziedzinie produkcji i eksportu mebli, a liczba działających w tej branży podmiotów sięga kilkudziesięciu tysięcy. Część z nich już teraz przygotowuje się na regulacyjne zmiany. </w:t>
      </w:r>
    </w:p>
    <w:p w:rsidR="001B1B4A" w:rsidRDefault="001B1B4A">
      <w:pPr>
        <w:spacing w:after="0"/>
        <w:jc w:val="both"/>
        <w:rPr>
          <w:b/>
          <w:bCs/>
        </w:rPr>
      </w:pPr>
    </w:p>
    <w:p w:rsidR="001B1B4A" w:rsidRDefault="001932C6">
      <w:pPr>
        <w:spacing w:after="0"/>
        <w:jc w:val="both"/>
      </w:pPr>
      <w:r>
        <w:t>Formaldehyd jest naturalnym produktem ubocznym procesów biologicznych i chemicznych, który występuje w owocach, warzywach oraz mięsie. Surowe drewno zawiera jedynie śladowe ilości formaldehydu, znacznie poniżej poziomów uznawanych za toksyczne. W przemyśl</w:t>
      </w:r>
      <w:r>
        <w:t>e drzewnym formaldehyd jest wykorzystywany do produkcji płyt, takich jak płyty wiórowe i MDF. Powszechnie stosowane są również żywice na bazie formaldehydu, które łączą cząstki drewna w trwałe panele.  W rezultacie materiały drewnopochodne mogą uwalniać ni</w:t>
      </w:r>
      <w:r>
        <w:t>ewielkie ilości formaldehydu.. Przepisy UE są zaostrzone w celu ograniczenia tych emisji, ponieważ formaldehyd jest silnym alergenem, a jego stosowanie podlega coraz większym ograniczeniom.</w:t>
      </w:r>
    </w:p>
    <w:p w:rsidR="001B1B4A" w:rsidRDefault="001B1B4A">
      <w:pPr>
        <w:spacing w:after="0"/>
        <w:jc w:val="both"/>
      </w:pPr>
    </w:p>
    <w:p w:rsidR="001B1B4A" w:rsidRDefault="001932C6">
      <w:pPr>
        <w:spacing w:after="0"/>
        <w:jc w:val="both"/>
      </w:pPr>
      <w:r>
        <w:t>Celem zaostrzenia unijnych przepisów jest ograniczenie emisji for</w:t>
      </w:r>
      <w:r>
        <w:t>maldehydu - szkodliwego dla zdrowia związku lotnego, który jest obecny w przedmiotach codziennego użytku, takich jak: kleje, lakiery, kosmetyki, ale też meble. W branży drzewnej stosuje się go przy produkcji płyt, takich jak płyty wiórowe i MDF. Powszechni</w:t>
      </w:r>
      <w:r>
        <w:t>e wykorzystywane są także żywice na bazie formaldehydu, które służą do wiązania cząstek drewna w trwałe płyty. Ze względu na to, że substancja ta jest silnym alergenem, potencjalnie także o rakotwórczym działaniu, jej stosowanie jest sukcesywnie ograniczan</w:t>
      </w:r>
      <w:r>
        <w:t xml:space="preserve">e,  a w całej Europie od dawna obowiązują surowe normy emisji. </w:t>
      </w:r>
    </w:p>
    <w:p w:rsidR="001B1B4A" w:rsidRDefault="001B1B4A">
      <w:pPr>
        <w:spacing w:after="0"/>
        <w:jc w:val="both"/>
      </w:pPr>
    </w:p>
    <w:p w:rsidR="001B1B4A" w:rsidRDefault="001932C6">
      <w:pPr>
        <w:spacing w:after="0"/>
        <w:jc w:val="both"/>
        <w:rPr>
          <w:b/>
          <w:bCs/>
        </w:rPr>
      </w:pPr>
      <w:r>
        <w:rPr>
          <w:b/>
          <w:bCs/>
        </w:rPr>
        <w:t>Nowe przepisy dla większej ochrony</w:t>
      </w:r>
    </w:p>
    <w:p w:rsidR="001B1B4A" w:rsidRDefault="001932C6">
      <w:pPr>
        <w:spacing w:after="0"/>
        <w:jc w:val="both"/>
      </w:pPr>
      <w:r>
        <w:t>Rozporządzenie Komisji Europejskiej dotyczące formaldehydu i substancji uwalniających formaldehyd zostało przyjęte już w 2023 roku (rozporządzenie 2023/1464</w:t>
      </w:r>
      <w:r>
        <w:t>), ale jego przepisy zaczną obowiązywać producentów mebli oraz wyrobów drewnopochodnych od 6 sierpnia 2026. Nowe regulacje zmuszają producentów do stosowania technologii pozwalających na emisję na poziomie zbliżonym do naturalnego poziomu formaldehydu w dr</w:t>
      </w:r>
      <w:r>
        <w:t>ewnie.</w:t>
      </w:r>
    </w:p>
    <w:p w:rsidR="001B1B4A" w:rsidRDefault="001B1B4A">
      <w:pPr>
        <w:spacing w:after="0"/>
        <w:jc w:val="both"/>
      </w:pPr>
    </w:p>
    <w:p w:rsidR="001B1B4A" w:rsidRDefault="001932C6">
      <w:pPr>
        <w:spacing w:after="0"/>
        <w:jc w:val="both"/>
      </w:pPr>
      <w:r>
        <w:t xml:space="preserve">– </w:t>
      </w:r>
      <w:r>
        <w:rPr>
          <w:i/>
          <w:iCs/>
        </w:rPr>
        <w:t>Przepisy dotyczą wszystkich podmiotów działających w branży meblarskiej czy drzewnej, w tym producentów komponentów takich jak płyty wiórowe i pilśniowe (MDF, HDF), sklejki, materiały laminowane, czyli tych, w których powszechnie stosuje się subs</w:t>
      </w:r>
      <w:r>
        <w:rPr>
          <w:i/>
          <w:iCs/>
        </w:rPr>
        <w:t xml:space="preserve">tancje wiążące zawierające formaldehyd. Dla producentów oznacza to konieczność zmiany stosowanych klejów, lakierów i żywic na niskoemisyjne, </w:t>
      </w:r>
      <w:r>
        <w:rPr>
          <w:i/>
          <w:iCs/>
        </w:rPr>
        <w:lastRenderedPageBreak/>
        <w:t>postawienie na wysokiej jakości, certyfikowane materiały, ale też zmiany w procesie produkcji. Wiemy jednak, jak wa</w:t>
      </w:r>
      <w:r>
        <w:rPr>
          <w:i/>
          <w:iCs/>
        </w:rPr>
        <w:t xml:space="preserve">żne są te zmiany, dlatego w </w:t>
      </w:r>
      <w:proofErr w:type="spellStart"/>
      <w:r>
        <w:rPr>
          <w:i/>
          <w:iCs/>
        </w:rPr>
        <w:t>Unilin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Panels</w:t>
      </w:r>
      <w:proofErr w:type="spellEnd"/>
      <w:r>
        <w:rPr>
          <w:i/>
          <w:iCs/>
        </w:rPr>
        <w:t xml:space="preserve"> postanowiliśmy dostosować cały nasz asortyment do nowych przepisów, już kilka miesięcy wcześniej</w:t>
      </w:r>
      <w:r>
        <w:t xml:space="preserve"> – mówi </w:t>
      </w:r>
      <w:proofErr w:type="spellStart"/>
      <w:r>
        <w:t>Cristian</w:t>
      </w:r>
      <w:proofErr w:type="spellEnd"/>
      <w:r>
        <w:t xml:space="preserve"> </w:t>
      </w:r>
      <w:proofErr w:type="spellStart"/>
      <w:r>
        <w:t>Delaere</w:t>
      </w:r>
      <w:proofErr w:type="spellEnd"/>
      <w:r>
        <w:t xml:space="preserve">, </w:t>
      </w:r>
      <w:proofErr w:type="spellStart"/>
      <w:r>
        <w:t>Sustainability</w:t>
      </w:r>
      <w:proofErr w:type="spellEnd"/>
      <w:r>
        <w:t xml:space="preserve"> Manager z firmy </w:t>
      </w:r>
      <w:proofErr w:type="spellStart"/>
      <w:r>
        <w:t>Unilin</w:t>
      </w:r>
      <w:proofErr w:type="spellEnd"/>
      <w:r>
        <w:t xml:space="preserve"> </w:t>
      </w:r>
      <w:proofErr w:type="spellStart"/>
      <w:r>
        <w:t>Panels</w:t>
      </w:r>
      <w:proofErr w:type="spellEnd"/>
      <w:r>
        <w:t>, która  jest belgijskim producentem drewnopocho</w:t>
      </w:r>
      <w:r>
        <w:t xml:space="preserve">dnych paneli, działającym także w Polsce. </w:t>
      </w:r>
    </w:p>
    <w:p w:rsidR="00E71876" w:rsidRDefault="00E71876">
      <w:pPr>
        <w:spacing w:after="0"/>
        <w:jc w:val="both"/>
        <w:rPr>
          <w:sz w:val="24"/>
          <w:szCs w:val="24"/>
        </w:rPr>
      </w:pPr>
    </w:p>
    <w:p w:rsidR="001B1B4A" w:rsidRDefault="001932C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Szybkie przystosowanie się do przepisów uspokaja rynek</w:t>
      </w:r>
    </w:p>
    <w:p w:rsidR="001B1B4A" w:rsidRDefault="001932C6">
      <w:pPr>
        <w:spacing w:after="0"/>
        <w:jc w:val="both"/>
      </w:pPr>
      <w:r>
        <w:t xml:space="preserve">Nowe regulacje oznaczają dla producentów i dystrybutorów nowe obowiązki, a nieraz także inwestycje, ale to również korzyści. Wyższe standardy produkcji i </w:t>
      </w:r>
      <w:r>
        <w:t xml:space="preserve">certyfikowane produkty przekładają się na większe zaufanie klientów oraz ograniczenie ryzyka wynikającego z roszczeń zdrowotnych. Wdrożenie bardziej restrykcyjnych regulacji to również korzyści biznesowe - dostęp do wszystkich rynków Unii Europejskiej czy </w:t>
      </w:r>
      <w:r>
        <w:t>spełnienie wymagań raportowania ESG.</w:t>
      </w:r>
    </w:p>
    <w:p w:rsidR="001B1B4A" w:rsidRDefault="001B1B4A">
      <w:pPr>
        <w:spacing w:after="0"/>
        <w:jc w:val="both"/>
      </w:pPr>
    </w:p>
    <w:p w:rsidR="001B1B4A" w:rsidRDefault="001932C6">
      <w:pPr>
        <w:spacing w:after="0"/>
        <w:jc w:val="both"/>
      </w:pPr>
      <w:r>
        <w:t xml:space="preserve">–  </w:t>
      </w:r>
      <w:r>
        <w:rPr>
          <w:i/>
          <w:iCs/>
        </w:rPr>
        <w:t xml:space="preserve">My poszliśmy nawet o krok dalej, część asortymentu </w:t>
      </w:r>
      <w:proofErr w:type="spellStart"/>
      <w:r>
        <w:rPr>
          <w:i/>
          <w:iCs/>
        </w:rPr>
        <w:t>Unilin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Panels</w:t>
      </w:r>
      <w:proofErr w:type="spellEnd"/>
      <w:r>
        <w:rPr>
          <w:i/>
          <w:iCs/>
        </w:rPr>
        <w:t xml:space="preserve"> już dziś spełnia przyszłe wymagania dotyczące emisji, a niektóre nasze rozwiązania wykraczają nawet poza normę europejską. Należą do nich między innym</w:t>
      </w:r>
      <w:r>
        <w:rPr>
          <w:i/>
          <w:iCs/>
        </w:rPr>
        <w:t>i produkty pochodzenia biologicznego oraz płyty HPL na bazie biologicznej, ale też takie, które w ogóle nie zawierają formaldehydu. Równolegle z tymi zmianami dbamy o jasne i czytelne oznaczenie naszych produktów, które są wyróżniane np. znakami ekologiczn</w:t>
      </w:r>
      <w:r>
        <w:rPr>
          <w:i/>
          <w:iCs/>
        </w:rPr>
        <w:t xml:space="preserve">ości, co ułatwia ich identyfikację. Takie podejście sprzyja tworzeniu zdrowszego środowiska w pomieszczeniach, a jednocześnie zachęca do bardziej przemyślanych wyborów </w:t>
      </w:r>
      <w:proofErr w:type="spellStart"/>
      <w:r>
        <w:rPr>
          <w:i/>
          <w:iCs/>
        </w:rPr>
        <w:t>materiałowych.Nasi</w:t>
      </w:r>
      <w:proofErr w:type="spellEnd"/>
      <w:r>
        <w:rPr>
          <w:i/>
          <w:iCs/>
        </w:rPr>
        <w:t xml:space="preserve"> klienci mogą liczyć na płynne przejście, przejrzysty przegląd produkt</w:t>
      </w:r>
      <w:r>
        <w:rPr>
          <w:i/>
          <w:iCs/>
        </w:rPr>
        <w:t>ów oraz praktyczne wsparcie tam, gdzie jest to potrzebne. Dzięki temu wpływ na zarówno trwające, jak i nowe projekty pozostaje minimalny.</w:t>
      </w:r>
      <w:r>
        <w:t xml:space="preserve"> – dodaje </w:t>
      </w:r>
      <w:proofErr w:type="spellStart"/>
      <w:r>
        <w:t>Cristian</w:t>
      </w:r>
      <w:proofErr w:type="spellEnd"/>
      <w:r>
        <w:t xml:space="preserve"> </w:t>
      </w:r>
      <w:proofErr w:type="spellStart"/>
      <w:r>
        <w:t>Delaere</w:t>
      </w:r>
      <w:proofErr w:type="spellEnd"/>
      <w:r>
        <w:t xml:space="preserve">, </w:t>
      </w:r>
      <w:proofErr w:type="spellStart"/>
      <w:r>
        <w:t>Sustainability</w:t>
      </w:r>
      <w:proofErr w:type="spellEnd"/>
      <w:r>
        <w:t xml:space="preserve"> Manager z firmy </w:t>
      </w:r>
      <w:proofErr w:type="spellStart"/>
      <w:r>
        <w:t>Unilin</w:t>
      </w:r>
      <w:proofErr w:type="spellEnd"/>
      <w:r>
        <w:t xml:space="preserve"> </w:t>
      </w:r>
      <w:proofErr w:type="spellStart"/>
      <w:r>
        <w:t>Panels</w:t>
      </w:r>
      <w:proofErr w:type="spellEnd"/>
      <w:r>
        <w:t xml:space="preserve">. </w:t>
      </w:r>
    </w:p>
    <w:p w:rsidR="001B1B4A" w:rsidRDefault="001B1B4A">
      <w:pPr>
        <w:spacing w:after="0"/>
        <w:jc w:val="both"/>
      </w:pPr>
    </w:p>
    <w:p w:rsidR="001B1B4A" w:rsidRDefault="001932C6">
      <w:pPr>
        <w:jc w:val="both"/>
      </w:pPr>
      <w:r>
        <w:t>Nowe normy dotyczące zawartości formaldehyd</w:t>
      </w:r>
      <w:r>
        <w:t xml:space="preserve">u spełniają już m.in. panele Master </w:t>
      </w:r>
      <w:proofErr w:type="spellStart"/>
      <w:r>
        <w:t>Oak</w:t>
      </w:r>
      <w:proofErr w:type="spellEnd"/>
      <w:r>
        <w:t xml:space="preserve">, flagowy produkt dekoracyjny </w:t>
      </w:r>
      <w:proofErr w:type="spellStart"/>
      <w:r>
        <w:t>Unilin</w:t>
      </w:r>
      <w:proofErr w:type="spellEnd"/>
      <w:r>
        <w:t xml:space="preserve"> </w:t>
      </w:r>
      <w:proofErr w:type="spellStart"/>
      <w:r>
        <w:t>Panels</w:t>
      </w:r>
      <w:proofErr w:type="spellEnd"/>
      <w:r>
        <w:t>. Oprócz pełnej zgodności z nadchodzącymi regulacjami, panele te łączą wyjątkową jakość wykonania z dbałością o środowisko, oferując bezpieczne i trwałe rozwiązania do nowocz</w:t>
      </w:r>
      <w:r>
        <w:t>esnych wnętrz. Płyty wiórowe pokryte melaminą zawierają w 100 proc. drewno pochodzące z recyklingu, a dzięki innowacyjnemu designowi oddaje realistyczny wygląd i charakter prawdziwego dębu oraz dębowych fornirów, jednocześnie eliminując ograniczenia typowe</w:t>
      </w:r>
      <w:r>
        <w:t xml:space="preserve"> dla naturalnego drewna.</w:t>
      </w:r>
    </w:p>
    <w:p w:rsidR="001B1B4A" w:rsidRDefault="001932C6">
      <w:pPr>
        <w:jc w:val="both"/>
      </w:pPr>
      <w:r>
        <w:t xml:space="preserve">Wchodzące w życie regulacje mogą być wyzwaniem także dla finalnych odbiorców, takich jak architekci, projektanci czy wykonawcy, zwłaszcza gdy ich projekty znajdują się już w fazie realizacji. Odpowiednio wcześnie wprowadzone przez </w:t>
      </w:r>
      <w:r>
        <w:t>producentów i dystrybutorów zmiany oraz rzetelna informacja produktowa, pozwalają zapewnić ciągłość działań i uniknąć konieczności wprowadzania zmian na późniejszym etapie.</w:t>
      </w:r>
    </w:p>
    <w:p w:rsidR="001B1B4A" w:rsidRDefault="001B1B4A">
      <w:pPr>
        <w:spacing w:after="0"/>
        <w:jc w:val="both"/>
        <w:rPr>
          <w:sz w:val="24"/>
          <w:szCs w:val="24"/>
        </w:rPr>
      </w:pPr>
    </w:p>
    <w:p w:rsidR="001B1B4A" w:rsidRDefault="001932C6">
      <w:pPr>
        <w:spacing w:after="0"/>
        <w:jc w:val="both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Unilin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Panels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global</w:t>
      </w:r>
      <w:proofErr w:type="spellEnd"/>
      <w:r>
        <w:rPr>
          <w:sz w:val="20"/>
          <w:szCs w:val="20"/>
        </w:rPr>
        <w:t xml:space="preserve"> leader in the </w:t>
      </w:r>
      <w:proofErr w:type="spellStart"/>
      <w:r>
        <w:rPr>
          <w:sz w:val="20"/>
          <w:szCs w:val="20"/>
        </w:rPr>
        <w:t>production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wood-based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panels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serving</w:t>
      </w:r>
      <w:proofErr w:type="spellEnd"/>
      <w:r>
        <w:rPr>
          <w:sz w:val="20"/>
          <w:szCs w:val="20"/>
        </w:rPr>
        <w:t xml:space="preserve"> the interior design and </w:t>
      </w:r>
      <w:proofErr w:type="spellStart"/>
      <w:r>
        <w:rPr>
          <w:sz w:val="20"/>
          <w:szCs w:val="20"/>
        </w:rPr>
        <w:t>construction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sectors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worldwide</w:t>
      </w:r>
      <w:proofErr w:type="spellEnd"/>
      <w:r>
        <w:rPr>
          <w:sz w:val="20"/>
          <w:szCs w:val="20"/>
        </w:rPr>
        <w:t xml:space="preserve">. The panel </w:t>
      </w:r>
      <w:proofErr w:type="spellStart"/>
      <w:r>
        <w:rPr>
          <w:sz w:val="20"/>
          <w:szCs w:val="20"/>
        </w:rPr>
        <w:t>division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Unilin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provides</w:t>
      </w:r>
      <w:proofErr w:type="spellEnd"/>
      <w:r>
        <w:rPr>
          <w:sz w:val="20"/>
          <w:szCs w:val="20"/>
        </w:rPr>
        <w:t xml:space="preserve"> high-</w:t>
      </w:r>
      <w:proofErr w:type="spellStart"/>
      <w:r>
        <w:rPr>
          <w:sz w:val="20"/>
          <w:szCs w:val="20"/>
        </w:rPr>
        <w:t>quality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sustainable</w:t>
      </w:r>
      <w:proofErr w:type="spellEnd"/>
      <w:r>
        <w:rPr>
          <w:sz w:val="20"/>
          <w:szCs w:val="20"/>
        </w:rPr>
        <w:t xml:space="preserve"> panel </w:t>
      </w:r>
      <w:proofErr w:type="spellStart"/>
      <w:r>
        <w:rPr>
          <w:sz w:val="20"/>
          <w:szCs w:val="20"/>
        </w:rPr>
        <w:t>solutions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set </w:t>
      </w:r>
      <w:proofErr w:type="spellStart"/>
      <w:r>
        <w:rPr>
          <w:sz w:val="20"/>
          <w:szCs w:val="20"/>
        </w:rPr>
        <w:t>industry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standards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innovation</w:t>
      </w:r>
      <w:proofErr w:type="spellEnd"/>
      <w:r>
        <w:rPr>
          <w:sz w:val="20"/>
          <w:szCs w:val="20"/>
        </w:rPr>
        <w:t>, performan</w:t>
      </w:r>
      <w:r>
        <w:rPr>
          <w:sz w:val="20"/>
          <w:szCs w:val="20"/>
        </w:rPr>
        <w:t xml:space="preserve">ce, and design. </w:t>
      </w:r>
      <w:proofErr w:type="spellStart"/>
      <w:r>
        <w:rPr>
          <w:sz w:val="20"/>
          <w:szCs w:val="20"/>
        </w:rPr>
        <w:t>Its</w:t>
      </w:r>
      <w:proofErr w:type="spellEnd"/>
      <w:r>
        <w:rPr>
          <w:sz w:val="20"/>
          <w:szCs w:val="20"/>
        </w:rPr>
        <w:t xml:space="preserve"> portfolio </w:t>
      </w:r>
      <w:proofErr w:type="spellStart"/>
      <w:r>
        <w:rPr>
          <w:sz w:val="20"/>
          <w:szCs w:val="20"/>
        </w:rPr>
        <w:t>includes</w:t>
      </w:r>
      <w:proofErr w:type="spellEnd"/>
      <w:r>
        <w:rPr>
          <w:sz w:val="20"/>
          <w:szCs w:val="20"/>
        </w:rPr>
        <w:t xml:space="preserve"> the </w:t>
      </w:r>
      <w:proofErr w:type="spellStart"/>
      <w:r>
        <w:rPr>
          <w:sz w:val="20"/>
          <w:szCs w:val="20"/>
        </w:rPr>
        <w:t>innovative</w:t>
      </w:r>
      <w:proofErr w:type="spellEnd"/>
      <w:r>
        <w:rPr>
          <w:sz w:val="20"/>
          <w:szCs w:val="20"/>
        </w:rPr>
        <w:t xml:space="preserve"> Master </w:t>
      </w:r>
      <w:proofErr w:type="spellStart"/>
      <w:r>
        <w:rPr>
          <w:sz w:val="20"/>
          <w:szCs w:val="20"/>
        </w:rPr>
        <w:t>Oak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product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made</w:t>
      </w:r>
      <w:proofErr w:type="spellEnd"/>
      <w:r>
        <w:rPr>
          <w:sz w:val="20"/>
          <w:szCs w:val="20"/>
        </w:rPr>
        <w:t xml:space="preserve"> from 100% </w:t>
      </w:r>
      <w:proofErr w:type="spellStart"/>
      <w:r>
        <w:rPr>
          <w:sz w:val="20"/>
          <w:szCs w:val="20"/>
        </w:rPr>
        <w:t>recycled</w:t>
      </w:r>
      <w:proofErr w:type="spellEnd"/>
      <w:r>
        <w:rPr>
          <w:sz w:val="20"/>
          <w:szCs w:val="20"/>
        </w:rPr>
        <w:t xml:space="preserve"> materials, </w:t>
      </w:r>
      <w:proofErr w:type="spellStart"/>
      <w:r>
        <w:rPr>
          <w:sz w:val="20"/>
          <w:szCs w:val="20"/>
        </w:rPr>
        <w:t>offering</w:t>
      </w:r>
      <w:proofErr w:type="spellEnd"/>
      <w:r>
        <w:rPr>
          <w:sz w:val="20"/>
          <w:szCs w:val="20"/>
        </w:rPr>
        <w:t xml:space="preserve"> the </w:t>
      </w:r>
      <w:proofErr w:type="spellStart"/>
      <w:r>
        <w:rPr>
          <w:sz w:val="20"/>
          <w:szCs w:val="20"/>
        </w:rPr>
        <w:t>authentic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look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texture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natural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oak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Unilin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Panels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part of the </w:t>
      </w:r>
      <w:proofErr w:type="spellStart"/>
      <w:r>
        <w:rPr>
          <w:sz w:val="20"/>
          <w:szCs w:val="20"/>
        </w:rPr>
        <w:t>Unilin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Group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founded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Belgium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which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shaping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globa</w:t>
      </w:r>
      <w:r>
        <w:rPr>
          <w:sz w:val="20"/>
          <w:szCs w:val="20"/>
        </w:rPr>
        <w:t>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standards</w:t>
      </w:r>
      <w:proofErr w:type="spellEnd"/>
      <w:r>
        <w:rPr>
          <w:sz w:val="20"/>
          <w:szCs w:val="20"/>
        </w:rPr>
        <w:t xml:space="preserve"> in design and </w:t>
      </w:r>
      <w:proofErr w:type="spellStart"/>
      <w:r>
        <w:rPr>
          <w:sz w:val="20"/>
          <w:szCs w:val="20"/>
        </w:rPr>
        <w:t>construction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over</w:t>
      </w:r>
      <w:proofErr w:type="spellEnd"/>
      <w:r>
        <w:rPr>
          <w:sz w:val="20"/>
          <w:szCs w:val="20"/>
        </w:rPr>
        <w:t xml:space="preserve"> 60 </w:t>
      </w:r>
      <w:proofErr w:type="spellStart"/>
      <w:r>
        <w:rPr>
          <w:sz w:val="20"/>
          <w:szCs w:val="20"/>
        </w:rPr>
        <w:t>years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company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operates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more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than</w:t>
      </w:r>
      <w:proofErr w:type="spellEnd"/>
      <w:r>
        <w:rPr>
          <w:sz w:val="20"/>
          <w:szCs w:val="20"/>
        </w:rPr>
        <w:t xml:space="preserve"> 105 </w:t>
      </w:r>
      <w:proofErr w:type="spellStart"/>
      <w:r>
        <w:rPr>
          <w:sz w:val="20"/>
          <w:szCs w:val="20"/>
        </w:rPr>
        <w:t>locations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worldwide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employs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approximately</w:t>
      </w:r>
      <w:proofErr w:type="spellEnd"/>
      <w:r>
        <w:rPr>
          <w:sz w:val="20"/>
          <w:szCs w:val="20"/>
        </w:rPr>
        <w:t xml:space="preserve"> 7,800 </w:t>
      </w:r>
      <w:proofErr w:type="spellStart"/>
      <w:r>
        <w:rPr>
          <w:sz w:val="20"/>
          <w:szCs w:val="20"/>
        </w:rPr>
        <w:t>people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Unilin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also</w:t>
      </w:r>
      <w:proofErr w:type="spellEnd"/>
      <w:r>
        <w:rPr>
          <w:sz w:val="20"/>
          <w:szCs w:val="20"/>
        </w:rPr>
        <w:t xml:space="preserve"> part of </w:t>
      </w:r>
      <w:proofErr w:type="spellStart"/>
      <w:r>
        <w:rPr>
          <w:sz w:val="20"/>
          <w:szCs w:val="20"/>
        </w:rPr>
        <w:t>Mohawk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Industries</w:t>
      </w:r>
      <w:proofErr w:type="spellEnd"/>
      <w:r>
        <w:rPr>
          <w:sz w:val="20"/>
          <w:szCs w:val="20"/>
        </w:rPr>
        <w:t xml:space="preserve"> Inc., one of the </w:t>
      </w:r>
      <w:proofErr w:type="spellStart"/>
      <w:r>
        <w:rPr>
          <w:sz w:val="20"/>
          <w:szCs w:val="20"/>
        </w:rPr>
        <w:t>largest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flooring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surface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manufacturers</w:t>
      </w:r>
      <w:proofErr w:type="spellEnd"/>
      <w:r>
        <w:rPr>
          <w:sz w:val="20"/>
          <w:szCs w:val="20"/>
        </w:rPr>
        <w:t xml:space="preserve"> in the </w:t>
      </w:r>
      <w:proofErr w:type="spellStart"/>
      <w:r>
        <w:rPr>
          <w:sz w:val="20"/>
          <w:szCs w:val="20"/>
        </w:rPr>
        <w:t>world</w:t>
      </w:r>
      <w:proofErr w:type="spellEnd"/>
      <w:r>
        <w:rPr>
          <w:sz w:val="20"/>
          <w:szCs w:val="20"/>
        </w:rPr>
        <w:t>.</w:t>
      </w:r>
    </w:p>
    <w:p w:rsidR="001B1B4A" w:rsidRDefault="001B1B4A">
      <w:pPr>
        <w:spacing w:after="0"/>
        <w:jc w:val="both"/>
        <w:rPr>
          <w:sz w:val="24"/>
          <w:szCs w:val="24"/>
        </w:rPr>
      </w:pPr>
    </w:p>
    <w:p w:rsidR="001B1B4A" w:rsidRDefault="001B1B4A">
      <w:pPr>
        <w:spacing w:after="0" w:line="276" w:lineRule="auto"/>
        <w:jc w:val="right"/>
        <w:rPr>
          <w:sz w:val="24"/>
          <w:szCs w:val="24"/>
        </w:rPr>
      </w:pPr>
    </w:p>
    <w:p w:rsidR="001B1B4A" w:rsidRDefault="001932C6">
      <w:pPr>
        <w:spacing w:after="0" w:line="276" w:lineRule="auto"/>
        <w:jc w:val="right"/>
        <w:rPr>
          <w:sz w:val="20"/>
          <w:szCs w:val="20"/>
        </w:rPr>
      </w:pPr>
      <w:r>
        <w:rPr>
          <w:sz w:val="24"/>
          <w:szCs w:val="24"/>
        </w:rPr>
        <w:t xml:space="preserve"> </w:t>
      </w:r>
    </w:p>
    <w:p w:rsidR="00E71876" w:rsidRPr="00E71876" w:rsidRDefault="001932C6" w:rsidP="00E71876">
      <w:pPr>
        <w:spacing w:after="0" w:line="276" w:lineRule="auto"/>
        <w:jc w:val="right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Media </w:t>
      </w:r>
      <w:proofErr w:type="spellStart"/>
      <w:r>
        <w:rPr>
          <w:b/>
          <w:bCs/>
          <w:sz w:val="20"/>
          <w:szCs w:val="20"/>
        </w:rPr>
        <w:t>Contact</w:t>
      </w:r>
      <w:proofErr w:type="spellEnd"/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br/>
      </w:r>
      <w:r w:rsidR="00E71876" w:rsidRPr="00E71876">
        <w:rPr>
          <w:sz w:val="20"/>
          <w:szCs w:val="20"/>
        </w:rPr>
        <w:t>Paweł Skowron</w:t>
      </w:r>
    </w:p>
    <w:p w:rsidR="00E71876" w:rsidRPr="00E71876" w:rsidRDefault="00E71876" w:rsidP="00E71876">
      <w:pPr>
        <w:spacing w:after="0" w:line="276" w:lineRule="auto"/>
        <w:jc w:val="right"/>
        <w:rPr>
          <w:sz w:val="20"/>
          <w:szCs w:val="20"/>
        </w:rPr>
      </w:pPr>
      <w:proofErr w:type="spellStart"/>
      <w:r w:rsidRPr="00E71876">
        <w:rPr>
          <w:sz w:val="20"/>
          <w:szCs w:val="20"/>
        </w:rPr>
        <w:t>Account</w:t>
      </w:r>
      <w:proofErr w:type="spellEnd"/>
      <w:r w:rsidRPr="00E71876">
        <w:rPr>
          <w:sz w:val="20"/>
          <w:szCs w:val="20"/>
        </w:rPr>
        <w:t xml:space="preserve"> </w:t>
      </w:r>
      <w:proofErr w:type="spellStart"/>
      <w:r w:rsidRPr="00E71876">
        <w:rPr>
          <w:sz w:val="20"/>
          <w:szCs w:val="20"/>
        </w:rPr>
        <w:t>Executive</w:t>
      </w:r>
      <w:proofErr w:type="spellEnd"/>
    </w:p>
    <w:p w:rsidR="00E71876" w:rsidRPr="00E71876" w:rsidRDefault="00E71876" w:rsidP="00E71876">
      <w:pPr>
        <w:spacing w:after="0" w:line="276" w:lineRule="auto"/>
        <w:jc w:val="right"/>
        <w:rPr>
          <w:sz w:val="20"/>
          <w:szCs w:val="20"/>
        </w:rPr>
      </w:pPr>
      <w:r w:rsidRPr="00E71876">
        <w:rPr>
          <w:sz w:val="20"/>
          <w:szCs w:val="20"/>
        </w:rPr>
        <w:t>Tel. + 48 796 699 177</w:t>
      </w:r>
    </w:p>
    <w:p w:rsidR="00E71876" w:rsidRPr="00E71876" w:rsidRDefault="00E71876" w:rsidP="00E71876">
      <w:pPr>
        <w:spacing w:after="0" w:line="276" w:lineRule="auto"/>
        <w:jc w:val="right"/>
        <w:rPr>
          <w:sz w:val="20"/>
          <w:szCs w:val="20"/>
        </w:rPr>
      </w:pPr>
      <w:r w:rsidRPr="00E71876">
        <w:rPr>
          <w:sz w:val="20"/>
          <w:szCs w:val="20"/>
        </w:rPr>
        <w:t>E-mail: pawel.skowron@goodonepr.pl</w:t>
      </w:r>
    </w:p>
    <w:p w:rsidR="001B1B4A" w:rsidRDefault="001B1B4A">
      <w:pPr>
        <w:spacing w:after="0" w:line="276" w:lineRule="auto"/>
        <w:jc w:val="right"/>
        <w:rPr>
          <w:sz w:val="20"/>
          <w:szCs w:val="20"/>
        </w:rPr>
      </w:pPr>
    </w:p>
    <w:p w:rsidR="001B1B4A" w:rsidRDefault="001B1B4A">
      <w:pPr>
        <w:spacing w:after="0" w:line="276" w:lineRule="auto"/>
        <w:jc w:val="right"/>
        <w:rPr>
          <w:sz w:val="20"/>
          <w:szCs w:val="20"/>
        </w:rPr>
      </w:pPr>
      <w:bookmarkStart w:id="0" w:name="_GoBack"/>
      <w:bookmarkEnd w:id="0"/>
    </w:p>
    <w:sectPr w:rsidR="001B1B4A">
      <w:headerReference w:type="default" r:id="rId7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2C6" w:rsidRDefault="001932C6">
      <w:pPr>
        <w:spacing w:after="0" w:line="240" w:lineRule="auto"/>
      </w:pPr>
      <w:r>
        <w:separator/>
      </w:r>
    </w:p>
  </w:endnote>
  <w:endnote w:type="continuationSeparator" w:id="0">
    <w:p w:rsidR="001932C6" w:rsidRDefault="0019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065270-707E-4064-AA1C-2153C323D29E}"/>
    <w:embedBold r:id="rId2" w:fontKey="{1BDA2BD3-8D69-4E7D-B8FB-163734FB9FD7}"/>
    <w:embedItalic r:id="rId3" w:fontKey="{CAF52F15-80F4-49DA-B047-33C86D0B5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1A3C362-F5DB-4003-B21C-A4A3C3C8993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2C6" w:rsidRDefault="001932C6">
      <w:pPr>
        <w:spacing w:after="0" w:line="240" w:lineRule="auto"/>
      </w:pPr>
      <w:r>
        <w:separator/>
      </w:r>
    </w:p>
  </w:footnote>
  <w:footnote w:type="continuationSeparator" w:id="0">
    <w:p w:rsidR="001932C6" w:rsidRDefault="00193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4A" w:rsidRDefault="001932C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  <w:sz w:val="24"/>
        <w:szCs w:val="24"/>
      </w:rPr>
    </w:pPr>
    <w:r>
      <w:rPr>
        <w:noProof/>
        <w:lang w:val="pl-PL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4167504</wp:posOffset>
          </wp:positionH>
          <wp:positionV relativeFrom="paragraph">
            <wp:posOffset>-211453</wp:posOffset>
          </wp:positionV>
          <wp:extent cx="2095500" cy="43621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0" cy="436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B1B4A" w:rsidRDefault="001B1B4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4A"/>
    <w:rsid w:val="001932C6"/>
    <w:rsid w:val="001B1B4A"/>
    <w:rsid w:val="00E7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1823B"/>
  <w15:docId w15:val="{4BC672F2-A865-423F-BE71-45E2114B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 w:line="278" w:lineRule="auto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 w:line="278" w:lineRule="auto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 w:line="278" w:lineRule="auto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 w:line="278" w:lineRule="auto"/>
      <w:outlineLvl w:val="3"/>
    </w:pPr>
    <w:rPr>
      <w:i/>
      <w:iCs/>
      <w:color w:val="2F549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80" w:after="40" w:line="278" w:lineRule="auto"/>
      <w:outlineLvl w:val="4"/>
    </w:pPr>
    <w:rPr>
      <w:color w:val="2F5496"/>
      <w:sz w:val="24"/>
      <w:szCs w:val="24"/>
    </w:rPr>
  </w:style>
  <w:style w:type="paragraph" w:styleId="Nagwek6">
    <w:name w:val="heading 6"/>
    <w:basedOn w:val="Normalny"/>
    <w:next w:val="Normalny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sz w:val="56"/>
      <w:szCs w:val="56"/>
    </w:rPr>
  </w:style>
  <w:style w:type="paragraph" w:styleId="Podtytu">
    <w:name w:val="Subtitle"/>
    <w:basedOn w:val="Normalny"/>
    <w:next w:val="Normalny"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hl04/zAtXf12IymklYylihSDiw==">CgMxLjA4AHIhMWxWaEEyRkk4U2xRTlRQYmlhajJ2RHV0Qm10T1IxMldh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974</Words>
  <Characters>5849</Characters>
  <Application>Microsoft Office Word</Application>
  <DocSecurity>0</DocSecurity>
  <Lines>48</Lines>
  <Paragraphs>13</Paragraphs>
  <ScaleCrop>false</ScaleCrop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PR2024</cp:lastModifiedBy>
  <cp:revision>2</cp:revision>
  <dcterms:created xsi:type="dcterms:W3CDTF">2026-04-20T08:05:00Z</dcterms:created>
  <dcterms:modified xsi:type="dcterms:W3CDTF">2026-04-20T08:05:00Z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0x010100933D4CA3E3195F419322BE8ACC6B6476</vt:lpwstr>
  </property>
  <property fmtid="{D5CDD505-2E9C-101B-9397-08002B2CF9AE}" pid="3" name="MediaServiceImageTags">
    <vt:lpwstr>MediaServiceImageTags</vt:lpwstr>
  </property>
</Properties>
</file>