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ind w:left="4320" w:firstLine="720"/>
        <w:jc w:val="right"/>
        <w:rPr>
          <w:rFonts w:ascii="Raleway" w:cs="Raleway" w:eastAsia="Raleway" w:hAnsi="Raleway"/>
          <w:b w:val="1"/>
          <w:bCs w:val="1"/>
          <w:sz w:val="26"/>
          <w:szCs w:val="26"/>
        </w:rPr>
      </w:pPr>
      <w:r w:rsidDel="00000000" w:rsidR="00000000" w:rsidRPr="00000000">
        <w:rPr>
          <w:rFonts w:ascii="Raleway" w:cs="Raleway" w:eastAsia="Raleway" w:hAnsi="Raleway"/>
          <w:rtl w:val="0"/>
        </w:rPr>
        <w:t xml:space="preserve">Warszawa, 16.04.2026 r.</w:t>
      </w:r>
      <w:r w:rsidDel="00000000" w:rsidR="00000000" w:rsidRPr="00000000">
        <w:rPr>
          <w:rFonts w:ascii="Raleway" w:cs="Raleway" w:eastAsia="Raleway" w:hAnsi="Raleway"/>
          <w:b w:val="1"/>
          <w:bCs w:val="1"/>
          <w:color w:val="333333"/>
          <w:sz w:val="30"/>
          <w:szCs w:val="30"/>
          <w:highlight w:val="white"/>
          <w:rtl w:val="0"/>
        </w:rPr>
        <w:br w:type="textWrapping"/>
      </w:r>
      <w:r w:rsidDel="00000000" w:rsidR="00000000" w:rsidRPr="00000000">
        <w:rPr>
          <w:rtl w:val="0"/>
        </w:rPr>
      </w:r>
    </w:p>
    <w:p w:rsidR="00000000" w:rsidDel="00000000" w:rsidP="00000000" w:rsidRDefault="00000000" w:rsidRPr="00000000" w14:paraId="00000003">
      <w:pPr>
        <w:spacing w:after="240" w:before="240" w:line="276.00000545454543" w:lineRule="auto"/>
        <w:jc w:val="center"/>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tl w:val="0"/>
        </w:rPr>
        <w:t xml:space="preserve">Kasia Barczuk awansuje na stanowisko Group Account Director w GONG</w:t>
      </w:r>
    </w:p>
    <w:p w:rsidR="00000000" w:rsidDel="00000000" w:rsidP="00000000" w:rsidRDefault="00000000" w:rsidRPr="00000000" w14:paraId="00000004">
      <w:pPr>
        <w:spacing w:after="240" w:before="240" w:line="276.00000545454543"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Kasia Barczuk objęła stanowisko Group Account Director w GONG (Group One). To kolejny krok w jej rozwoju w strukturach agencji po blisko trzech latach pracy oraz kilkunastu latach doświadczenia w branży reklamowej. W nowej roli odpowiada za rozwój jednego z kluczowych obszarów biznesowych firmy oraz zarządzanie zespołem realizującym działania dla Grupy Żabka.</w:t>
      </w:r>
    </w:p>
    <w:p w:rsidR="00000000" w:rsidDel="00000000" w:rsidP="00000000" w:rsidRDefault="00000000" w:rsidRPr="00000000" w14:paraId="00000005">
      <w:pPr>
        <w:spacing w:after="240" w:before="240" w:line="276.00000545454543" w:lineRule="auto"/>
        <w:jc w:val="both"/>
        <w:rPr>
          <w:rFonts w:ascii="Raleway" w:cs="Raleway" w:eastAsia="Raleway" w:hAnsi="Raleway"/>
        </w:rPr>
      </w:pPr>
      <w:r w:rsidDel="00000000" w:rsidR="00000000" w:rsidRPr="00000000">
        <w:rPr>
          <w:rFonts w:ascii="Raleway" w:cs="Raleway" w:eastAsia="Raleway" w:hAnsi="Raleway"/>
          <w:rtl w:val="0"/>
        </w:rPr>
        <w:t xml:space="preserve">Od początku swojej pracy w GONG Kasia Barczuk była zaangażowana w projekty dla największych klientów agencji: od Netflixa po Grupę Żabka, która z czasem stała się jej głównym obszarem odpowiedzialności. Równolegle budowała i rozwijała dedykowany zespół, wzmacniając jego kompetencje i integrując działania wokół potrzeb klienta. Dzięki temu stała się ważnym partnerem zarówno dla zespołów po stronie Żabki, jak i dla zarządu agencji. Jej awans odzwierciedla rosnącą skalę współpracy oraz znaczenie tego obszaru w dalszym rozwoju biznesu GONG.</w:t>
      </w:r>
      <w:r w:rsidDel="00000000" w:rsidR="00000000" w:rsidRPr="00000000">
        <w:rPr>
          <w:rtl w:val="0"/>
        </w:rPr>
      </w:r>
    </w:p>
    <w:p w:rsidR="00000000" w:rsidDel="00000000" w:rsidP="00000000" w:rsidRDefault="00000000" w:rsidRPr="00000000" w14:paraId="00000006">
      <w:pPr>
        <w:numPr>
          <w:ilvl w:val="0"/>
          <w:numId w:val="1"/>
        </w:numPr>
        <w:spacing w:after="240" w:before="240" w:line="276.00000545454543" w:lineRule="auto"/>
        <w:ind w:left="720" w:hanging="360"/>
        <w:jc w:val="both"/>
        <w:rPr>
          <w:rFonts w:ascii="Raleway" w:cs="Raleway" w:eastAsia="Raleway" w:hAnsi="Raleway"/>
        </w:rPr>
      </w:pPr>
      <w:r w:rsidDel="00000000" w:rsidR="00000000" w:rsidRPr="00000000">
        <w:rPr>
          <w:rFonts w:ascii="Raleway" w:cs="Raleway" w:eastAsia="Raleway" w:hAnsi="Raleway"/>
          <w:i w:val="1"/>
          <w:iCs w:val="1"/>
          <w:rtl w:val="0"/>
        </w:rPr>
        <w:t xml:space="preserve">“Kasia łączy duże doświadczenie z energią do szukania nowych możliwości biznesowych. Jej awans to konsekwencja tego, jak skutecznie rozwija relacje z klientami. W ostatnich latach odegrała istotną rolę w rozwoju współpracy z tym klientem, zarówno w obszarze komunikacji marki, jak i nowych inicjatyw biznesowych, obejmujących ofertę gastronomiczną, rozwój usług convenience oraz projekty realizowane z partnerami zewnętrznymi” - </w:t>
      </w:r>
      <w:r w:rsidDel="00000000" w:rsidR="00000000" w:rsidRPr="00000000">
        <w:rPr>
          <w:rFonts w:ascii="Raleway" w:cs="Raleway" w:eastAsia="Raleway" w:hAnsi="Raleway"/>
          <w:rtl w:val="0"/>
        </w:rPr>
        <w:t xml:space="preserve">mówi Jacek Ryniecki, Chief Business Officer w GONG.</w:t>
      </w:r>
    </w:p>
    <w:p w:rsidR="00000000" w:rsidDel="00000000" w:rsidP="00000000" w:rsidRDefault="00000000" w:rsidRPr="00000000" w14:paraId="00000007">
      <w:pPr>
        <w:spacing w:after="240" w:before="240" w:line="276.00000545454543" w:lineRule="auto"/>
        <w:jc w:val="both"/>
        <w:rPr>
          <w:rFonts w:ascii="Raleway" w:cs="Raleway" w:eastAsia="Raleway" w:hAnsi="Raleway"/>
          <w:b w:val="1"/>
          <w:bCs w:val="1"/>
          <w:sz w:val="30"/>
          <w:szCs w:val="30"/>
        </w:rPr>
      </w:pPr>
      <w:r w:rsidDel="00000000" w:rsidR="00000000" w:rsidRPr="00000000">
        <w:rPr>
          <w:rFonts w:ascii="Raleway" w:cs="Raleway" w:eastAsia="Raleway" w:hAnsi="Raleway"/>
          <w:rtl w:val="0"/>
        </w:rPr>
        <w:t xml:space="preserve">Nowa rola Kasi Barczuk oznacza dalsze skalowanie zespołu oraz integrację działań strategicznych, kreatywnych i technologicznych w ramach działań realizowanych dla Grupy Żabka. To kolejny etap współpracy kontynuowanej przez GONG po obronie przetargu, której rozwój napędza przede wszystkim dynamiczne poszerzanie wspólnych działań o kolejne obszary biznesowe.</w:t>
      </w:r>
      <w:r w:rsidDel="00000000" w:rsidR="00000000" w:rsidRPr="00000000">
        <w:rPr>
          <w:rtl w:val="0"/>
        </w:rPr>
      </w:r>
    </w:p>
    <w:p w:rsidR="00000000" w:rsidDel="00000000" w:rsidP="00000000" w:rsidRDefault="00000000" w:rsidRPr="00000000" w14:paraId="00000008">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9">
      <w:pPr>
        <w:spacing w:line="276" w:lineRule="auto"/>
        <w:jc w:val="center"/>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A">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GONG</w:t>
      </w:r>
    </w:p>
    <w:p w:rsidR="00000000" w:rsidDel="00000000" w:rsidP="00000000" w:rsidRDefault="00000000" w:rsidRPr="00000000" w14:paraId="0000000B">
      <w:pP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C">
      <w:pPr>
        <w:jc w:val="both"/>
        <w:rPr>
          <w:rFonts w:ascii="Raleway" w:cs="Raleway" w:eastAsia="Raleway" w:hAnsi="Raleway"/>
        </w:rPr>
      </w:pPr>
      <w:r w:rsidDel="00000000" w:rsidR="00000000" w:rsidRPr="00000000">
        <w:rPr>
          <w:rFonts w:ascii="Raleway" w:cs="Raleway" w:eastAsia="Raleway" w:hAnsi="Raleway"/>
          <w:sz w:val="18"/>
          <w:szCs w:val="18"/>
          <w:rtl w:val="0"/>
        </w:rPr>
        <w:t xml:space="preserve">GONG to agencja kreatywna full service specjalizująca się w tworzeniu pomysłów na styku reklamy, kultury i technologii, które pomagają markom odpowiadać na wyzwania zmieniającego się rynku. Do grona klientów agencji należą m.in. ING Bank Śląski, Netflix, Żabka oraz Versuni. Istniejąca od 2001 roku agencja zatrudnia ponad 80 osób w biurach w Warszawie i w Gliwicach i jest częścią holdingu Group One. Projekty agencji wyróżnione zostały Złotym Lwem w Cannes, nagrodami Clio Awards, Epica Awards oraz ponad 20 nagrodami Effie.</w:t>
      </w:r>
      <w:r w:rsidDel="00000000" w:rsidR="00000000" w:rsidRPr="00000000">
        <w:rPr>
          <w:rtl w:val="0"/>
        </w:rPr>
      </w:r>
    </w:p>
    <w:p w:rsidR="00000000" w:rsidDel="00000000" w:rsidP="00000000" w:rsidRDefault="00000000" w:rsidRPr="00000000" w14:paraId="0000000D">
      <w:pPr>
        <w:widowControl w:val="0"/>
        <w:spacing w:line="240" w:lineRule="auto"/>
        <w:ind w:left="2880" w:firstLine="720"/>
        <w:jc w:val="both"/>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Dodatkowe informacje:</w:t>
        <w:br w:type="textWrapping"/>
      </w:r>
    </w:p>
    <w:p w:rsidR="00000000" w:rsidDel="00000000" w:rsidP="00000000" w:rsidRDefault="00000000" w:rsidRPr="00000000" w14:paraId="0000000E">
      <w:pPr>
        <w:spacing w:after="100" w:lineRule="auto"/>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Szymon Ślęzak | Senior PR &amp; Creative  Specialist Group One</w:t>
      </w:r>
    </w:p>
    <w:p w:rsidR="00000000" w:rsidDel="00000000" w:rsidP="00000000" w:rsidRDefault="00000000" w:rsidRPr="00000000" w14:paraId="0000000F">
      <w:pPr>
        <w:spacing w:after="100" w:lineRule="auto"/>
        <w:jc w:val="center"/>
        <w:rPr>
          <w:rFonts w:ascii="Raleway" w:cs="Raleway" w:eastAsia="Raleway" w:hAnsi="Raleway"/>
        </w:rPr>
      </w:pPr>
      <w:r w:rsidDel="00000000" w:rsidR="00000000" w:rsidRPr="00000000">
        <w:rPr>
          <w:rFonts w:ascii="Raleway" w:cs="Raleway" w:eastAsia="Raleway" w:hAnsi="Raleway"/>
          <w:sz w:val="16"/>
          <w:szCs w:val="16"/>
          <w:rtl w:val="0"/>
        </w:rPr>
        <w:t xml:space="preserve">szymon.slezak@groupone.com.pl | +48 539 090 705</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line="276" w:lineRule="auto"/>
      <w:jc w:val="center"/>
      <w:rPr/>
    </w:pPr>
    <w:r w:rsidDel="00000000" w:rsidR="00000000" w:rsidRPr="00000000">
      <w:rPr>
        <w:rFonts w:ascii="Raleway" w:cs="Raleway" w:eastAsia="Raleway" w:hAnsi="Raleway"/>
        <w:b w:val="1"/>
        <w:bCs w:val="1"/>
      </w:rPr>
      <w:drawing>
        <wp:inline distB="114300" distT="114300" distL="114300" distR="114300">
          <wp:extent cx="5731200" cy="838200"/>
          <wp:effectExtent b="0" l="0" r="0" t="0"/>
          <wp:docPr id="1" name="image1.png"/>
          <a:graphic>
            <a:graphicData uri="http://schemas.openxmlformats.org/drawingml/2006/picture">
              <pic:pic>
                <pic:nvPicPr>
                  <pic:cNvPr id="0" name="image1.png"/>
                  <pic:cNvPicPr preferRelativeResize="0"/>
                </pic:nvPicPr>
                <pic:blipFill>
                  <a:blip r:embed="rId1"/>
                  <a:srcRect b="79" l="0" r="0" t="79"/>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pPr>
    <w:r w:rsidDel="00000000" w:rsidR="00000000" w:rsidRPr="00000000">
      <w:rPr/>
      <w:drawing>
        <wp:inline distB="114300" distT="114300" distL="114300" distR="114300">
          <wp:extent cx="781050" cy="781050"/>
          <wp:effectExtent b="0" l="0" r="0" t="0"/>
          <wp:docPr id="2" name="image2.png"/>
          <a:graphic>
            <a:graphicData uri="http://schemas.openxmlformats.org/drawingml/2006/picture">
              <pic:pic>
                <pic:nvPicPr>
                  <pic:cNvPr id="0" name="image2.png"/>
                  <pic:cNvPicPr preferRelativeResize="0"/>
                </pic:nvPicPr>
                <pic:blipFill>
                  <a:blip r:embed="rId1"/>
                  <a:srcRect b="24126" l="23920" r="24419" t="24459"/>
                  <a:stretch>
                    <a:fillRect/>
                  </a:stretch>
                </pic:blipFill>
                <pic:spPr>
                  <a:xfrm>
                    <a:off x="0" y="0"/>
                    <a:ext cx="781050" cy="781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