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53E7" w14:textId="527CDE18" w:rsidR="00405CF4" w:rsidRPr="006F09A0" w:rsidRDefault="00806394" w:rsidP="00405CF4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6F09A0">
        <w:rPr>
          <w:b/>
          <w:bCs/>
          <w:sz w:val="20"/>
          <w:szCs w:val="20"/>
          <w:lang w:val="en-GB"/>
        </w:rPr>
        <w:t>Warsaw’s hidden potential</w:t>
      </w:r>
      <w:r w:rsidR="0090558E" w:rsidRPr="006F09A0">
        <w:rPr>
          <w:b/>
          <w:bCs/>
          <w:sz w:val="20"/>
          <w:szCs w:val="20"/>
          <w:lang w:val="en-GB"/>
        </w:rPr>
        <w:t>:</w:t>
      </w:r>
      <w:r w:rsidR="00405CF4" w:rsidRPr="006F09A0">
        <w:rPr>
          <w:b/>
          <w:bCs/>
          <w:sz w:val="20"/>
          <w:szCs w:val="20"/>
          <w:lang w:val="en-GB"/>
        </w:rPr>
        <w:t xml:space="preserve"> </w:t>
      </w:r>
      <w:r w:rsidR="003B3FD6">
        <w:rPr>
          <w:b/>
          <w:bCs/>
          <w:sz w:val="20"/>
          <w:szCs w:val="20"/>
          <w:lang w:val="en-GB"/>
        </w:rPr>
        <w:t>t</w:t>
      </w:r>
      <w:r w:rsidRPr="006F09A0">
        <w:rPr>
          <w:b/>
          <w:bCs/>
          <w:sz w:val="20"/>
          <w:szCs w:val="20"/>
          <w:lang w:val="en-GB"/>
        </w:rPr>
        <w:t xml:space="preserve">he right bank of the </w:t>
      </w:r>
      <w:r w:rsidR="00662F3C" w:rsidRPr="006F09A0">
        <w:rPr>
          <w:b/>
          <w:bCs/>
          <w:sz w:val="20"/>
          <w:szCs w:val="20"/>
          <w:lang w:val="en-GB"/>
        </w:rPr>
        <w:t>Vistula as an alternative growth direction for the capital</w:t>
      </w:r>
    </w:p>
    <w:p w14:paraId="77339454" w14:textId="16F3326E" w:rsidR="0079013C" w:rsidRPr="006F09A0" w:rsidRDefault="00912347" w:rsidP="00A37A74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6F09A0">
        <w:rPr>
          <w:b/>
          <w:bCs/>
          <w:sz w:val="20"/>
          <w:szCs w:val="20"/>
          <w:lang w:val="en-GB"/>
        </w:rPr>
        <w:t xml:space="preserve">For decades, </w:t>
      </w:r>
      <w:r w:rsidR="00A23608">
        <w:rPr>
          <w:b/>
          <w:bCs/>
          <w:sz w:val="20"/>
          <w:szCs w:val="20"/>
          <w:lang w:val="en-GB"/>
        </w:rPr>
        <w:t xml:space="preserve">right-bank </w:t>
      </w:r>
      <w:r w:rsidRPr="006F09A0">
        <w:rPr>
          <w:b/>
          <w:bCs/>
          <w:sz w:val="20"/>
          <w:szCs w:val="20"/>
          <w:lang w:val="en-GB"/>
        </w:rPr>
        <w:t>Warsaw has remained oversha</w:t>
      </w:r>
      <w:r w:rsidR="00BD4E8A" w:rsidRPr="006F09A0">
        <w:rPr>
          <w:b/>
          <w:bCs/>
          <w:sz w:val="20"/>
          <w:szCs w:val="20"/>
          <w:lang w:val="en-GB"/>
        </w:rPr>
        <w:t xml:space="preserve">dowed by the left-bank </w:t>
      </w:r>
      <w:r w:rsidR="0026008C">
        <w:rPr>
          <w:b/>
          <w:bCs/>
          <w:sz w:val="20"/>
          <w:szCs w:val="20"/>
          <w:lang w:val="en-GB"/>
        </w:rPr>
        <w:t xml:space="preserve">city </w:t>
      </w:r>
      <w:r w:rsidR="00BD4E8A" w:rsidRPr="006F09A0">
        <w:rPr>
          <w:b/>
          <w:bCs/>
          <w:sz w:val="20"/>
          <w:szCs w:val="20"/>
          <w:lang w:val="en-GB"/>
        </w:rPr>
        <w:t xml:space="preserve">centre and </w:t>
      </w:r>
      <w:r w:rsidR="00B969CE" w:rsidRPr="006F09A0">
        <w:rPr>
          <w:b/>
          <w:bCs/>
          <w:sz w:val="20"/>
          <w:szCs w:val="20"/>
          <w:lang w:val="en-GB"/>
        </w:rPr>
        <w:t xml:space="preserve">has largely been </w:t>
      </w:r>
      <w:r w:rsidR="00075CF5">
        <w:rPr>
          <w:b/>
          <w:bCs/>
          <w:sz w:val="20"/>
          <w:szCs w:val="20"/>
          <w:lang w:val="en-GB"/>
        </w:rPr>
        <w:t>perceived</w:t>
      </w:r>
      <w:r w:rsidR="00DF69E4" w:rsidRPr="006F09A0">
        <w:rPr>
          <w:b/>
          <w:bCs/>
          <w:sz w:val="20"/>
          <w:szCs w:val="20"/>
          <w:lang w:val="en-GB"/>
        </w:rPr>
        <w:t xml:space="preserve"> as </w:t>
      </w:r>
      <w:r w:rsidR="00B969CE" w:rsidRPr="006F09A0">
        <w:rPr>
          <w:b/>
          <w:bCs/>
          <w:sz w:val="20"/>
          <w:szCs w:val="20"/>
          <w:lang w:val="en-GB"/>
        </w:rPr>
        <w:t xml:space="preserve">a residential </w:t>
      </w:r>
      <w:r w:rsidR="00BD3E2C">
        <w:rPr>
          <w:b/>
          <w:bCs/>
          <w:sz w:val="20"/>
          <w:szCs w:val="20"/>
          <w:lang w:val="en-GB"/>
        </w:rPr>
        <w:t>area</w:t>
      </w:r>
      <w:r w:rsidR="00AF2180" w:rsidRPr="006F09A0">
        <w:rPr>
          <w:b/>
          <w:bCs/>
          <w:sz w:val="20"/>
          <w:szCs w:val="20"/>
          <w:lang w:val="en-GB"/>
        </w:rPr>
        <w:t xml:space="preserve">. Today, this landscape is changing rapidly. </w:t>
      </w:r>
      <w:r w:rsidR="00AF2180" w:rsidRPr="006F09A0">
        <w:rPr>
          <w:b/>
          <w:bCs/>
          <w:i/>
          <w:iCs/>
          <w:sz w:val="20"/>
          <w:szCs w:val="20"/>
          <w:lang w:val="en-GB"/>
        </w:rPr>
        <w:t>Focus on Warsaw East: The Hidden Potential of the City</w:t>
      </w:r>
      <w:r w:rsidR="00AF2180" w:rsidRPr="006F09A0">
        <w:rPr>
          <w:b/>
          <w:bCs/>
          <w:sz w:val="20"/>
          <w:szCs w:val="20"/>
          <w:lang w:val="en-GB"/>
        </w:rPr>
        <w:t xml:space="preserve">, the latest report from global real estate services firm </w:t>
      </w:r>
      <w:r w:rsidR="0079013C" w:rsidRPr="006F09A0">
        <w:rPr>
          <w:b/>
          <w:bCs/>
          <w:sz w:val="20"/>
          <w:szCs w:val="20"/>
          <w:lang w:val="en-GB"/>
        </w:rPr>
        <w:t xml:space="preserve">Cushman &amp; Wakefield, </w:t>
      </w:r>
      <w:r w:rsidR="00AF2180" w:rsidRPr="006F09A0">
        <w:rPr>
          <w:b/>
          <w:bCs/>
          <w:sz w:val="20"/>
          <w:szCs w:val="20"/>
          <w:lang w:val="en-GB"/>
        </w:rPr>
        <w:t>reve</w:t>
      </w:r>
      <w:r w:rsidR="0090558E" w:rsidRPr="006F09A0">
        <w:rPr>
          <w:b/>
          <w:bCs/>
          <w:sz w:val="20"/>
          <w:szCs w:val="20"/>
          <w:lang w:val="en-GB"/>
        </w:rPr>
        <w:t>a</w:t>
      </w:r>
      <w:r w:rsidR="00AF2180" w:rsidRPr="006F09A0">
        <w:rPr>
          <w:b/>
          <w:bCs/>
          <w:sz w:val="20"/>
          <w:szCs w:val="20"/>
          <w:lang w:val="en-GB"/>
        </w:rPr>
        <w:t>ls that right-bank</w:t>
      </w:r>
      <w:r w:rsidR="003A5BF1" w:rsidRPr="006F09A0">
        <w:rPr>
          <w:b/>
          <w:bCs/>
          <w:sz w:val="20"/>
          <w:szCs w:val="20"/>
          <w:lang w:val="en-GB"/>
        </w:rPr>
        <w:t xml:space="preserve"> districts are </w:t>
      </w:r>
      <w:r w:rsidR="00976E15">
        <w:rPr>
          <w:b/>
          <w:bCs/>
          <w:sz w:val="20"/>
          <w:szCs w:val="20"/>
          <w:lang w:val="en-GB"/>
        </w:rPr>
        <w:t xml:space="preserve">increasingly </w:t>
      </w:r>
      <w:r w:rsidR="00266677">
        <w:rPr>
          <w:b/>
          <w:bCs/>
          <w:sz w:val="20"/>
          <w:szCs w:val="20"/>
          <w:lang w:val="en-GB"/>
        </w:rPr>
        <w:t xml:space="preserve">recognised </w:t>
      </w:r>
      <w:r w:rsidR="00976E15">
        <w:rPr>
          <w:b/>
          <w:bCs/>
          <w:sz w:val="20"/>
          <w:szCs w:val="20"/>
          <w:lang w:val="en-GB"/>
        </w:rPr>
        <w:t xml:space="preserve">as an </w:t>
      </w:r>
      <w:r w:rsidR="00704AB6" w:rsidRPr="006F09A0">
        <w:rPr>
          <w:b/>
          <w:bCs/>
          <w:sz w:val="20"/>
          <w:szCs w:val="20"/>
          <w:lang w:val="en-GB"/>
        </w:rPr>
        <w:t>integral part</w:t>
      </w:r>
      <w:r w:rsidR="003A5BF1" w:rsidRPr="006F09A0">
        <w:rPr>
          <w:b/>
          <w:bCs/>
          <w:sz w:val="20"/>
          <w:szCs w:val="20"/>
          <w:lang w:val="en-GB"/>
        </w:rPr>
        <w:t xml:space="preserve"> of the </w:t>
      </w:r>
      <w:r w:rsidR="00B42C0A">
        <w:rPr>
          <w:b/>
          <w:bCs/>
          <w:sz w:val="20"/>
          <w:szCs w:val="20"/>
          <w:lang w:val="en-GB"/>
        </w:rPr>
        <w:t>capita</w:t>
      </w:r>
      <w:r w:rsidR="00FC0E01">
        <w:rPr>
          <w:b/>
          <w:bCs/>
          <w:sz w:val="20"/>
          <w:szCs w:val="20"/>
          <w:lang w:val="en-GB"/>
        </w:rPr>
        <w:t>l</w:t>
      </w:r>
      <w:r w:rsidR="00B42C0A">
        <w:rPr>
          <w:b/>
          <w:bCs/>
          <w:sz w:val="20"/>
          <w:szCs w:val="20"/>
          <w:lang w:val="en-GB"/>
        </w:rPr>
        <w:t>’s</w:t>
      </w:r>
      <w:r w:rsidR="003A5BF1" w:rsidRPr="006F09A0">
        <w:rPr>
          <w:b/>
          <w:bCs/>
          <w:sz w:val="20"/>
          <w:szCs w:val="20"/>
          <w:lang w:val="en-GB"/>
        </w:rPr>
        <w:t xml:space="preserve"> growth, offering a unique quality of </w:t>
      </w:r>
      <w:r w:rsidR="00704AB6" w:rsidRPr="006F09A0">
        <w:rPr>
          <w:b/>
          <w:bCs/>
          <w:sz w:val="20"/>
          <w:szCs w:val="20"/>
          <w:lang w:val="en-GB"/>
        </w:rPr>
        <w:t xml:space="preserve">life </w:t>
      </w:r>
      <w:r w:rsidR="00307920" w:rsidRPr="006F09A0">
        <w:rPr>
          <w:b/>
          <w:bCs/>
          <w:sz w:val="20"/>
          <w:szCs w:val="20"/>
          <w:lang w:val="en-GB"/>
        </w:rPr>
        <w:t>and work</w:t>
      </w:r>
      <w:r w:rsidR="00EF56C8">
        <w:rPr>
          <w:b/>
          <w:bCs/>
          <w:sz w:val="20"/>
          <w:szCs w:val="20"/>
          <w:lang w:val="en-GB"/>
        </w:rPr>
        <w:t xml:space="preserve"> environment</w:t>
      </w:r>
      <w:r w:rsidR="00307920" w:rsidRPr="006F09A0">
        <w:rPr>
          <w:b/>
          <w:bCs/>
          <w:sz w:val="20"/>
          <w:szCs w:val="20"/>
          <w:lang w:val="en-GB"/>
        </w:rPr>
        <w:t>.</w:t>
      </w:r>
    </w:p>
    <w:p w14:paraId="1CEAE9DB" w14:textId="110E8E81" w:rsidR="0079013C" w:rsidRPr="006F09A0" w:rsidRDefault="0049680C" w:rsidP="0079013C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6F09A0">
        <w:rPr>
          <w:b/>
          <w:bCs/>
          <w:sz w:val="20"/>
          <w:szCs w:val="20"/>
          <w:lang w:val="en-GB"/>
        </w:rPr>
        <w:t>Transformation and housing</w:t>
      </w:r>
    </w:p>
    <w:p w14:paraId="7B1A4A40" w14:textId="4952A2DB" w:rsidR="0079013C" w:rsidRPr="006F09A0" w:rsidRDefault="001E35A0" w:rsidP="0079013C">
      <w:pPr>
        <w:spacing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Right-bank </w:t>
      </w:r>
      <w:r w:rsidR="00F925DB" w:rsidRPr="006F09A0">
        <w:rPr>
          <w:sz w:val="20"/>
          <w:szCs w:val="20"/>
          <w:lang w:val="en-GB"/>
        </w:rPr>
        <w:t xml:space="preserve">Warsaw </w:t>
      </w:r>
      <w:r w:rsidR="00493921" w:rsidRPr="006F09A0">
        <w:rPr>
          <w:sz w:val="20"/>
          <w:szCs w:val="20"/>
          <w:lang w:val="en-GB"/>
        </w:rPr>
        <w:t xml:space="preserve">continues to undergo rapid urban transformation. </w:t>
      </w:r>
      <w:r w:rsidR="00D10607" w:rsidRPr="006F09A0">
        <w:rPr>
          <w:sz w:val="20"/>
          <w:szCs w:val="20"/>
          <w:lang w:val="en-GB"/>
        </w:rPr>
        <w:t>I</w:t>
      </w:r>
      <w:r w:rsidR="006A4446" w:rsidRPr="006F09A0">
        <w:rPr>
          <w:sz w:val="20"/>
          <w:szCs w:val="20"/>
          <w:lang w:val="en-GB"/>
        </w:rPr>
        <w:t xml:space="preserve">t remains dominated by a model of integrated growth rather than isolated projects. </w:t>
      </w:r>
      <w:r w:rsidR="005650F2" w:rsidRPr="006F09A0">
        <w:rPr>
          <w:sz w:val="20"/>
          <w:szCs w:val="20"/>
          <w:lang w:val="en-GB"/>
        </w:rPr>
        <w:t>Flagship mixed-use developments</w:t>
      </w:r>
      <w:r w:rsidR="00221052" w:rsidRPr="006F09A0">
        <w:rPr>
          <w:sz w:val="20"/>
          <w:szCs w:val="20"/>
          <w:lang w:val="en-GB"/>
        </w:rPr>
        <w:t>, including</w:t>
      </w:r>
      <w:r w:rsidR="005650F2" w:rsidRPr="006F09A0">
        <w:rPr>
          <w:sz w:val="20"/>
          <w:szCs w:val="20"/>
          <w:lang w:val="en-GB"/>
        </w:rPr>
        <w:t xml:space="preserve"> Port Praski</w:t>
      </w:r>
      <w:r w:rsidR="0079013C" w:rsidRPr="006F09A0">
        <w:rPr>
          <w:sz w:val="20"/>
          <w:szCs w:val="20"/>
          <w:lang w:val="en-GB"/>
        </w:rPr>
        <w:t>, Koneser, Bohema</w:t>
      </w:r>
      <w:r w:rsidR="00DA1917" w:rsidRPr="006F09A0">
        <w:rPr>
          <w:sz w:val="20"/>
          <w:szCs w:val="20"/>
          <w:lang w:val="en-GB"/>
        </w:rPr>
        <w:t xml:space="preserve">, and </w:t>
      </w:r>
      <w:r w:rsidR="00CE1210">
        <w:rPr>
          <w:sz w:val="20"/>
          <w:szCs w:val="20"/>
          <w:lang w:val="en-GB"/>
        </w:rPr>
        <w:t xml:space="preserve">the </w:t>
      </w:r>
      <w:r w:rsidR="0079013C" w:rsidRPr="006F09A0">
        <w:rPr>
          <w:sz w:val="20"/>
          <w:szCs w:val="20"/>
          <w:lang w:val="en-GB"/>
        </w:rPr>
        <w:t>PZO</w:t>
      </w:r>
      <w:r w:rsidR="00DA1917" w:rsidRPr="006F09A0">
        <w:rPr>
          <w:sz w:val="20"/>
          <w:szCs w:val="20"/>
          <w:lang w:val="en-GB"/>
        </w:rPr>
        <w:t xml:space="preserve"> Factory</w:t>
      </w:r>
      <w:r w:rsidR="0079013C" w:rsidRPr="006F09A0">
        <w:rPr>
          <w:sz w:val="20"/>
          <w:szCs w:val="20"/>
          <w:lang w:val="en-GB"/>
        </w:rPr>
        <w:t xml:space="preserve">, </w:t>
      </w:r>
      <w:r w:rsidR="00221052" w:rsidRPr="006F09A0">
        <w:rPr>
          <w:sz w:val="20"/>
          <w:szCs w:val="20"/>
          <w:lang w:val="en-GB"/>
        </w:rPr>
        <w:t>are successfully transforming post-industrial sites into vibrant residential, cultural and business centres</w:t>
      </w:r>
      <w:r w:rsidR="00792C9A" w:rsidRPr="006F09A0">
        <w:rPr>
          <w:sz w:val="20"/>
          <w:szCs w:val="20"/>
          <w:lang w:val="en-GB"/>
        </w:rPr>
        <w:t>.</w:t>
      </w:r>
    </w:p>
    <w:p w14:paraId="3A9F7555" w14:textId="20AE3149" w:rsidR="0079013C" w:rsidRPr="006F09A0" w:rsidRDefault="003C403B" w:rsidP="0079013C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sz w:val="20"/>
          <w:szCs w:val="20"/>
          <w:lang w:val="en-GB"/>
        </w:rPr>
        <w:t>This potential has been recognised by</w:t>
      </w:r>
      <w:r w:rsidR="00F636A9" w:rsidRPr="006F09A0">
        <w:rPr>
          <w:sz w:val="20"/>
          <w:szCs w:val="20"/>
          <w:lang w:val="en-GB"/>
        </w:rPr>
        <w:t xml:space="preserve"> residents</w:t>
      </w:r>
      <w:r w:rsidR="00BE1150" w:rsidRPr="006F09A0">
        <w:rPr>
          <w:sz w:val="20"/>
          <w:szCs w:val="20"/>
          <w:lang w:val="en-GB"/>
        </w:rPr>
        <w:t xml:space="preserve">, with approximately 671,000 people living </w:t>
      </w:r>
      <w:r w:rsidR="00625814" w:rsidRPr="006F09A0">
        <w:rPr>
          <w:sz w:val="20"/>
          <w:szCs w:val="20"/>
          <w:lang w:val="en-GB"/>
        </w:rPr>
        <w:t xml:space="preserve">in </w:t>
      </w:r>
      <w:r w:rsidR="00B71318">
        <w:rPr>
          <w:sz w:val="20"/>
          <w:szCs w:val="20"/>
          <w:lang w:val="en-GB"/>
        </w:rPr>
        <w:t xml:space="preserve">right-bank </w:t>
      </w:r>
      <w:r w:rsidR="00625814" w:rsidRPr="006F09A0">
        <w:rPr>
          <w:sz w:val="20"/>
          <w:szCs w:val="20"/>
          <w:lang w:val="en-GB"/>
        </w:rPr>
        <w:t>Warsaw.</w:t>
      </w:r>
      <w:r w:rsidR="004102A9" w:rsidRPr="006F09A0">
        <w:rPr>
          <w:sz w:val="20"/>
          <w:szCs w:val="20"/>
          <w:lang w:val="en-GB"/>
        </w:rPr>
        <w:t xml:space="preserve"> Importantly, its population </w:t>
      </w:r>
      <w:r w:rsidR="00F636A9" w:rsidRPr="006F09A0">
        <w:rPr>
          <w:sz w:val="20"/>
          <w:szCs w:val="20"/>
          <w:lang w:val="en-GB"/>
        </w:rPr>
        <w:t>grew</w:t>
      </w:r>
      <w:r w:rsidR="004102A9" w:rsidRPr="006F09A0">
        <w:rPr>
          <w:sz w:val="20"/>
          <w:szCs w:val="20"/>
          <w:lang w:val="en-GB"/>
        </w:rPr>
        <w:t xml:space="preserve"> by 11% </w:t>
      </w:r>
      <w:r w:rsidR="00F636A9" w:rsidRPr="006F09A0">
        <w:rPr>
          <w:sz w:val="20"/>
          <w:szCs w:val="20"/>
          <w:lang w:val="en-GB"/>
        </w:rPr>
        <w:t xml:space="preserve">between </w:t>
      </w:r>
      <w:r w:rsidR="0079013C" w:rsidRPr="006F09A0">
        <w:rPr>
          <w:sz w:val="20"/>
          <w:szCs w:val="20"/>
          <w:lang w:val="en-GB"/>
        </w:rPr>
        <w:t>2015</w:t>
      </w:r>
      <w:r w:rsidR="00F636A9" w:rsidRPr="006F09A0">
        <w:rPr>
          <w:sz w:val="20"/>
          <w:szCs w:val="20"/>
          <w:lang w:val="en-GB"/>
        </w:rPr>
        <w:t xml:space="preserve"> and </w:t>
      </w:r>
      <w:r w:rsidR="0079013C" w:rsidRPr="006F09A0">
        <w:rPr>
          <w:sz w:val="20"/>
          <w:szCs w:val="20"/>
          <w:lang w:val="en-GB"/>
        </w:rPr>
        <w:t>2024</w:t>
      </w:r>
      <w:r w:rsidR="00EC471F">
        <w:rPr>
          <w:sz w:val="20"/>
          <w:szCs w:val="20"/>
          <w:lang w:val="en-GB"/>
        </w:rPr>
        <w:t xml:space="preserve"> – </w:t>
      </w:r>
      <w:r w:rsidR="00C9693A" w:rsidRPr="006F09A0">
        <w:rPr>
          <w:sz w:val="20"/>
          <w:szCs w:val="20"/>
          <w:lang w:val="en-GB"/>
        </w:rPr>
        <w:t xml:space="preserve">more than twice the 5% growth </w:t>
      </w:r>
      <w:r w:rsidR="00F636A9" w:rsidRPr="006F09A0">
        <w:rPr>
          <w:sz w:val="20"/>
          <w:szCs w:val="20"/>
          <w:lang w:val="en-GB"/>
        </w:rPr>
        <w:t xml:space="preserve">rate recorded </w:t>
      </w:r>
      <w:r w:rsidR="00A973E0">
        <w:rPr>
          <w:sz w:val="20"/>
          <w:szCs w:val="20"/>
          <w:lang w:val="en-GB"/>
        </w:rPr>
        <w:t xml:space="preserve">on the </w:t>
      </w:r>
      <w:r w:rsidR="0008652C">
        <w:rPr>
          <w:sz w:val="20"/>
          <w:szCs w:val="20"/>
          <w:lang w:val="en-GB"/>
        </w:rPr>
        <w:t>left</w:t>
      </w:r>
      <w:r w:rsidR="00A973E0">
        <w:rPr>
          <w:sz w:val="20"/>
          <w:szCs w:val="20"/>
          <w:lang w:val="en-GB"/>
        </w:rPr>
        <w:t xml:space="preserve"> </w:t>
      </w:r>
      <w:r w:rsidR="0008652C">
        <w:rPr>
          <w:sz w:val="20"/>
          <w:szCs w:val="20"/>
          <w:lang w:val="en-GB"/>
        </w:rPr>
        <w:t>bank</w:t>
      </w:r>
      <w:r w:rsidR="00C9693A" w:rsidRPr="006F09A0">
        <w:rPr>
          <w:sz w:val="20"/>
          <w:szCs w:val="20"/>
          <w:lang w:val="en-GB"/>
        </w:rPr>
        <w:t>. This trend</w:t>
      </w:r>
      <w:r w:rsidR="00C41280" w:rsidRPr="006F09A0">
        <w:rPr>
          <w:sz w:val="20"/>
          <w:szCs w:val="20"/>
          <w:lang w:val="en-GB"/>
        </w:rPr>
        <w:t xml:space="preserve"> is </w:t>
      </w:r>
      <w:r w:rsidR="00A7471B" w:rsidRPr="006F09A0">
        <w:rPr>
          <w:sz w:val="20"/>
          <w:szCs w:val="20"/>
          <w:lang w:val="en-GB"/>
        </w:rPr>
        <w:t xml:space="preserve">also reflected in </w:t>
      </w:r>
      <w:r w:rsidR="00C41280" w:rsidRPr="006F09A0">
        <w:rPr>
          <w:sz w:val="20"/>
          <w:szCs w:val="20"/>
          <w:lang w:val="en-GB"/>
        </w:rPr>
        <w:t xml:space="preserve">the housing market: </w:t>
      </w:r>
      <w:r w:rsidR="00A7471B" w:rsidRPr="006F09A0">
        <w:rPr>
          <w:sz w:val="20"/>
          <w:szCs w:val="20"/>
          <w:lang w:val="en-GB"/>
        </w:rPr>
        <w:t xml:space="preserve">the </w:t>
      </w:r>
      <w:r w:rsidR="00C41280" w:rsidRPr="006F09A0">
        <w:rPr>
          <w:sz w:val="20"/>
          <w:szCs w:val="20"/>
          <w:lang w:val="en-GB"/>
        </w:rPr>
        <w:t xml:space="preserve">seven largest </w:t>
      </w:r>
      <w:r w:rsidR="00A7471B" w:rsidRPr="006F09A0">
        <w:rPr>
          <w:sz w:val="20"/>
          <w:szCs w:val="20"/>
          <w:lang w:val="en-GB"/>
        </w:rPr>
        <w:t xml:space="preserve">planned </w:t>
      </w:r>
      <w:r w:rsidR="00AC5A99" w:rsidRPr="006F09A0">
        <w:rPr>
          <w:sz w:val="20"/>
          <w:szCs w:val="20"/>
          <w:lang w:val="en-GB"/>
        </w:rPr>
        <w:t>developments will deliver more than 20,000 new apartments</w:t>
      </w:r>
      <w:r w:rsidR="00A7471B" w:rsidRPr="006F09A0">
        <w:rPr>
          <w:sz w:val="20"/>
          <w:szCs w:val="20"/>
          <w:lang w:val="en-GB"/>
        </w:rPr>
        <w:t xml:space="preserve">. Historically, </w:t>
      </w:r>
      <w:r w:rsidR="007D23C5" w:rsidRPr="006F09A0">
        <w:rPr>
          <w:sz w:val="20"/>
          <w:szCs w:val="20"/>
          <w:lang w:val="en-GB"/>
        </w:rPr>
        <w:t xml:space="preserve">this growth </w:t>
      </w:r>
      <w:r w:rsidR="00A7471B" w:rsidRPr="006F09A0">
        <w:rPr>
          <w:sz w:val="20"/>
          <w:szCs w:val="20"/>
          <w:lang w:val="en-GB"/>
        </w:rPr>
        <w:t xml:space="preserve">has been driven </w:t>
      </w:r>
      <w:r w:rsidR="007D23C5" w:rsidRPr="006F09A0">
        <w:rPr>
          <w:sz w:val="20"/>
          <w:szCs w:val="20"/>
          <w:lang w:val="en-GB"/>
        </w:rPr>
        <w:t>by</w:t>
      </w:r>
      <w:r w:rsidR="0079013C" w:rsidRPr="006F09A0">
        <w:rPr>
          <w:sz w:val="20"/>
          <w:szCs w:val="20"/>
          <w:lang w:val="en-GB"/>
        </w:rPr>
        <w:t xml:space="preserve"> Białołęka, </w:t>
      </w:r>
      <w:r w:rsidR="007D23C5" w:rsidRPr="006F09A0">
        <w:rPr>
          <w:sz w:val="20"/>
          <w:szCs w:val="20"/>
          <w:lang w:val="en-GB"/>
        </w:rPr>
        <w:t>where the number of dwelling</w:t>
      </w:r>
      <w:r w:rsidR="00D4650F">
        <w:rPr>
          <w:sz w:val="20"/>
          <w:szCs w:val="20"/>
          <w:lang w:val="en-GB"/>
        </w:rPr>
        <w:t>s</w:t>
      </w:r>
      <w:r w:rsidR="007D23C5" w:rsidRPr="006F09A0">
        <w:rPr>
          <w:sz w:val="20"/>
          <w:szCs w:val="20"/>
          <w:lang w:val="en-GB"/>
        </w:rPr>
        <w:t xml:space="preserve"> </w:t>
      </w:r>
      <w:r w:rsidR="00291DA7" w:rsidRPr="006F09A0">
        <w:rPr>
          <w:sz w:val="20"/>
          <w:szCs w:val="20"/>
          <w:lang w:val="en-GB"/>
        </w:rPr>
        <w:t xml:space="preserve">has risen </w:t>
      </w:r>
      <w:r w:rsidR="007D23C5" w:rsidRPr="006F09A0">
        <w:rPr>
          <w:sz w:val="20"/>
          <w:szCs w:val="20"/>
          <w:lang w:val="en-GB"/>
        </w:rPr>
        <w:t xml:space="preserve">by 48% </w:t>
      </w:r>
      <w:r w:rsidR="00291DA7" w:rsidRPr="006F09A0">
        <w:rPr>
          <w:sz w:val="20"/>
          <w:szCs w:val="20"/>
          <w:lang w:val="en-GB"/>
        </w:rPr>
        <w:t>over</w:t>
      </w:r>
      <w:r w:rsidR="007D23C5" w:rsidRPr="006F09A0">
        <w:rPr>
          <w:sz w:val="20"/>
          <w:szCs w:val="20"/>
          <w:lang w:val="en-GB"/>
        </w:rPr>
        <w:t xml:space="preserve"> the past decade.</w:t>
      </w:r>
    </w:p>
    <w:p w14:paraId="12650FEE" w14:textId="511980A4" w:rsidR="0079013C" w:rsidRPr="006F09A0" w:rsidRDefault="00291DA7" w:rsidP="0079013C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i/>
          <w:iCs/>
          <w:sz w:val="20"/>
          <w:szCs w:val="20"/>
          <w:lang w:val="en-GB"/>
        </w:rPr>
        <w:t>“</w:t>
      </w:r>
      <w:r w:rsidR="007D23C5" w:rsidRPr="006F09A0">
        <w:rPr>
          <w:i/>
          <w:iCs/>
          <w:sz w:val="20"/>
          <w:szCs w:val="20"/>
          <w:lang w:val="en-GB"/>
        </w:rPr>
        <w:t xml:space="preserve">The right bank of the Vistula </w:t>
      </w:r>
      <w:r w:rsidR="00992165" w:rsidRPr="006F09A0">
        <w:rPr>
          <w:i/>
          <w:iCs/>
          <w:sz w:val="20"/>
          <w:szCs w:val="20"/>
          <w:lang w:val="en-GB"/>
        </w:rPr>
        <w:t>R</w:t>
      </w:r>
      <w:r w:rsidR="007D23C5" w:rsidRPr="006F09A0">
        <w:rPr>
          <w:i/>
          <w:iCs/>
          <w:sz w:val="20"/>
          <w:szCs w:val="20"/>
          <w:lang w:val="en-GB"/>
        </w:rPr>
        <w:t>iver</w:t>
      </w:r>
      <w:r w:rsidR="00E614AB" w:rsidRPr="006F09A0">
        <w:rPr>
          <w:i/>
          <w:iCs/>
          <w:sz w:val="20"/>
          <w:szCs w:val="20"/>
          <w:lang w:val="en-GB"/>
        </w:rPr>
        <w:t xml:space="preserve"> is no longer seen as </w:t>
      </w:r>
      <w:r w:rsidR="00992165" w:rsidRPr="006F09A0">
        <w:rPr>
          <w:i/>
          <w:iCs/>
          <w:sz w:val="20"/>
          <w:szCs w:val="20"/>
          <w:lang w:val="en-GB"/>
        </w:rPr>
        <w:t xml:space="preserve">a </w:t>
      </w:r>
      <w:r w:rsidR="00E614AB" w:rsidRPr="006F09A0">
        <w:rPr>
          <w:i/>
          <w:iCs/>
          <w:sz w:val="20"/>
          <w:szCs w:val="20"/>
          <w:lang w:val="en-GB"/>
        </w:rPr>
        <w:t xml:space="preserve">periphery – it is becoming a conscious choice for thousands of Varsovians. </w:t>
      </w:r>
      <w:r w:rsidR="00A2388F" w:rsidRPr="006F09A0">
        <w:rPr>
          <w:i/>
          <w:iCs/>
          <w:sz w:val="20"/>
          <w:szCs w:val="20"/>
          <w:lang w:val="en-GB"/>
        </w:rPr>
        <w:t>The combination of a unique historical c</w:t>
      </w:r>
      <w:r w:rsidR="00A61E9D">
        <w:rPr>
          <w:i/>
          <w:iCs/>
          <w:sz w:val="20"/>
          <w:szCs w:val="20"/>
          <w:lang w:val="en-GB"/>
        </w:rPr>
        <w:t>haracter</w:t>
      </w:r>
      <w:r w:rsidR="00BF6DA8">
        <w:rPr>
          <w:i/>
          <w:iCs/>
          <w:sz w:val="20"/>
          <w:szCs w:val="20"/>
          <w:lang w:val="en-GB"/>
        </w:rPr>
        <w:t>,</w:t>
      </w:r>
      <w:r w:rsidR="00A2388F" w:rsidRPr="006F09A0">
        <w:rPr>
          <w:i/>
          <w:iCs/>
          <w:sz w:val="20"/>
          <w:szCs w:val="20"/>
          <w:lang w:val="en-GB"/>
        </w:rPr>
        <w:t xml:space="preserve"> modern infrastructure and access to nature</w:t>
      </w:r>
      <w:r w:rsidR="00EA2916" w:rsidRPr="006F09A0">
        <w:rPr>
          <w:i/>
          <w:iCs/>
          <w:sz w:val="20"/>
          <w:szCs w:val="20"/>
          <w:lang w:val="en-GB"/>
        </w:rPr>
        <w:t xml:space="preserve"> is creating a new urban quality that attracts </w:t>
      </w:r>
      <w:r w:rsidR="00721284">
        <w:rPr>
          <w:i/>
          <w:iCs/>
          <w:sz w:val="20"/>
          <w:szCs w:val="20"/>
          <w:lang w:val="en-GB"/>
        </w:rPr>
        <w:t xml:space="preserve">both </w:t>
      </w:r>
      <w:r w:rsidR="00EA2916" w:rsidRPr="006F09A0">
        <w:rPr>
          <w:i/>
          <w:iCs/>
          <w:sz w:val="20"/>
          <w:szCs w:val="20"/>
          <w:lang w:val="en-GB"/>
        </w:rPr>
        <w:t xml:space="preserve">capital </w:t>
      </w:r>
      <w:r w:rsidR="00AD2B0B">
        <w:rPr>
          <w:i/>
          <w:iCs/>
          <w:sz w:val="20"/>
          <w:szCs w:val="20"/>
          <w:lang w:val="en-GB"/>
        </w:rPr>
        <w:t xml:space="preserve">and </w:t>
      </w:r>
      <w:r w:rsidR="00EA2916" w:rsidRPr="006F09A0">
        <w:rPr>
          <w:i/>
          <w:iCs/>
          <w:sz w:val="20"/>
          <w:szCs w:val="20"/>
          <w:lang w:val="en-GB"/>
        </w:rPr>
        <w:t xml:space="preserve">new </w:t>
      </w:r>
      <w:r w:rsidR="00686E1A">
        <w:rPr>
          <w:i/>
          <w:iCs/>
          <w:sz w:val="20"/>
          <w:szCs w:val="20"/>
          <w:lang w:val="en-GB"/>
        </w:rPr>
        <w:t>residents</w:t>
      </w:r>
      <w:r w:rsidR="00EA2916" w:rsidRPr="006F09A0">
        <w:rPr>
          <w:i/>
          <w:iCs/>
          <w:sz w:val="20"/>
          <w:szCs w:val="20"/>
          <w:lang w:val="en-GB"/>
        </w:rPr>
        <w:t xml:space="preserve">. Additionally, </w:t>
      </w:r>
      <w:r w:rsidR="0049570E">
        <w:rPr>
          <w:i/>
          <w:iCs/>
          <w:sz w:val="20"/>
          <w:szCs w:val="20"/>
          <w:lang w:val="en-GB"/>
        </w:rPr>
        <w:t xml:space="preserve">right-bank </w:t>
      </w:r>
      <w:r w:rsidR="00F3291B" w:rsidRPr="006F09A0">
        <w:rPr>
          <w:i/>
          <w:iCs/>
          <w:sz w:val="20"/>
          <w:szCs w:val="20"/>
          <w:lang w:val="en-GB"/>
        </w:rPr>
        <w:t>Warsaw is a green part of the capital</w:t>
      </w:r>
      <w:r w:rsidR="00B50468" w:rsidRPr="006F09A0">
        <w:rPr>
          <w:i/>
          <w:iCs/>
          <w:sz w:val="20"/>
          <w:szCs w:val="20"/>
          <w:lang w:val="en-GB"/>
        </w:rPr>
        <w:t>, with</w:t>
      </w:r>
      <w:r w:rsidR="00F3291B" w:rsidRPr="006F09A0">
        <w:rPr>
          <w:i/>
          <w:iCs/>
          <w:sz w:val="20"/>
          <w:szCs w:val="20"/>
          <w:lang w:val="en-GB"/>
        </w:rPr>
        <w:t xml:space="preserve"> </w:t>
      </w:r>
      <w:r w:rsidR="00F20D05" w:rsidRPr="006F09A0">
        <w:rPr>
          <w:i/>
          <w:iCs/>
          <w:sz w:val="20"/>
          <w:szCs w:val="20"/>
          <w:lang w:val="en-GB"/>
        </w:rPr>
        <w:t>tree</w:t>
      </w:r>
      <w:r w:rsidR="00F4050C">
        <w:rPr>
          <w:i/>
          <w:iCs/>
          <w:sz w:val="20"/>
          <w:szCs w:val="20"/>
          <w:lang w:val="en-GB"/>
        </w:rPr>
        <w:t xml:space="preserve"> </w:t>
      </w:r>
      <w:r w:rsidR="00F20D05" w:rsidRPr="006F09A0">
        <w:rPr>
          <w:i/>
          <w:iCs/>
          <w:sz w:val="20"/>
          <w:szCs w:val="20"/>
          <w:lang w:val="en-GB"/>
        </w:rPr>
        <w:t xml:space="preserve">cover </w:t>
      </w:r>
      <w:r w:rsidR="00B50468" w:rsidRPr="006F09A0">
        <w:rPr>
          <w:i/>
          <w:iCs/>
          <w:sz w:val="20"/>
          <w:szCs w:val="20"/>
          <w:lang w:val="en-GB"/>
        </w:rPr>
        <w:t xml:space="preserve">accounting for </w:t>
      </w:r>
      <w:r w:rsidR="00F20D05" w:rsidRPr="006F09A0">
        <w:rPr>
          <w:i/>
          <w:iCs/>
          <w:sz w:val="20"/>
          <w:szCs w:val="20"/>
          <w:lang w:val="en-GB"/>
        </w:rPr>
        <w:t xml:space="preserve">up to 41% of </w:t>
      </w:r>
      <w:r w:rsidR="00B50468" w:rsidRPr="006F09A0">
        <w:rPr>
          <w:i/>
          <w:iCs/>
          <w:sz w:val="20"/>
          <w:szCs w:val="20"/>
          <w:lang w:val="en-GB"/>
        </w:rPr>
        <w:t xml:space="preserve">its </w:t>
      </w:r>
      <w:r w:rsidR="00F4050C">
        <w:rPr>
          <w:i/>
          <w:iCs/>
          <w:sz w:val="20"/>
          <w:szCs w:val="20"/>
          <w:lang w:val="en-GB"/>
        </w:rPr>
        <w:t>area</w:t>
      </w:r>
      <w:r w:rsidR="007947D1" w:rsidRPr="006F09A0">
        <w:rPr>
          <w:i/>
          <w:iCs/>
          <w:sz w:val="20"/>
          <w:szCs w:val="20"/>
          <w:lang w:val="en-GB"/>
        </w:rPr>
        <w:t xml:space="preserve">, </w:t>
      </w:r>
      <w:r w:rsidR="00B50468" w:rsidRPr="006F09A0">
        <w:rPr>
          <w:i/>
          <w:iCs/>
          <w:sz w:val="20"/>
          <w:szCs w:val="20"/>
          <w:lang w:val="en-GB"/>
        </w:rPr>
        <w:t xml:space="preserve">compared with </w:t>
      </w:r>
      <w:r w:rsidR="007947D1" w:rsidRPr="006F09A0">
        <w:rPr>
          <w:i/>
          <w:iCs/>
          <w:sz w:val="20"/>
          <w:szCs w:val="20"/>
          <w:lang w:val="en-GB"/>
        </w:rPr>
        <w:t xml:space="preserve">just 24% on the left </w:t>
      </w:r>
      <w:r w:rsidR="00721284">
        <w:rPr>
          <w:i/>
          <w:iCs/>
          <w:sz w:val="20"/>
          <w:szCs w:val="20"/>
          <w:lang w:val="en-GB"/>
        </w:rPr>
        <w:t>bank</w:t>
      </w:r>
      <w:r w:rsidR="00784D37" w:rsidRPr="006F09A0">
        <w:rPr>
          <w:i/>
          <w:iCs/>
          <w:sz w:val="20"/>
          <w:szCs w:val="20"/>
          <w:lang w:val="en-GB"/>
        </w:rPr>
        <w:t>,”</w:t>
      </w:r>
      <w:r w:rsidR="0079013C" w:rsidRPr="006F09A0">
        <w:rPr>
          <w:sz w:val="20"/>
          <w:szCs w:val="20"/>
          <w:lang w:val="en-GB"/>
        </w:rPr>
        <w:t xml:space="preserve"> </w:t>
      </w:r>
      <w:r w:rsidR="00784D37" w:rsidRPr="006F09A0">
        <w:rPr>
          <w:sz w:val="20"/>
          <w:szCs w:val="20"/>
          <w:lang w:val="en-GB"/>
        </w:rPr>
        <w:t>comments</w:t>
      </w:r>
      <w:r w:rsidR="0079013C" w:rsidRPr="006F09A0">
        <w:rPr>
          <w:sz w:val="20"/>
          <w:szCs w:val="20"/>
          <w:lang w:val="en-GB"/>
        </w:rPr>
        <w:t xml:space="preserve"> </w:t>
      </w:r>
      <w:r w:rsidR="0079013C" w:rsidRPr="006F09A0">
        <w:rPr>
          <w:b/>
          <w:bCs/>
          <w:sz w:val="20"/>
          <w:szCs w:val="20"/>
          <w:lang w:val="en-GB"/>
        </w:rPr>
        <w:t>Ewa Derlatka-Chilewicz</w:t>
      </w:r>
      <w:r w:rsidR="0079013C" w:rsidRPr="006F09A0">
        <w:rPr>
          <w:sz w:val="20"/>
          <w:szCs w:val="20"/>
          <w:lang w:val="en-GB"/>
        </w:rPr>
        <w:t xml:space="preserve">, </w:t>
      </w:r>
      <w:r w:rsidR="0079013C" w:rsidRPr="006F09A0">
        <w:rPr>
          <w:b/>
          <w:bCs/>
          <w:sz w:val="20"/>
          <w:szCs w:val="20"/>
          <w:lang w:val="en-GB"/>
        </w:rPr>
        <w:t>Head of Research</w:t>
      </w:r>
      <w:r w:rsidR="00784D37" w:rsidRPr="006F09A0">
        <w:rPr>
          <w:b/>
          <w:bCs/>
          <w:sz w:val="20"/>
          <w:szCs w:val="20"/>
          <w:lang w:val="en-GB"/>
        </w:rPr>
        <w:t>,</w:t>
      </w:r>
      <w:r w:rsidR="0079013C" w:rsidRPr="006F09A0">
        <w:rPr>
          <w:b/>
          <w:bCs/>
          <w:sz w:val="20"/>
          <w:szCs w:val="20"/>
          <w:lang w:val="en-GB"/>
        </w:rPr>
        <w:t xml:space="preserve"> Cushman &amp; Wakefield</w:t>
      </w:r>
      <w:r w:rsidR="0079013C" w:rsidRPr="006F09A0">
        <w:rPr>
          <w:sz w:val="20"/>
          <w:szCs w:val="20"/>
          <w:lang w:val="en-GB"/>
        </w:rPr>
        <w:t>.</w:t>
      </w:r>
    </w:p>
    <w:p w14:paraId="4A20CCF7" w14:textId="5EB6E44D" w:rsidR="0079013C" w:rsidRPr="006F09A0" w:rsidRDefault="009956EC" w:rsidP="0079013C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6F09A0">
        <w:rPr>
          <w:b/>
          <w:bCs/>
          <w:sz w:val="20"/>
          <w:szCs w:val="20"/>
          <w:lang w:val="en-GB"/>
        </w:rPr>
        <w:t xml:space="preserve">An office oasis of stability and </w:t>
      </w:r>
      <w:r w:rsidR="002377E4">
        <w:rPr>
          <w:b/>
          <w:bCs/>
          <w:sz w:val="20"/>
          <w:szCs w:val="20"/>
          <w:lang w:val="en-GB"/>
        </w:rPr>
        <w:t>savings</w:t>
      </w:r>
    </w:p>
    <w:p w14:paraId="6763FFB6" w14:textId="1D7657C9" w:rsidR="0079013C" w:rsidRPr="006F09A0" w:rsidRDefault="009956EC" w:rsidP="0079013C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sz w:val="20"/>
          <w:szCs w:val="20"/>
          <w:lang w:val="en-GB"/>
        </w:rPr>
        <w:t xml:space="preserve">From </w:t>
      </w:r>
      <w:r w:rsidR="00083902">
        <w:rPr>
          <w:sz w:val="20"/>
          <w:szCs w:val="20"/>
          <w:lang w:val="en-GB"/>
        </w:rPr>
        <w:t>a</w:t>
      </w:r>
      <w:r w:rsidRPr="006F09A0">
        <w:rPr>
          <w:sz w:val="20"/>
          <w:szCs w:val="20"/>
          <w:lang w:val="en-GB"/>
        </w:rPr>
        <w:t xml:space="preserve"> business perspective, the </w:t>
      </w:r>
      <w:r w:rsidR="006214FD" w:rsidRPr="006F09A0">
        <w:rPr>
          <w:sz w:val="20"/>
          <w:szCs w:val="20"/>
          <w:lang w:val="en-GB"/>
        </w:rPr>
        <w:t xml:space="preserve">East is </w:t>
      </w:r>
      <w:r w:rsidR="00371A20" w:rsidRPr="006F09A0">
        <w:rPr>
          <w:sz w:val="20"/>
          <w:szCs w:val="20"/>
          <w:lang w:val="en-GB"/>
        </w:rPr>
        <w:t>one of the most stable</w:t>
      </w:r>
      <w:r w:rsidR="00B937AD" w:rsidRPr="006F09A0">
        <w:rPr>
          <w:sz w:val="20"/>
          <w:szCs w:val="20"/>
          <w:lang w:val="en-GB"/>
        </w:rPr>
        <w:t xml:space="preserve"> yet</w:t>
      </w:r>
      <w:r w:rsidR="00996702" w:rsidRPr="006F09A0">
        <w:rPr>
          <w:sz w:val="20"/>
          <w:szCs w:val="20"/>
          <w:lang w:val="en-GB"/>
        </w:rPr>
        <w:t xml:space="preserve"> also </w:t>
      </w:r>
      <w:r w:rsidR="004D427C" w:rsidRPr="006F09A0">
        <w:rPr>
          <w:sz w:val="20"/>
          <w:szCs w:val="20"/>
          <w:lang w:val="en-GB"/>
        </w:rPr>
        <w:t xml:space="preserve">most </w:t>
      </w:r>
      <w:r w:rsidR="00996702" w:rsidRPr="006F09A0">
        <w:rPr>
          <w:sz w:val="20"/>
          <w:szCs w:val="20"/>
          <w:lang w:val="en-GB"/>
        </w:rPr>
        <w:t xml:space="preserve">promising </w:t>
      </w:r>
      <w:r w:rsidR="00371A20" w:rsidRPr="006F09A0">
        <w:rPr>
          <w:sz w:val="20"/>
          <w:szCs w:val="20"/>
          <w:lang w:val="en-GB"/>
        </w:rPr>
        <w:t>office zones</w:t>
      </w:r>
      <w:r w:rsidR="00996702" w:rsidRPr="006F09A0">
        <w:rPr>
          <w:sz w:val="20"/>
          <w:szCs w:val="20"/>
          <w:lang w:val="en-GB"/>
        </w:rPr>
        <w:t xml:space="preserve"> in Warsaw. Since 2016, its office stock has </w:t>
      </w:r>
      <w:r w:rsidR="00127AA9" w:rsidRPr="006F09A0">
        <w:rPr>
          <w:sz w:val="20"/>
          <w:szCs w:val="20"/>
          <w:lang w:val="en-GB"/>
        </w:rPr>
        <w:t>expanded by 57% to approximately 300,000 sqm. Despite market tur</w:t>
      </w:r>
      <w:r w:rsidR="00996440" w:rsidRPr="006F09A0">
        <w:rPr>
          <w:sz w:val="20"/>
          <w:szCs w:val="20"/>
          <w:lang w:val="en-GB"/>
        </w:rPr>
        <w:t xml:space="preserve">bulence and the pandemic, the overall vacancy rate </w:t>
      </w:r>
      <w:r w:rsidR="00021875" w:rsidRPr="006F09A0">
        <w:rPr>
          <w:sz w:val="20"/>
          <w:szCs w:val="20"/>
          <w:lang w:val="en-GB"/>
        </w:rPr>
        <w:t>averaged less than 9% in</w:t>
      </w:r>
      <w:r w:rsidR="0079013C" w:rsidRPr="006F09A0">
        <w:rPr>
          <w:sz w:val="20"/>
          <w:szCs w:val="20"/>
          <w:lang w:val="en-GB"/>
        </w:rPr>
        <w:t xml:space="preserve"> 2015</w:t>
      </w:r>
      <w:r w:rsidR="009562BD">
        <w:rPr>
          <w:sz w:val="20"/>
          <w:szCs w:val="20"/>
          <w:lang w:val="en-GB"/>
        </w:rPr>
        <w:t>–</w:t>
      </w:r>
      <w:r w:rsidR="0079013C" w:rsidRPr="006F09A0">
        <w:rPr>
          <w:sz w:val="20"/>
          <w:szCs w:val="20"/>
          <w:lang w:val="en-GB"/>
        </w:rPr>
        <w:t xml:space="preserve">2025, </w:t>
      </w:r>
      <w:r w:rsidR="002671F9">
        <w:rPr>
          <w:sz w:val="20"/>
          <w:szCs w:val="20"/>
          <w:lang w:val="en-GB"/>
        </w:rPr>
        <w:t xml:space="preserve">even </w:t>
      </w:r>
      <w:r w:rsidR="00021875" w:rsidRPr="006F09A0">
        <w:rPr>
          <w:sz w:val="20"/>
          <w:szCs w:val="20"/>
          <w:lang w:val="en-GB"/>
        </w:rPr>
        <w:t>falling below the rate</w:t>
      </w:r>
      <w:r w:rsidR="00CA6D0A" w:rsidRPr="006F09A0">
        <w:rPr>
          <w:sz w:val="20"/>
          <w:szCs w:val="20"/>
          <w:lang w:val="en-GB"/>
        </w:rPr>
        <w:t xml:space="preserve"> in the city core in selected years</w:t>
      </w:r>
      <w:r w:rsidR="0079013C" w:rsidRPr="006F09A0">
        <w:rPr>
          <w:sz w:val="20"/>
          <w:szCs w:val="20"/>
          <w:lang w:val="en-GB"/>
        </w:rPr>
        <w:t>.</w:t>
      </w:r>
    </w:p>
    <w:p w14:paraId="0255DD1C" w14:textId="3FE17EE1" w:rsidR="0079013C" w:rsidRPr="006F09A0" w:rsidRDefault="00053CA5" w:rsidP="00081411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sz w:val="20"/>
          <w:szCs w:val="20"/>
          <w:lang w:val="en-GB"/>
        </w:rPr>
        <w:t xml:space="preserve">Costs are </w:t>
      </w:r>
      <w:r w:rsidR="00F24913">
        <w:rPr>
          <w:sz w:val="20"/>
          <w:szCs w:val="20"/>
          <w:lang w:val="en-GB"/>
        </w:rPr>
        <w:t xml:space="preserve">emerging as </w:t>
      </w:r>
      <w:r w:rsidRPr="006F09A0">
        <w:rPr>
          <w:sz w:val="20"/>
          <w:szCs w:val="20"/>
          <w:lang w:val="en-GB"/>
        </w:rPr>
        <w:t xml:space="preserve">another incentive for tenants. </w:t>
      </w:r>
      <w:r w:rsidR="000235EF" w:rsidRPr="006F09A0">
        <w:rPr>
          <w:sz w:val="20"/>
          <w:szCs w:val="20"/>
          <w:lang w:val="en-GB"/>
        </w:rPr>
        <w:t>While rental rates reach EUR 25</w:t>
      </w:r>
      <w:r w:rsidR="00EA1FE0">
        <w:rPr>
          <w:sz w:val="20"/>
          <w:szCs w:val="20"/>
          <w:lang w:val="en-GB"/>
        </w:rPr>
        <w:t>–</w:t>
      </w:r>
      <w:r w:rsidR="000235EF" w:rsidRPr="006F09A0">
        <w:rPr>
          <w:sz w:val="20"/>
          <w:szCs w:val="20"/>
          <w:lang w:val="en-GB"/>
        </w:rPr>
        <w:t xml:space="preserve">28 per sqm </w:t>
      </w:r>
      <w:r w:rsidR="00F56B28" w:rsidRPr="006F09A0">
        <w:rPr>
          <w:sz w:val="20"/>
          <w:szCs w:val="20"/>
          <w:lang w:val="en-GB"/>
        </w:rPr>
        <w:t>in the rapidly growing area of Rondo Daszyń</w:t>
      </w:r>
      <w:r w:rsidR="00E17CA4">
        <w:rPr>
          <w:sz w:val="20"/>
          <w:szCs w:val="20"/>
          <w:lang w:val="en-GB"/>
        </w:rPr>
        <w:t>s</w:t>
      </w:r>
      <w:r w:rsidR="00F56B28" w:rsidRPr="006F09A0">
        <w:rPr>
          <w:sz w:val="20"/>
          <w:szCs w:val="20"/>
          <w:lang w:val="en-GB"/>
        </w:rPr>
        <w:t>kiego, the East remains highly competitive</w:t>
      </w:r>
      <w:r w:rsidR="00A548C5" w:rsidRPr="006F09A0">
        <w:rPr>
          <w:sz w:val="20"/>
          <w:szCs w:val="20"/>
          <w:lang w:val="en-GB"/>
        </w:rPr>
        <w:t>,</w:t>
      </w:r>
      <w:r w:rsidR="00065230" w:rsidRPr="006F09A0">
        <w:rPr>
          <w:sz w:val="20"/>
          <w:szCs w:val="20"/>
          <w:lang w:val="en-GB"/>
        </w:rPr>
        <w:t xml:space="preserve"> with rents </w:t>
      </w:r>
      <w:r w:rsidR="008A3BE7">
        <w:rPr>
          <w:sz w:val="20"/>
          <w:szCs w:val="20"/>
          <w:lang w:val="en-GB"/>
        </w:rPr>
        <w:t xml:space="preserve">at the upper end of the </w:t>
      </w:r>
      <w:r w:rsidR="00013B86">
        <w:rPr>
          <w:sz w:val="20"/>
          <w:szCs w:val="20"/>
          <w:lang w:val="en-GB"/>
        </w:rPr>
        <w:t>range</w:t>
      </w:r>
      <w:r w:rsidR="008A3BE7">
        <w:rPr>
          <w:sz w:val="20"/>
          <w:szCs w:val="20"/>
          <w:lang w:val="en-GB"/>
        </w:rPr>
        <w:t xml:space="preserve"> </w:t>
      </w:r>
      <w:r w:rsidR="00065230" w:rsidRPr="006F09A0">
        <w:rPr>
          <w:sz w:val="20"/>
          <w:szCs w:val="20"/>
          <w:lang w:val="en-GB"/>
        </w:rPr>
        <w:t xml:space="preserve">standing at EUR 17 per sqm. </w:t>
      </w:r>
      <w:r w:rsidR="00FD0829" w:rsidRPr="006F09A0">
        <w:rPr>
          <w:sz w:val="20"/>
          <w:szCs w:val="20"/>
          <w:lang w:val="en-GB"/>
        </w:rPr>
        <w:t xml:space="preserve">Companies opting for this part of Warsaw can </w:t>
      </w:r>
      <w:r w:rsidR="00A548C5" w:rsidRPr="006F09A0">
        <w:rPr>
          <w:sz w:val="20"/>
          <w:szCs w:val="20"/>
          <w:lang w:val="en-GB"/>
        </w:rPr>
        <w:t>significantly</w:t>
      </w:r>
      <w:r w:rsidR="00FD0829" w:rsidRPr="006F09A0">
        <w:rPr>
          <w:sz w:val="20"/>
          <w:szCs w:val="20"/>
          <w:lang w:val="en-GB"/>
        </w:rPr>
        <w:t xml:space="preserve"> optimise their budgets</w:t>
      </w:r>
      <w:r w:rsidR="00192D65" w:rsidRPr="006F09A0">
        <w:rPr>
          <w:sz w:val="20"/>
          <w:szCs w:val="20"/>
          <w:lang w:val="en-GB"/>
        </w:rPr>
        <w:t xml:space="preserve"> while locating offices closer to employees’ homes on the </w:t>
      </w:r>
      <w:r w:rsidR="00A548C5" w:rsidRPr="006F09A0">
        <w:rPr>
          <w:sz w:val="20"/>
          <w:szCs w:val="20"/>
          <w:lang w:val="en-GB"/>
        </w:rPr>
        <w:t>eastern</w:t>
      </w:r>
      <w:r w:rsidR="00192D65" w:rsidRPr="006F09A0">
        <w:rPr>
          <w:sz w:val="20"/>
          <w:szCs w:val="20"/>
          <w:lang w:val="en-GB"/>
        </w:rPr>
        <w:t xml:space="preserve"> </w:t>
      </w:r>
      <w:r w:rsidR="00B937AD" w:rsidRPr="006F09A0">
        <w:rPr>
          <w:sz w:val="20"/>
          <w:szCs w:val="20"/>
          <w:lang w:val="en-GB"/>
        </w:rPr>
        <w:t>side of the Vistula River.</w:t>
      </w:r>
    </w:p>
    <w:p w14:paraId="3310358B" w14:textId="7E9BEA54" w:rsidR="0079013C" w:rsidRPr="006F09A0" w:rsidRDefault="0079013C" w:rsidP="0079013C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6F09A0">
        <w:rPr>
          <w:b/>
          <w:bCs/>
          <w:sz w:val="20"/>
          <w:szCs w:val="20"/>
          <w:lang w:val="en-GB"/>
        </w:rPr>
        <w:t>Infrastru</w:t>
      </w:r>
      <w:r w:rsidR="00081411" w:rsidRPr="006F09A0">
        <w:rPr>
          <w:b/>
          <w:bCs/>
          <w:sz w:val="20"/>
          <w:szCs w:val="20"/>
          <w:lang w:val="en-GB"/>
        </w:rPr>
        <w:t>cture as a magnet for investors</w:t>
      </w:r>
    </w:p>
    <w:p w14:paraId="0FE2DC16" w14:textId="12582406" w:rsidR="0079013C" w:rsidRPr="006F09A0" w:rsidRDefault="00794123" w:rsidP="00284A7F">
      <w:pPr>
        <w:spacing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r</w:t>
      </w:r>
      <w:r w:rsidR="00D22AB9" w:rsidRPr="006F09A0">
        <w:rPr>
          <w:sz w:val="20"/>
          <w:szCs w:val="20"/>
          <w:lang w:val="en-GB"/>
        </w:rPr>
        <w:t>eport</w:t>
      </w:r>
      <w:r>
        <w:rPr>
          <w:sz w:val="20"/>
          <w:szCs w:val="20"/>
          <w:lang w:val="en-GB"/>
        </w:rPr>
        <w:t>’s</w:t>
      </w:r>
      <w:r w:rsidR="00D22AB9" w:rsidRPr="006F09A0">
        <w:rPr>
          <w:sz w:val="20"/>
          <w:szCs w:val="20"/>
          <w:lang w:val="en-GB"/>
        </w:rPr>
        <w:t xml:space="preserve"> authors note that</w:t>
      </w:r>
      <w:r w:rsidR="00914618" w:rsidRPr="006F09A0">
        <w:rPr>
          <w:sz w:val="20"/>
          <w:szCs w:val="20"/>
          <w:lang w:val="en-GB"/>
        </w:rPr>
        <w:t xml:space="preserve"> further growth is underpinned by significant </w:t>
      </w:r>
      <w:r w:rsidR="000A544F" w:rsidRPr="006F09A0">
        <w:rPr>
          <w:sz w:val="20"/>
          <w:szCs w:val="20"/>
          <w:lang w:val="en-GB"/>
        </w:rPr>
        <w:t xml:space="preserve">infrastructure investment. The construction of the M3 metro line, the </w:t>
      </w:r>
      <w:r w:rsidR="007572C4" w:rsidRPr="006F09A0">
        <w:rPr>
          <w:sz w:val="20"/>
          <w:szCs w:val="20"/>
          <w:lang w:val="en-GB"/>
        </w:rPr>
        <w:t xml:space="preserve">modernisation </w:t>
      </w:r>
      <w:r w:rsidR="000A544F" w:rsidRPr="006F09A0">
        <w:rPr>
          <w:sz w:val="20"/>
          <w:szCs w:val="20"/>
          <w:lang w:val="en-GB"/>
        </w:rPr>
        <w:t>of Warsaw East Railway Station and the planned tunnel under</w:t>
      </w:r>
      <w:r w:rsidR="001C7CDE">
        <w:rPr>
          <w:sz w:val="20"/>
          <w:szCs w:val="20"/>
          <w:lang w:val="en-GB"/>
        </w:rPr>
        <w:t xml:space="preserve"> </w:t>
      </w:r>
      <w:r w:rsidR="0079013C" w:rsidRPr="006F09A0">
        <w:rPr>
          <w:sz w:val="20"/>
          <w:szCs w:val="20"/>
          <w:lang w:val="en-GB"/>
        </w:rPr>
        <w:t xml:space="preserve">Tysiąclecia </w:t>
      </w:r>
      <w:r w:rsidR="001C7CDE">
        <w:rPr>
          <w:sz w:val="20"/>
          <w:szCs w:val="20"/>
          <w:lang w:val="en-GB"/>
        </w:rPr>
        <w:t xml:space="preserve">Street </w:t>
      </w:r>
      <w:r w:rsidR="00463964" w:rsidRPr="006F09A0">
        <w:rPr>
          <w:sz w:val="20"/>
          <w:szCs w:val="20"/>
          <w:lang w:val="en-GB"/>
        </w:rPr>
        <w:t xml:space="preserve">will completely transform transport accessibility in this part of the city. Another </w:t>
      </w:r>
      <w:r w:rsidR="001A6AFB" w:rsidRPr="006F09A0">
        <w:rPr>
          <w:sz w:val="20"/>
          <w:szCs w:val="20"/>
          <w:lang w:val="en-GB"/>
        </w:rPr>
        <w:t xml:space="preserve">potential </w:t>
      </w:r>
      <w:r w:rsidR="00190892" w:rsidRPr="006F09A0">
        <w:rPr>
          <w:sz w:val="20"/>
          <w:szCs w:val="20"/>
          <w:lang w:val="en-GB"/>
        </w:rPr>
        <w:lastRenderedPageBreak/>
        <w:t xml:space="preserve">driver of growth may come </w:t>
      </w:r>
      <w:r w:rsidR="00C8770B" w:rsidRPr="006F09A0">
        <w:rPr>
          <w:sz w:val="20"/>
          <w:szCs w:val="20"/>
          <w:lang w:val="en-GB"/>
        </w:rPr>
        <w:t xml:space="preserve">from the planned upgrade of </w:t>
      </w:r>
      <w:r w:rsidR="004B2804" w:rsidRPr="006F09A0">
        <w:rPr>
          <w:sz w:val="20"/>
          <w:szCs w:val="20"/>
          <w:lang w:val="en-GB"/>
        </w:rPr>
        <w:t xml:space="preserve">the National Stadium </w:t>
      </w:r>
      <w:r w:rsidR="00190892" w:rsidRPr="006F09A0">
        <w:rPr>
          <w:sz w:val="20"/>
          <w:szCs w:val="20"/>
          <w:lang w:val="en-GB"/>
        </w:rPr>
        <w:t xml:space="preserve">in connection with Poland’s </w:t>
      </w:r>
      <w:r w:rsidR="004B2804" w:rsidRPr="006F09A0">
        <w:rPr>
          <w:sz w:val="20"/>
          <w:szCs w:val="20"/>
          <w:lang w:val="en-GB"/>
        </w:rPr>
        <w:t xml:space="preserve">potential </w:t>
      </w:r>
      <w:r w:rsidR="00190892" w:rsidRPr="006F09A0">
        <w:rPr>
          <w:sz w:val="20"/>
          <w:szCs w:val="20"/>
          <w:lang w:val="en-GB"/>
        </w:rPr>
        <w:t xml:space="preserve">bid </w:t>
      </w:r>
      <w:r w:rsidR="00DC6D3A">
        <w:rPr>
          <w:sz w:val="20"/>
          <w:szCs w:val="20"/>
          <w:lang w:val="en-GB"/>
        </w:rPr>
        <w:t xml:space="preserve">to host </w:t>
      </w:r>
      <w:r w:rsidR="004B2804" w:rsidRPr="006F09A0">
        <w:rPr>
          <w:sz w:val="20"/>
          <w:szCs w:val="20"/>
          <w:lang w:val="en-GB"/>
        </w:rPr>
        <w:t>the Olympic Games in 2040 or 2044.</w:t>
      </w:r>
    </w:p>
    <w:p w14:paraId="0D21E028" w14:textId="4185E272" w:rsidR="0079013C" w:rsidRPr="006F09A0" w:rsidRDefault="00FD4FDE" w:rsidP="0079013C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i/>
          <w:iCs/>
          <w:sz w:val="20"/>
          <w:szCs w:val="20"/>
          <w:lang w:val="en-GB"/>
        </w:rPr>
        <w:t>“</w:t>
      </w:r>
      <w:r w:rsidR="00D44B81" w:rsidRPr="006F09A0">
        <w:rPr>
          <w:i/>
          <w:iCs/>
          <w:sz w:val="20"/>
          <w:szCs w:val="20"/>
          <w:lang w:val="en-GB"/>
        </w:rPr>
        <w:t xml:space="preserve">We are seeing a marked </w:t>
      </w:r>
      <w:r w:rsidR="001C7F4E" w:rsidRPr="006F09A0">
        <w:rPr>
          <w:i/>
          <w:iCs/>
          <w:sz w:val="20"/>
          <w:szCs w:val="20"/>
          <w:lang w:val="en-GB"/>
        </w:rPr>
        <w:t xml:space="preserve">increase in institutional interest in the right bank of </w:t>
      </w:r>
      <w:r w:rsidRPr="006F09A0">
        <w:rPr>
          <w:i/>
          <w:iCs/>
          <w:sz w:val="20"/>
          <w:szCs w:val="20"/>
          <w:lang w:val="en-GB"/>
        </w:rPr>
        <w:t>the Vistula</w:t>
      </w:r>
      <w:r w:rsidR="00DC1350" w:rsidRPr="006F09A0">
        <w:rPr>
          <w:i/>
          <w:iCs/>
          <w:sz w:val="20"/>
          <w:szCs w:val="20"/>
          <w:lang w:val="en-GB"/>
        </w:rPr>
        <w:t>, which is no longer an alternative market but a</w:t>
      </w:r>
      <w:r w:rsidR="007108FD">
        <w:rPr>
          <w:i/>
          <w:iCs/>
          <w:sz w:val="20"/>
          <w:szCs w:val="20"/>
          <w:lang w:val="en-GB"/>
        </w:rPr>
        <w:t>n increasingly</w:t>
      </w:r>
      <w:r w:rsidR="00DC1350" w:rsidRPr="006F09A0">
        <w:rPr>
          <w:i/>
          <w:iCs/>
          <w:sz w:val="20"/>
          <w:szCs w:val="20"/>
          <w:lang w:val="en-GB"/>
        </w:rPr>
        <w:t xml:space="preserve"> frequent destination for capital</w:t>
      </w:r>
      <w:r w:rsidR="007321B8" w:rsidRPr="006F09A0">
        <w:rPr>
          <w:i/>
          <w:iCs/>
          <w:sz w:val="20"/>
          <w:szCs w:val="20"/>
          <w:lang w:val="en-GB"/>
        </w:rPr>
        <w:t xml:space="preserve"> seeking projects with </w:t>
      </w:r>
      <w:r w:rsidR="00277066" w:rsidRPr="006F09A0">
        <w:rPr>
          <w:i/>
          <w:iCs/>
          <w:sz w:val="20"/>
          <w:szCs w:val="20"/>
          <w:lang w:val="en-GB"/>
        </w:rPr>
        <w:t>strong</w:t>
      </w:r>
      <w:r w:rsidR="007321B8" w:rsidRPr="006F09A0">
        <w:rPr>
          <w:i/>
          <w:iCs/>
          <w:sz w:val="20"/>
          <w:szCs w:val="20"/>
          <w:lang w:val="en-GB"/>
        </w:rPr>
        <w:t xml:space="preserve"> fundamentals and long-term value growth potential. </w:t>
      </w:r>
      <w:r w:rsidR="009854BC" w:rsidRPr="006F09A0">
        <w:rPr>
          <w:i/>
          <w:iCs/>
          <w:sz w:val="20"/>
          <w:szCs w:val="20"/>
          <w:lang w:val="en-GB"/>
        </w:rPr>
        <w:t>The massive rental gap between the left and right banks</w:t>
      </w:r>
      <w:r w:rsidR="00396710" w:rsidRPr="006F09A0">
        <w:rPr>
          <w:i/>
          <w:iCs/>
          <w:sz w:val="20"/>
          <w:szCs w:val="20"/>
          <w:lang w:val="en-GB"/>
        </w:rPr>
        <w:t xml:space="preserve">, coupled with the upcoming </w:t>
      </w:r>
      <w:r w:rsidR="00277066" w:rsidRPr="006F09A0">
        <w:rPr>
          <w:i/>
          <w:iCs/>
          <w:sz w:val="20"/>
          <w:szCs w:val="20"/>
          <w:lang w:val="en-GB"/>
        </w:rPr>
        <w:t xml:space="preserve">transformation of </w:t>
      </w:r>
      <w:r w:rsidR="007323B5">
        <w:rPr>
          <w:i/>
          <w:iCs/>
          <w:sz w:val="20"/>
          <w:szCs w:val="20"/>
          <w:lang w:val="en-GB"/>
        </w:rPr>
        <w:t>public</w:t>
      </w:r>
      <w:r w:rsidR="00396710" w:rsidRPr="006F09A0">
        <w:rPr>
          <w:i/>
          <w:iCs/>
          <w:sz w:val="20"/>
          <w:szCs w:val="20"/>
          <w:lang w:val="en-GB"/>
        </w:rPr>
        <w:t xml:space="preserve"> transport infrastructure,</w:t>
      </w:r>
      <w:r w:rsidR="00F93001" w:rsidRPr="006F09A0">
        <w:rPr>
          <w:i/>
          <w:iCs/>
          <w:sz w:val="20"/>
          <w:szCs w:val="20"/>
          <w:lang w:val="en-GB"/>
        </w:rPr>
        <w:t xml:space="preserve"> is making Praga an ideal location for strategies </w:t>
      </w:r>
      <w:r w:rsidR="00C879E4">
        <w:rPr>
          <w:i/>
          <w:iCs/>
          <w:sz w:val="20"/>
          <w:szCs w:val="20"/>
          <w:lang w:val="en-GB"/>
        </w:rPr>
        <w:t xml:space="preserve">involving the relocation of </w:t>
      </w:r>
      <w:r w:rsidR="00F93001" w:rsidRPr="006F09A0">
        <w:rPr>
          <w:i/>
          <w:iCs/>
          <w:sz w:val="20"/>
          <w:szCs w:val="20"/>
          <w:lang w:val="en-GB"/>
        </w:rPr>
        <w:t xml:space="preserve">operational </w:t>
      </w:r>
      <w:r w:rsidR="001B26B2" w:rsidRPr="006F09A0">
        <w:rPr>
          <w:i/>
          <w:iCs/>
          <w:sz w:val="20"/>
          <w:szCs w:val="20"/>
          <w:lang w:val="en-GB"/>
        </w:rPr>
        <w:t xml:space="preserve">and support </w:t>
      </w:r>
      <w:r w:rsidR="00F93001" w:rsidRPr="006F09A0">
        <w:rPr>
          <w:i/>
          <w:iCs/>
          <w:sz w:val="20"/>
          <w:szCs w:val="20"/>
          <w:lang w:val="en-GB"/>
        </w:rPr>
        <w:t>tea</w:t>
      </w:r>
      <w:r w:rsidR="001B26B2" w:rsidRPr="006F09A0">
        <w:rPr>
          <w:i/>
          <w:iCs/>
          <w:sz w:val="20"/>
          <w:szCs w:val="20"/>
          <w:lang w:val="en-GB"/>
        </w:rPr>
        <w:t>ms to more cost-effective offices and for modern mixed-use projects</w:t>
      </w:r>
      <w:r w:rsidR="004E062E">
        <w:rPr>
          <w:i/>
          <w:iCs/>
          <w:sz w:val="20"/>
          <w:szCs w:val="20"/>
          <w:lang w:val="en-GB"/>
        </w:rPr>
        <w:t>,</w:t>
      </w:r>
      <w:r w:rsidR="006F65AA" w:rsidRPr="006F09A0">
        <w:rPr>
          <w:i/>
          <w:iCs/>
          <w:sz w:val="20"/>
          <w:szCs w:val="20"/>
          <w:lang w:val="en-GB"/>
        </w:rPr>
        <w:t xml:space="preserve"> which are currently the most sought-after investment product</w:t>
      </w:r>
      <w:r w:rsidR="0005165A" w:rsidRPr="006F09A0">
        <w:rPr>
          <w:i/>
          <w:iCs/>
          <w:sz w:val="20"/>
          <w:szCs w:val="20"/>
          <w:lang w:val="en-GB"/>
        </w:rPr>
        <w:t>s</w:t>
      </w:r>
      <w:r w:rsidR="00784D37" w:rsidRPr="006F09A0">
        <w:rPr>
          <w:i/>
          <w:iCs/>
          <w:sz w:val="20"/>
          <w:szCs w:val="20"/>
          <w:lang w:val="en-GB"/>
        </w:rPr>
        <w:t>,”</w:t>
      </w:r>
      <w:r w:rsidR="0079013C" w:rsidRPr="006F09A0">
        <w:rPr>
          <w:sz w:val="20"/>
          <w:szCs w:val="20"/>
          <w:lang w:val="en-GB"/>
        </w:rPr>
        <w:t xml:space="preserve"> </w:t>
      </w:r>
      <w:r w:rsidR="00784D37" w:rsidRPr="006F09A0">
        <w:rPr>
          <w:sz w:val="20"/>
          <w:szCs w:val="20"/>
          <w:lang w:val="en-GB"/>
        </w:rPr>
        <w:t>adds</w:t>
      </w:r>
      <w:r w:rsidR="0079013C" w:rsidRPr="006F09A0">
        <w:rPr>
          <w:sz w:val="20"/>
          <w:szCs w:val="20"/>
          <w:lang w:val="en-GB"/>
        </w:rPr>
        <w:t xml:space="preserve"> </w:t>
      </w:r>
      <w:r w:rsidR="00013EBD" w:rsidRPr="006F09A0">
        <w:rPr>
          <w:b/>
          <w:bCs/>
          <w:sz w:val="20"/>
          <w:szCs w:val="20"/>
          <w:lang w:val="en-GB"/>
        </w:rPr>
        <w:t>Jakub Grabara</w:t>
      </w:r>
      <w:r w:rsidR="0079013C" w:rsidRPr="006F09A0">
        <w:rPr>
          <w:sz w:val="20"/>
          <w:szCs w:val="20"/>
          <w:lang w:val="en-GB"/>
        </w:rPr>
        <w:t xml:space="preserve">, </w:t>
      </w:r>
      <w:r w:rsidR="00013EBD" w:rsidRPr="006F09A0">
        <w:rPr>
          <w:b/>
          <w:bCs/>
          <w:sz w:val="20"/>
          <w:szCs w:val="20"/>
          <w:lang w:val="en-GB"/>
        </w:rPr>
        <w:t>Associate</w:t>
      </w:r>
      <w:r w:rsidR="00F8244C" w:rsidRPr="006F09A0">
        <w:rPr>
          <w:b/>
          <w:bCs/>
          <w:sz w:val="20"/>
          <w:szCs w:val="20"/>
          <w:lang w:val="en-GB"/>
        </w:rPr>
        <w:t>, Capital Markets, Cushman &amp; Wakefield</w:t>
      </w:r>
      <w:r w:rsidR="0079013C" w:rsidRPr="006F09A0">
        <w:rPr>
          <w:sz w:val="20"/>
          <w:szCs w:val="20"/>
          <w:lang w:val="en-GB"/>
        </w:rPr>
        <w:t>.</w:t>
      </w:r>
    </w:p>
    <w:p w14:paraId="67A11FCB" w14:textId="5845A1D6" w:rsidR="0079013C" w:rsidRPr="006F09A0" w:rsidRDefault="0079013C" w:rsidP="0079013C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6F09A0">
        <w:rPr>
          <w:b/>
          <w:bCs/>
          <w:sz w:val="20"/>
          <w:szCs w:val="20"/>
          <w:lang w:val="en-GB"/>
        </w:rPr>
        <w:t xml:space="preserve">Praga Core – </w:t>
      </w:r>
      <w:r w:rsidR="00F61756" w:rsidRPr="006F09A0">
        <w:rPr>
          <w:b/>
          <w:bCs/>
          <w:sz w:val="20"/>
          <w:szCs w:val="20"/>
          <w:lang w:val="en-GB"/>
        </w:rPr>
        <w:t>a vibrant heart of services</w:t>
      </w:r>
    </w:p>
    <w:p w14:paraId="7A9A5156" w14:textId="3AA63F27" w:rsidR="008215B5" w:rsidRPr="006F09A0" w:rsidRDefault="00A57F16" w:rsidP="000824DD">
      <w:pPr>
        <w:jc w:val="both"/>
        <w:rPr>
          <w:sz w:val="20"/>
          <w:szCs w:val="20"/>
          <w:lang w:val="en-GB"/>
        </w:rPr>
      </w:pPr>
      <w:r w:rsidRPr="006F09A0">
        <w:rPr>
          <w:sz w:val="20"/>
          <w:szCs w:val="20"/>
          <w:lang w:val="en-GB"/>
        </w:rPr>
        <w:t xml:space="preserve">Although </w:t>
      </w:r>
      <w:r w:rsidR="00140B33" w:rsidRPr="006F09A0">
        <w:rPr>
          <w:sz w:val="20"/>
          <w:szCs w:val="20"/>
          <w:lang w:val="en-GB"/>
        </w:rPr>
        <w:t>Cushman &amp; Wakefield</w:t>
      </w:r>
      <w:r w:rsidRPr="006F09A0">
        <w:rPr>
          <w:sz w:val="20"/>
          <w:szCs w:val="20"/>
          <w:lang w:val="en-GB"/>
        </w:rPr>
        <w:t xml:space="preserve">’s report </w:t>
      </w:r>
      <w:r w:rsidR="004B7589" w:rsidRPr="006F09A0">
        <w:rPr>
          <w:sz w:val="20"/>
          <w:szCs w:val="20"/>
          <w:lang w:val="en-GB"/>
        </w:rPr>
        <w:t>covers</w:t>
      </w:r>
      <w:r w:rsidR="00656D25" w:rsidRPr="006F09A0">
        <w:rPr>
          <w:sz w:val="20"/>
          <w:szCs w:val="20"/>
          <w:lang w:val="en-GB"/>
        </w:rPr>
        <w:t xml:space="preserve"> a </w:t>
      </w:r>
      <w:r w:rsidR="004B7589" w:rsidRPr="006F09A0">
        <w:rPr>
          <w:sz w:val="20"/>
          <w:szCs w:val="20"/>
          <w:lang w:val="en-GB"/>
        </w:rPr>
        <w:t xml:space="preserve">much </w:t>
      </w:r>
      <w:r w:rsidR="00797E56">
        <w:rPr>
          <w:sz w:val="20"/>
          <w:szCs w:val="20"/>
          <w:lang w:val="en-GB"/>
        </w:rPr>
        <w:t>larger</w:t>
      </w:r>
      <w:r w:rsidR="00656D25" w:rsidRPr="006F09A0">
        <w:rPr>
          <w:sz w:val="20"/>
          <w:szCs w:val="20"/>
          <w:lang w:val="en-GB"/>
        </w:rPr>
        <w:t xml:space="preserve"> area, </w:t>
      </w:r>
      <w:r w:rsidR="00962E5C" w:rsidRPr="006F09A0">
        <w:rPr>
          <w:sz w:val="20"/>
          <w:szCs w:val="20"/>
          <w:lang w:val="en-GB"/>
        </w:rPr>
        <w:t xml:space="preserve">it is worth </w:t>
      </w:r>
      <w:r w:rsidR="001028D6" w:rsidRPr="006F09A0">
        <w:rPr>
          <w:sz w:val="20"/>
          <w:szCs w:val="20"/>
          <w:lang w:val="en-GB"/>
        </w:rPr>
        <w:t>noting that th</w:t>
      </w:r>
      <w:r w:rsidR="00A12104" w:rsidRPr="006F09A0">
        <w:rPr>
          <w:sz w:val="20"/>
          <w:szCs w:val="20"/>
          <w:lang w:val="en-GB"/>
        </w:rPr>
        <w:t>e</w:t>
      </w:r>
      <w:r w:rsidR="001028D6" w:rsidRPr="006F09A0">
        <w:rPr>
          <w:sz w:val="20"/>
          <w:szCs w:val="20"/>
          <w:lang w:val="en-GB"/>
        </w:rPr>
        <w:t xml:space="preserve"> </w:t>
      </w:r>
      <w:r w:rsidR="008F66CC" w:rsidRPr="006F09A0">
        <w:rPr>
          <w:sz w:val="20"/>
          <w:szCs w:val="20"/>
          <w:lang w:val="en-GB"/>
        </w:rPr>
        <w:t>heart of Praga</w:t>
      </w:r>
      <w:r w:rsidR="009E1A51" w:rsidRPr="006F09A0">
        <w:rPr>
          <w:sz w:val="20"/>
          <w:szCs w:val="20"/>
          <w:lang w:val="en-GB"/>
        </w:rPr>
        <w:t xml:space="preserve"> – despite </w:t>
      </w:r>
      <w:r w:rsidR="00A12104" w:rsidRPr="006F09A0">
        <w:rPr>
          <w:sz w:val="20"/>
          <w:szCs w:val="20"/>
          <w:lang w:val="en-GB"/>
        </w:rPr>
        <w:t xml:space="preserve">its </w:t>
      </w:r>
      <w:r w:rsidR="007548B6">
        <w:rPr>
          <w:sz w:val="20"/>
          <w:szCs w:val="20"/>
          <w:lang w:val="en-GB"/>
        </w:rPr>
        <w:t>already</w:t>
      </w:r>
      <w:r w:rsidR="002C5916">
        <w:rPr>
          <w:sz w:val="20"/>
          <w:szCs w:val="20"/>
          <w:lang w:val="en-GB"/>
        </w:rPr>
        <w:t xml:space="preserve"> </w:t>
      </w:r>
      <w:r w:rsidR="00522509">
        <w:rPr>
          <w:sz w:val="20"/>
          <w:szCs w:val="20"/>
          <w:lang w:val="en-GB"/>
        </w:rPr>
        <w:t xml:space="preserve">dense urban </w:t>
      </w:r>
      <w:r w:rsidR="00CC613D">
        <w:rPr>
          <w:sz w:val="20"/>
          <w:szCs w:val="20"/>
          <w:lang w:val="en-GB"/>
        </w:rPr>
        <w:t>fabric</w:t>
      </w:r>
      <w:r w:rsidR="009E1A51" w:rsidRPr="006F09A0">
        <w:rPr>
          <w:sz w:val="20"/>
          <w:szCs w:val="20"/>
          <w:lang w:val="en-GB"/>
        </w:rPr>
        <w:t xml:space="preserve"> </w:t>
      </w:r>
      <w:r w:rsidR="00882D54" w:rsidRPr="006F09A0">
        <w:rPr>
          <w:sz w:val="20"/>
          <w:szCs w:val="20"/>
          <w:lang w:val="en-GB"/>
        </w:rPr>
        <w:t>–</w:t>
      </w:r>
      <w:r w:rsidR="009E1A51" w:rsidRPr="006F09A0">
        <w:rPr>
          <w:sz w:val="20"/>
          <w:szCs w:val="20"/>
          <w:lang w:val="en-GB"/>
        </w:rPr>
        <w:t xml:space="preserve"> </w:t>
      </w:r>
      <w:r w:rsidR="00882D54" w:rsidRPr="006F09A0">
        <w:rPr>
          <w:sz w:val="20"/>
          <w:szCs w:val="20"/>
          <w:lang w:val="en-GB"/>
        </w:rPr>
        <w:t xml:space="preserve">still has significant growth potential. Population density </w:t>
      </w:r>
      <w:r w:rsidR="00A12104" w:rsidRPr="006F09A0">
        <w:rPr>
          <w:sz w:val="20"/>
          <w:szCs w:val="20"/>
          <w:lang w:val="en-GB"/>
        </w:rPr>
        <w:t>stands at</w:t>
      </w:r>
      <w:r w:rsidR="00882D54" w:rsidRPr="006F09A0">
        <w:rPr>
          <w:sz w:val="20"/>
          <w:szCs w:val="20"/>
          <w:lang w:val="en-GB"/>
        </w:rPr>
        <w:t xml:space="preserve"> 7,500 per</w:t>
      </w:r>
      <w:r w:rsidR="0079013C" w:rsidRPr="006F09A0">
        <w:rPr>
          <w:sz w:val="20"/>
          <w:szCs w:val="20"/>
          <w:lang w:val="en-GB"/>
        </w:rPr>
        <w:t xml:space="preserve"> </w:t>
      </w:r>
      <w:r w:rsidR="00357711" w:rsidRPr="006F09A0">
        <w:rPr>
          <w:sz w:val="20"/>
          <w:szCs w:val="20"/>
          <w:lang w:val="en-GB"/>
        </w:rPr>
        <w:t>km²</w:t>
      </w:r>
      <w:r w:rsidR="0079013C" w:rsidRPr="006F09A0">
        <w:rPr>
          <w:sz w:val="20"/>
          <w:szCs w:val="20"/>
          <w:lang w:val="en-GB"/>
        </w:rPr>
        <w:t xml:space="preserve"> (</w:t>
      </w:r>
      <w:r w:rsidR="00882D54" w:rsidRPr="006F09A0">
        <w:rPr>
          <w:sz w:val="20"/>
          <w:szCs w:val="20"/>
          <w:lang w:val="en-GB"/>
        </w:rPr>
        <w:t xml:space="preserve">compared with the </w:t>
      </w:r>
      <w:r w:rsidR="00A12104" w:rsidRPr="006F09A0">
        <w:rPr>
          <w:sz w:val="20"/>
          <w:szCs w:val="20"/>
          <w:lang w:val="en-GB"/>
        </w:rPr>
        <w:t xml:space="preserve">Warsaw </w:t>
      </w:r>
      <w:r w:rsidR="00B320B3" w:rsidRPr="006F09A0">
        <w:rPr>
          <w:sz w:val="20"/>
          <w:szCs w:val="20"/>
          <w:lang w:val="en-GB"/>
        </w:rPr>
        <w:t>average of 3,600</w:t>
      </w:r>
      <w:r w:rsidR="0079013C" w:rsidRPr="006F09A0">
        <w:rPr>
          <w:sz w:val="20"/>
          <w:szCs w:val="20"/>
          <w:lang w:val="en-GB"/>
        </w:rPr>
        <w:t xml:space="preserve">), </w:t>
      </w:r>
      <w:r w:rsidR="00B320B3" w:rsidRPr="006F09A0">
        <w:rPr>
          <w:sz w:val="20"/>
          <w:szCs w:val="20"/>
          <w:lang w:val="en-GB"/>
        </w:rPr>
        <w:t xml:space="preserve">which </w:t>
      </w:r>
      <w:r w:rsidR="00197F77">
        <w:rPr>
          <w:sz w:val="20"/>
          <w:szCs w:val="20"/>
          <w:lang w:val="en-GB"/>
        </w:rPr>
        <w:t xml:space="preserve">supports </w:t>
      </w:r>
      <w:r w:rsidR="0061130C">
        <w:rPr>
          <w:sz w:val="20"/>
          <w:szCs w:val="20"/>
          <w:lang w:val="en-GB"/>
        </w:rPr>
        <w:t xml:space="preserve">the </w:t>
      </w:r>
      <w:r w:rsidR="00B320B3" w:rsidRPr="006F09A0">
        <w:rPr>
          <w:sz w:val="20"/>
          <w:szCs w:val="20"/>
          <w:lang w:val="en-GB"/>
        </w:rPr>
        <w:t>service</w:t>
      </w:r>
      <w:r w:rsidR="0061130C">
        <w:rPr>
          <w:sz w:val="20"/>
          <w:szCs w:val="20"/>
          <w:lang w:val="en-GB"/>
        </w:rPr>
        <w:t xml:space="preserve"> </w:t>
      </w:r>
      <w:r w:rsidR="00B320B3" w:rsidRPr="006F09A0">
        <w:rPr>
          <w:sz w:val="20"/>
          <w:szCs w:val="20"/>
          <w:lang w:val="en-GB"/>
        </w:rPr>
        <w:t>sector</w:t>
      </w:r>
      <w:r w:rsidR="008F7B4E">
        <w:rPr>
          <w:sz w:val="20"/>
          <w:szCs w:val="20"/>
          <w:lang w:val="en-GB"/>
        </w:rPr>
        <w:t>’s growth</w:t>
      </w:r>
      <w:r w:rsidR="00B320B3" w:rsidRPr="006F09A0">
        <w:rPr>
          <w:sz w:val="20"/>
          <w:szCs w:val="20"/>
          <w:lang w:val="en-GB"/>
        </w:rPr>
        <w:t xml:space="preserve">. </w:t>
      </w:r>
      <w:r w:rsidR="00132E84" w:rsidRPr="006F09A0">
        <w:rPr>
          <w:sz w:val="20"/>
          <w:szCs w:val="20"/>
          <w:lang w:val="en-GB"/>
        </w:rPr>
        <w:t>Residents and employees have access to more than 1,200 points of interest, including over 320 restaurants and cafés. PGE</w:t>
      </w:r>
      <w:r w:rsidR="0001424D" w:rsidRPr="006F09A0">
        <w:rPr>
          <w:sz w:val="20"/>
          <w:szCs w:val="20"/>
          <w:lang w:val="en-GB"/>
        </w:rPr>
        <w:t xml:space="preserve"> Narodowy</w:t>
      </w:r>
      <w:r w:rsidR="00FF47AD" w:rsidRPr="006F09A0">
        <w:rPr>
          <w:sz w:val="20"/>
          <w:szCs w:val="20"/>
          <w:lang w:val="en-GB"/>
        </w:rPr>
        <w:t xml:space="preserve"> </w:t>
      </w:r>
      <w:r w:rsidR="00625CF8" w:rsidRPr="006F09A0">
        <w:rPr>
          <w:sz w:val="20"/>
          <w:szCs w:val="20"/>
          <w:lang w:val="en-GB"/>
        </w:rPr>
        <w:t>remains an international magnet</w:t>
      </w:r>
      <w:r w:rsidR="001E1F0E" w:rsidRPr="006F09A0">
        <w:rPr>
          <w:sz w:val="20"/>
          <w:szCs w:val="20"/>
          <w:lang w:val="en-GB"/>
        </w:rPr>
        <w:t xml:space="preserve">, attracting approximately 2 million visitors in 2025 </w:t>
      </w:r>
      <w:r w:rsidR="003579EE">
        <w:rPr>
          <w:sz w:val="20"/>
          <w:szCs w:val="20"/>
          <w:lang w:val="en-GB"/>
        </w:rPr>
        <w:t xml:space="preserve">through </w:t>
      </w:r>
      <w:r w:rsidR="00D922AA">
        <w:rPr>
          <w:sz w:val="20"/>
          <w:szCs w:val="20"/>
          <w:lang w:val="en-GB"/>
        </w:rPr>
        <w:t xml:space="preserve">music </w:t>
      </w:r>
      <w:r w:rsidR="001E1F0E" w:rsidRPr="006F09A0">
        <w:rPr>
          <w:sz w:val="20"/>
          <w:szCs w:val="20"/>
          <w:lang w:val="en-GB"/>
        </w:rPr>
        <w:t>concerts, sport</w:t>
      </w:r>
      <w:r w:rsidR="009342D0" w:rsidRPr="006F09A0">
        <w:rPr>
          <w:sz w:val="20"/>
          <w:szCs w:val="20"/>
          <w:lang w:val="en-GB"/>
        </w:rPr>
        <w:t>ing</w:t>
      </w:r>
      <w:r w:rsidR="001E1F0E" w:rsidRPr="006F09A0">
        <w:rPr>
          <w:sz w:val="20"/>
          <w:szCs w:val="20"/>
          <w:lang w:val="en-GB"/>
        </w:rPr>
        <w:t xml:space="preserve"> and business events</w:t>
      </w:r>
      <w:r w:rsidR="008461E8">
        <w:rPr>
          <w:sz w:val="20"/>
          <w:szCs w:val="20"/>
          <w:lang w:val="en-GB"/>
        </w:rPr>
        <w:t>,</w:t>
      </w:r>
      <w:r w:rsidR="001E1F0E" w:rsidRPr="006F09A0">
        <w:rPr>
          <w:sz w:val="20"/>
          <w:szCs w:val="20"/>
          <w:lang w:val="en-GB"/>
        </w:rPr>
        <w:t xml:space="preserve"> and </w:t>
      </w:r>
      <w:r w:rsidR="00794123">
        <w:rPr>
          <w:sz w:val="20"/>
          <w:szCs w:val="20"/>
          <w:lang w:val="en-GB"/>
        </w:rPr>
        <w:t>tours</w:t>
      </w:r>
      <w:r w:rsidR="001E1F0E" w:rsidRPr="006F09A0">
        <w:rPr>
          <w:sz w:val="20"/>
          <w:szCs w:val="20"/>
          <w:lang w:val="en-GB"/>
        </w:rPr>
        <w:t>.</w:t>
      </w:r>
    </w:p>
    <w:p w14:paraId="03DE3FBF" w14:textId="76A4DE5F" w:rsidR="001415B4" w:rsidRPr="006F09A0" w:rsidRDefault="004017E5" w:rsidP="001415B4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i/>
          <w:iCs/>
          <w:sz w:val="20"/>
          <w:szCs w:val="20"/>
          <w:lang w:val="en-GB"/>
        </w:rPr>
        <w:t>“</w:t>
      </w:r>
      <w:r w:rsidR="000824DD" w:rsidRPr="006F09A0">
        <w:rPr>
          <w:i/>
          <w:iCs/>
          <w:sz w:val="20"/>
          <w:szCs w:val="20"/>
          <w:lang w:val="en-GB"/>
        </w:rPr>
        <w:t>The report demonstrates that Warsaw East</w:t>
      </w:r>
      <w:r w:rsidR="003159B9" w:rsidRPr="006F09A0">
        <w:rPr>
          <w:i/>
          <w:iCs/>
          <w:sz w:val="20"/>
          <w:szCs w:val="20"/>
          <w:lang w:val="en-GB"/>
        </w:rPr>
        <w:t xml:space="preserve"> has the capacity to </w:t>
      </w:r>
      <w:r w:rsidR="002965AB">
        <w:rPr>
          <w:i/>
          <w:iCs/>
          <w:sz w:val="20"/>
          <w:szCs w:val="20"/>
          <w:lang w:val="en-GB"/>
        </w:rPr>
        <w:t xml:space="preserve">continue developing </w:t>
      </w:r>
      <w:r w:rsidR="003159B9" w:rsidRPr="006F09A0">
        <w:rPr>
          <w:i/>
          <w:iCs/>
          <w:sz w:val="20"/>
          <w:szCs w:val="20"/>
          <w:lang w:val="en-GB"/>
        </w:rPr>
        <w:t>as a modern</w:t>
      </w:r>
      <w:r w:rsidR="006F09A0" w:rsidRPr="006F09A0">
        <w:rPr>
          <w:i/>
          <w:iCs/>
          <w:sz w:val="20"/>
          <w:szCs w:val="20"/>
          <w:lang w:val="en-GB"/>
        </w:rPr>
        <w:t>,</w:t>
      </w:r>
      <w:r w:rsidR="003159B9" w:rsidRPr="006F09A0">
        <w:rPr>
          <w:i/>
          <w:iCs/>
          <w:sz w:val="20"/>
          <w:szCs w:val="20"/>
          <w:lang w:val="en-GB"/>
        </w:rPr>
        <w:t xml:space="preserve"> sustainable part of the city and </w:t>
      </w:r>
      <w:r w:rsidR="006F09A0" w:rsidRPr="006F09A0">
        <w:rPr>
          <w:i/>
          <w:iCs/>
          <w:sz w:val="20"/>
          <w:szCs w:val="20"/>
          <w:lang w:val="en-GB"/>
        </w:rPr>
        <w:t xml:space="preserve">to </w:t>
      </w:r>
      <w:r w:rsidR="003159B9" w:rsidRPr="006F09A0">
        <w:rPr>
          <w:i/>
          <w:iCs/>
          <w:sz w:val="20"/>
          <w:szCs w:val="20"/>
          <w:lang w:val="en-GB"/>
        </w:rPr>
        <w:t xml:space="preserve">offer residents a unique ecosystem </w:t>
      </w:r>
      <w:r w:rsidRPr="006F09A0">
        <w:rPr>
          <w:i/>
          <w:iCs/>
          <w:sz w:val="20"/>
          <w:szCs w:val="20"/>
          <w:lang w:val="en-GB"/>
        </w:rPr>
        <w:t xml:space="preserve">for </w:t>
      </w:r>
      <w:r w:rsidR="001367C1">
        <w:rPr>
          <w:i/>
          <w:iCs/>
          <w:sz w:val="20"/>
          <w:szCs w:val="20"/>
          <w:lang w:val="en-GB"/>
        </w:rPr>
        <w:t xml:space="preserve">living </w:t>
      </w:r>
      <w:r w:rsidRPr="006F09A0">
        <w:rPr>
          <w:i/>
          <w:iCs/>
          <w:sz w:val="20"/>
          <w:szCs w:val="20"/>
          <w:lang w:val="en-GB"/>
        </w:rPr>
        <w:t>and work</w:t>
      </w:r>
      <w:r w:rsidR="001367C1">
        <w:rPr>
          <w:i/>
          <w:iCs/>
          <w:sz w:val="20"/>
          <w:szCs w:val="20"/>
          <w:lang w:val="en-GB"/>
        </w:rPr>
        <w:t>ing</w:t>
      </w:r>
      <w:r w:rsidR="00CB26F0" w:rsidRPr="006F09A0">
        <w:rPr>
          <w:i/>
          <w:iCs/>
          <w:sz w:val="20"/>
          <w:szCs w:val="20"/>
          <w:lang w:val="en-GB"/>
        </w:rPr>
        <w:t xml:space="preserve">,” </w:t>
      </w:r>
      <w:r w:rsidR="00784D37" w:rsidRPr="006F09A0">
        <w:rPr>
          <w:sz w:val="20"/>
          <w:szCs w:val="20"/>
          <w:lang w:val="en-GB"/>
        </w:rPr>
        <w:t>explains</w:t>
      </w:r>
      <w:r w:rsidR="001415B4" w:rsidRPr="006F09A0">
        <w:rPr>
          <w:sz w:val="20"/>
          <w:szCs w:val="20"/>
          <w:lang w:val="en-GB"/>
        </w:rPr>
        <w:t xml:space="preserve"> </w:t>
      </w:r>
      <w:r w:rsidR="001415B4" w:rsidRPr="006F09A0">
        <w:rPr>
          <w:b/>
          <w:bCs/>
          <w:sz w:val="20"/>
          <w:szCs w:val="20"/>
          <w:lang w:val="en-GB"/>
        </w:rPr>
        <w:t xml:space="preserve">Vitalii Arkhypenko, </w:t>
      </w:r>
      <w:r w:rsidR="00784D37" w:rsidRPr="006F09A0">
        <w:rPr>
          <w:b/>
          <w:bCs/>
          <w:sz w:val="20"/>
          <w:szCs w:val="20"/>
          <w:lang w:val="en-GB"/>
        </w:rPr>
        <w:t>Market Analyst</w:t>
      </w:r>
      <w:r w:rsidR="005E565F">
        <w:rPr>
          <w:b/>
          <w:bCs/>
          <w:sz w:val="20"/>
          <w:szCs w:val="20"/>
          <w:lang w:val="en-GB"/>
        </w:rPr>
        <w:t xml:space="preserve"> at</w:t>
      </w:r>
      <w:r w:rsidR="001415B4" w:rsidRPr="006F09A0">
        <w:rPr>
          <w:b/>
          <w:bCs/>
          <w:sz w:val="20"/>
          <w:szCs w:val="20"/>
          <w:lang w:val="en-GB"/>
        </w:rPr>
        <w:t xml:space="preserve"> Cushman &amp; Wakefield</w:t>
      </w:r>
      <w:r w:rsidR="001415B4" w:rsidRPr="006F09A0">
        <w:rPr>
          <w:sz w:val="20"/>
          <w:szCs w:val="20"/>
          <w:lang w:val="en-GB"/>
        </w:rPr>
        <w:t>.</w:t>
      </w:r>
    </w:p>
    <w:p w14:paraId="59B14653" w14:textId="0040339E" w:rsidR="0079013C" w:rsidRPr="006F09A0" w:rsidRDefault="0079013C" w:rsidP="0079013C">
      <w:pPr>
        <w:spacing w:line="240" w:lineRule="auto"/>
        <w:jc w:val="both"/>
        <w:rPr>
          <w:sz w:val="20"/>
          <w:szCs w:val="20"/>
          <w:lang w:val="en-GB"/>
        </w:rPr>
      </w:pPr>
    </w:p>
    <w:p w14:paraId="09303600" w14:textId="36AAACCE" w:rsidR="00140B33" w:rsidRPr="006F09A0" w:rsidRDefault="00AE5C04" w:rsidP="0079013C">
      <w:pPr>
        <w:spacing w:line="240" w:lineRule="auto"/>
        <w:jc w:val="both"/>
        <w:rPr>
          <w:sz w:val="20"/>
          <w:szCs w:val="20"/>
          <w:lang w:val="en-GB"/>
        </w:rPr>
      </w:pPr>
      <w:r w:rsidRPr="006F09A0">
        <w:rPr>
          <w:sz w:val="20"/>
          <w:szCs w:val="20"/>
          <w:lang w:val="en-GB"/>
        </w:rPr>
        <w:t>For more insights, see the full version of the report at</w:t>
      </w:r>
      <w:r w:rsidR="00140B33" w:rsidRPr="006F09A0">
        <w:rPr>
          <w:sz w:val="20"/>
          <w:szCs w:val="20"/>
          <w:lang w:val="en-GB"/>
        </w:rPr>
        <w:t>: [LINK]</w:t>
      </w:r>
    </w:p>
    <w:p w14:paraId="49CD4162" w14:textId="77777777" w:rsidR="00A37A74" w:rsidRPr="006F09A0" w:rsidRDefault="00A37A74" w:rsidP="00A37A74">
      <w:pPr>
        <w:spacing w:line="240" w:lineRule="auto"/>
        <w:jc w:val="both"/>
        <w:rPr>
          <w:sz w:val="20"/>
          <w:szCs w:val="20"/>
          <w:lang w:val="en-GB"/>
        </w:rPr>
      </w:pPr>
    </w:p>
    <w:p w14:paraId="2A367B2D" w14:textId="77777777" w:rsidR="00A37A74" w:rsidRPr="006F09A0" w:rsidRDefault="00A37A74" w:rsidP="00E10F15">
      <w:pPr>
        <w:spacing w:line="240" w:lineRule="auto"/>
        <w:jc w:val="both"/>
        <w:rPr>
          <w:sz w:val="20"/>
          <w:szCs w:val="20"/>
          <w:lang w:val="en-GB"/>
        </w:rPr>
      </w:pPr>
    </w:p>
    <w:p w14:paraId="6C7874CE" w14:textId="53A6A4B7" w:rsidR="00AC62A5" w:rsidRPr="006F09A0" w:rsidRDefault="00AC62A5" w:rsidP="00AC62A5">
      <w:pPr>
        <w:jc w:val="center"/>
        <w:rPr>
          <w:b/>
          <w:bCs/>
          <w:sz w:val="16"/>
          <w:szCs w:val="16"/>
          <w:lang w:val="en-GB"/>
        </w:rPr>
      </w:pPr>
      <w:r w:rsidRPr="006F09A0">
        <w:rPr>
          <w:b/>
          <w:bCs/>
          <w:sz w:val="16"/>
          <w:szCs w:val="16"/>
          <w:lang w:val="en-GB"/>
        </w:rPr>
        <w:t xml:space="preserve">- </w:t>
      </w:r>
      <w:r w:rsidR="00784D37" w:rsidRPr="006F09A0">
        <w:rPr>
          <w:b/>
          <w:bCs/>
          <w:sz w:val="16"/>
          <w:szCs w:val="16"/>
          <w:lang w:val="en-GB"/>
        </w:rPr>
        <w:t>ENDS</w:t>
      </w:r>
      <w:r w:rsidRPr="006F09A0">
        <w:rPr>
          <w:b/>
          <w:bCs/>
          <w:sz w:val="16"/>
          <w:szCs w:val="16"/>
          <w:lang w:val="en-GB"/>
        </w:rPr>
        <w:t xml:space="preserve"> -</w:t>
      </w:r>
    </w:p>
    <w:p w14:paraId="330F4936" w14:textId="77777777" w:rsidR="00AC62A5" w:rsidRPr="006F09A0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</w:p>
    <w:p w14:paraId="482909FA" w14:textId="6432618B" w:rsidR="004B3D1A" w:rsidRPr="006F09A0" w:rsidRDefault="00784D37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6F09A0">
        <w:rPr>
          <w:b/>
          <w:sz w:val="16"/>
          <w:szCs w:val="16"/>
          <w:lang w:val="en-GB"/>
        </w:rPr>
        <w:t>About</w:t>
      </w:r>
      <w:r w:rsidR="004B3D1A" w:rsidRPr="006F09A0">
        <w:rPr>
          <w:b/>
          <w:sz w:val="16"/>
          <w:szCs w:val="16"/>
          <w:lang w:val="en-GB"/>
        </w:rPr>
        <w:t xml:space="preserve"> Cushman &amp; Wakefiel</w:t>
      </w:r>
      <w:r w:rsidR="00AC6DF8" w:rsidRPr="006F09A0">
        <w:rPr>
          <w:b/>
          <w:sz w:val="16"/>
          <w:szCs w:val="16"/>
          <w:lang w:val="en-GB"/>
        </w:rPr>
        <w:t>d</w:t>
      </w:r>
    </w:p>
    <w:p w14:paraId="64A83442" w14:textId="4D2AF97A" w:rsidR="00BC2537" w:rsidRPr="006F09A0" w:rsidRDefault="00DF5B5A" w:rsidP="00210CFF">
      <w:pPr>
        <w:jc w:val="both"/>
        <w:rPr>
          <w:bCs/>
          <w:sz w:val="16"/>
          <w:szCs w:val="16"/>
          <w:lang w:val="en-GB"/>
        </w:rPr>
      </w:pPr>
      <w:r w:rsidRPr="006F09A0">
        <w:rPr>
          <w:bCs/>
          <w:sz w:val="16"/>
          <w:szCs w:val="16"/>
          <w:lang w:val="en-GB"/>
        </w:rPr>
        <w:t xml:space="preserve">Cushman &amp; Wakefield (NYSE: CWK) is a leading global commercial real estate services firm for occupiers and investors with approximately 53,000 employees in over 350 offices and nearly 60 countries. In 2025, the firm reported revenue of $10.3 billion across its core service lines of Services, Leasing, Capital markets, and Valuation and other. Built around the belief that </w:t>
      </w:r>
      <w:r w:rsidRPr="00066A56">
        <w:rPr>
          <w:bCs/>
          <w:i/>
          <w:iCs/>
          <w:sz w:val="16"/>
          <w:szCs w:val="16"/>
          <w:lang w:val="en-GB"/>
        </w:rPr>
        <w:t>Better never settles</w:t>
      </w:r>
      <w:r w:rsidRPr="006F09A0">
        <w:rPr>
          <w:bCs/>
          <w:sz w:val="16"/>
          <w:szCs w:val="16"/>
          <w:lang w:val="en-GB"/>
        </w:rPr>
        <w:t>, the firm receives numerous industry and business accolades for its award-winning culture. For additional information, visit</w:t>
      </w:r>
      <w:r w:rsidR="0005341A" w:rsidRPr="006F09A0">
        <w:rPr>
          <w:bCs/>
          <w:sz w:val="16"/>
          <w:szCs w:val="16"/>
          <w:lang w:val="en-GB"/>
        </w:rPr>
        <w:t> </w:t>
      </w:r>
      <w:hyperlink r:id="rId11" w:tgtFrame="_blank" w:history="1">
        <w:r w:rsidR="0005341A" w:rsidRPr="006F09A0">
          <w:rPr>
            <w:rStyle w:val="Hipercze"/>
            <w:bCs/>
            <w:sz w:val="16"/>
            <w:szCs w:val="16"/>
            <w:lang w:val="en-GB"/>
          </w:rPr>
          <w:t>www.cushmanwakefield.com</w:t>
        </w:r>
      </w:hyperlink>
      <w:r w:rsidR="0005341A" w:rsidRPr="006F09A0">
        <w:rPr>
          <w:bCs/>
          <w:sz w:val="16"/>
          <w:szCs w:val="16"/>
          <w:lang w:val="en-GB"/>
        </w:rPr>
        <w:t>.</w:t>
      </w:r>
    </w:p>
    <w:sectPr w:rsidR="00BC2537" w:rsidRPr="006F09A0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2BF1" w14:textId="77777777" w:rsidR="00C3026A" w:rsidRDefault="00C3026A">
      <w:pPr>
        <w:spacing w:after="0" w:line="240" w:lineRule="auto"/>
      </w:pPr>
      <w:r>
        <w:separator/>
      </w:r>
    </w:p>
  </w:endnote>
  <w:endnote w:type="continuationSeparator" w:id="0">
    <w:p w14:paraId="72B6C42E" w14:textId="77777777" w:rsidR="00C3026A" w:rsidRDefault="00C3026A">
      <w:pPr>
        <w:spacing w:after="0" w:line="240" w:lineRule="auto"/>
      </w:pPr>
      <w:r>
        <w:continuationSeparator/>
      </w:r>
    </w:p>
  </w:endnote>
  <w:endnote w:type="continuationNotice" w:id="1">
    <w:p w14:paraId="21E5B5CA" w14:textId="77777777" w:rsidR="00C3026A" w:rsidRDefault="00C30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6D61DF17" w:rsidR="00025C81" w:rsidRPr="00C8277A" w:rsidRDefault="00784D37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784D37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9B3715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C8277A" w:rsidRPr="009B3715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9B3715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784D37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784D37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Karolina Samczyńska-Fiślak</w:t>
                      </w:r>
                    </w:p>
                    <w:p w14:paraId="03FB117E" w14:textId="77777777" w:rsidR="00025C81" w:rsidRPr="00784D37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784D37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784D37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784D37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784D37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84D37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DE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84D37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784D37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784D37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784D37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9B3715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592A" w14:textId="77777777" w:rsidR="00C3026A" w:rsidRDefault="00C3026A">
      <w:pPr>
        <w:spacing w:after="0" w:line="240" w:lineRule="auto"/>
      </w:pPr>
      <w:r>
        <w:separator/>
      </w:r>
    </w:p>
  </w:footnote>
  <w:footnote w:type="continuationSeparator" w:id="0">
    <w:p w14:paraId="13FEF38D" w14:textId="77777777" w:rsidR="00C3026A" w:rsidRDefault="00C3026A">
      <w:pPr>
        <w:spacing w:after="0" w:line="240" w:lineRule="auto"/>
      </w:pPr>
      <w:r>
        <w:continuationSeparator/>
      </w:r>
    </w:p>
  </w:footnote>
  <w:footnote w:type="continuationNotice" w:id="1">
    <w:p w14:paraId="38EA2C41" w14:textId="77777777" w:rsidR="00C3026A" w:rsidRDefault="00C30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47D9"/>
    <w:multiLevelType w:val="hybridMultilevel"/>
    <w:tmpl w:val="0F6AB3AE"/>
    <w:lvl w:ilvl="0" w:tplc="A41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4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947FE"/>
    <w:multiLevelType w:val="hybridMultilevel"/>
    <w:tmpl w:val="41ACBDF0"/>
    <w:lvl w:ilvl="0" w:tplc="25EC3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07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A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E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0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A2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A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25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4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6FE6"/>
    <w:multiLevelType w:val="hybridMultilevel"/>
    <w:tmpl w:val="30769262"/>
    <w:lvl w:ilvl="0" w:tplc="4C4C5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5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6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4F19E5"/>
    <w:multiLevelType w:val="multilevel"/>
    <w:tmpl w:val="2C2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96E51"/>
    <w:multiLevelType w:val="hybridMultilevel"/>
    <w:tmpl w:val="F3640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5714CB"/>
    <w:multiLevelType w:val="hybridMultilevel"/>
    <w:tmpl w:val="BC8CC52E"/>
    <w:lvl w:ilvl="0" w:tplc="0F96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D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80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357CBE"/>
    <w:multiLevelType w:val="hybridMultilevel"/>
    <w:tmpl w:val="D198449E"/>
    <w:lvl w:ilvl="0" w:tplc="B2866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F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E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C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CE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5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9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0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C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1983"/>
    <w:multiLevelType w:val="hybridMultilevel"/>
    <w:tmpl w:val="C42C79CE"/>
    <w:lvl w:ilvl="0" w:tplc="2EB8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CE7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E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4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486118">
    <w:abstractNumId w:val="5"/>
  </w:num>
  <w:num w:numId="2" w16cid:durableId="1584223579">
    <w:abstractNumId w:val="0"/>
  </w:num>
  <w:num w:numId="3" w16cid:durableId="1290239065">
    <w:abstractNumId w:val="4"/>
  </w:num>
  <w:num w:numId="4" w16cid:durableId="1231691958">
    <w:abstractNumId w:val="1"/>
  </w:num>
  <w:num w:numId="5" w16cid:durableId="973288196">
    <w:abstractNumId w:val="3"/>
  </w:num>
  <w:num w:numId="6" w16cid:durableId="2132431071">
    <w:abstractNumId w:val="2"/>
  </w:num>
  <w:num w:numId="7" w16cid:durableId="1448236783">
    <w:abstractNumId w:val="10"/>
  </w:num>
  <w:num w:numId="8" w16cid:durableId="161311295">
    <w:abstractNumId w:val="6"/>
  </w:num>
  <w:num w:numId="9" w16cid:durableId="1062756424">
    <w:abstractNumId w:val="9"/>
  </w:num>
  <w:num w:numId="10" w16cid:durableId="1456021634">
    <w:abstractNumId w:val="11"/>
  </w:num>
  <w:num w:numId="11" w16cid:durableId="174350466">
    <w:abstractNumId w:val="7"/>
  </w:num>
  <w:num w:numId="12" w16cid:durableId="1055810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078"/>
    <w:rsid w:val="0000377C"/>
    <w:rsid w:val="00003988"/>
    <w:rsid w:val="00005FD5"/>
    <w:rsid w:val="000060C3"/>
    <w:rsid w:val="000064EA"/>
    <w:rsid w:val="00006833"/>
    <w:rsid w:val="00007243"/>
    <w:rsid w:val="00012380"/>
    <w:rsid w:val="00013B86"/>
    <w:rsid w:val="00013EBD"/>
    <w:rsid w:val="00013F59"/>
    <w:rsid w:val="000141BC"/>
    <w:rsid w:val="0001424D"/>
    <w:rsid w:val="00014ACA"/>
    <w:rsid w:val="000203A2"/>
    <w:rsid w:val="00021875"/>
    <w:rsid w:val="00022B42"/>
    <w:rsid w:val="000235EF"/>
    <w:rsid w:val="000251E4"/>
    <w:rsid w:val="00025C81"/>
    <w:rsid w:val="00027F57"/>
    <w:rsid w:val="00030A48"/>
    <w:rsid w:val="000314D7"/>
    <w:rsid w:val="0003245E"/>
    <w:rsid w:val="000379E4"/>
    <w:rsid w:val="00040FBF"/>
    <w:rsid w:val="000423C3"/>
    <w:rsid w:val="00044C5B"/>
    <w:rsid w:val="0004768D"/>
    <w:rsid w:val="000500D7"/>
    <w:rsid w:val="0005165A"/>
    <w:rsid w:val="0005341A"/>
    <w:rsid w:val="00053CA5"/>
    <w:rsid w:val="00064874"/>
    <w:rsid w:val="00065230"/>
    <w:rsid w:val="000666EE"/>
    <w:rsid w:val="00066A56"/>
    <w:rsid w:val="00067FD0"/>
    <w:rsid w:val="000700E2"/>
    <w:rsid w:val="00071183"/>
    <w:rsid w:val="00071E14"/>
    <w:rsid w:val="000720F5"/>
    <w:rsid w:val="00075CF5"/>
    <w:rsid w:val="000807B5"/>
    <w:rsid w:val="00081411"/>
    <w:rsid w:val="000824DD"/>
    <w:rsid w:val="0008371E"/>
    <w:rsid w:val="00083902"/>
    <w:rsid w:val="00083F43"/>
    <w:rsid w:val="0008652C"/>
    <w:rsid w:val="00086C80"/>
    <w:rsid w:val="0008772D"/>
    <w:rsid w:val="00092C27"/>
    <w:rsid w:val="00093540"/>
    <w:rsid w:val="000944C7"/>
    <w:rsid w:val="00096548"/>
    <w:rsid w:val="000A00A2"/>
    <w:rsid w:val="000A21C0"/>
    <w:rsid w:val="000A3B4C"/>
    <w:rsid w:val="000A544F"/>
    <w:rsid w:val="000A54A7"/>
    <w:rsid w:val="000A622E"/>
    <w:rsid w:val="000B142D"/>
    <w:rsid w:val="000B29DE"/>
    <w:rsid w:val="000B57CB"/>
    <w:rsid w:val="000C30AD"/>
    <w:rsid w:val="000C4210"/>
    <w:rsid w:val="000C4294"/>
    <w:rsid w:val="000C4F8D"/>
    <w:rsid w:val="000C585C"/>
    <w:rsid w:val="000D413B"/>
    <w:rsid w:val="000D4656"/>
    <w:rsid w:val="000D5790"/>
    <w:rsid w:val="000D5FED"/>
    <w:rsid w:val="000D68FD"/>
    <w:rsid w:val="000D7839"/>
    <w:rsid w:val="000E19C6"/>
    <w:rsid w:val="000E5D22"/>
    <w:rsid w:val="000E71D0"/>
    <w:rsid w:val="000F51F4"/>
    <w:rsid w:val="000F64E0"/>
    <w:rsid w:val="000F7964"/>
    <w:rsid w:val="001013AF"/>
    <w:rsid w:val="001028D6"/>
    <w:rsid w:val="001062D1"/>
    <w:rsid w:val="00111135"/>
    <w:rsid w:val="00113D71"/>
    <w:rsid w:val="001141D8"/>
    <w:rsid w:val="001146DD"/>
    <w:rsid w:val="00114AF8"/>
    <w:rsid w:val="0011559A"/>
    <w:rsid w:val="0012061A"/>
    <w:rsid w:val="00122668"/>
    <w:rsid w:val="00124F62"/>
    <w:rsid w:val="00127AA9"/>
    <w:rsid w:val="00132CB9"/>
    <w:rsid w:val="00132E84"/>
    <w:rsid w:val="00132F07"/>
    <w:rsid w:val="001347BD"/>
    <w:rsid w:val="00135130"/>
    <w:rsid w:val="00135B14"/>
    <w:rsid w:val="001367C1"/>
    <w:rsid w:val="00140B33"/>
    <w:rsid w:val="00140D8B"/>
    <w:rsid w:val="001415B4"/>
    <w:rsid w:val="00144415"/>
    <w:rsid w:val="00150406"/>
    <w:rsid w:val="00150F3F"/>
    <w:rsid w:val="00156C9B"/>
    <w:rsid w:val="00156F9C"/>
    <w:rsid w:val="001601A4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2D8E"/>
    <w:rsid w:val="00182F2E"/>
    <w:rsid w:val="00184E62"/>
    <w:rsid w:val="00185967"/>
    <w:rsid w:val="0018688B"/>
    <w:rsid w:val="00190892"/>
    <w:rsid w:val="00190FB3"/>
    <w:rsid w:val="00192D65"/>
    <w:rsid w:val="0019622C"/>
    <w:rsid w:val="00197F77"/>
    <w:rsid w:val="001A4929"/>
    <w:rsid w:val="001A4BAD"/>
    <w:rsid w:val="001A56D9"/>
    <w:rsid w:val="001A6AFB"/>
    <w:rsid w:val="001B26B2"/>
    <w:rsid w:val="001B5F5F"/>
    <w:rsid w:val="001B5FA0"/>
    <w:rsid w:val="001B7AE3"/>
    <w:rsid w:val="001C0591"/>
    <w:rsid w:val="001C2940"/>
    <w:rsid w:val="001C58F1"/>
    <w:rsid w:val="001C7005"/>
    <w:rsid w:val="001C75FB"/>
    <w:rsid w:val="001C7CDE"/>
    <w:rsid w:val="001C7F4E"/>
    <w:rsid w:val="001D08F3"/>
    <w:rsid w:val="001D25D1"/>
    <w:rsid w:val="001D401E"/>
    <w:rsid w:val="001D7B3D"/>
    <w:rsid w:val="001E06FB"/>
    <w:rsid w:val="001E0E42"/>
    <w:rsid w:val="001E16E8"/>
    <w:rsid w:val="001E1F0E"/>
    <w:rsid w:val="001E35A0"/>
    <w:rsid w:val="001E3C79"/>
    <w:rsid w:val="001E4E45"/>
    <w:rsid w:val="001E56EB"/>
    <w:rsid w:val="001E5B77"/>
    <w:rsid w:val="001E6B3B"/>
    <w:rsid w:val="001F406E"/>
    <w:rsid w:val="001F728F"/>
    <w:rsid w:val="001F7E37"/>
    <w:rsid w:val="00204180"/>
    <w:rsid w:val="00204C52"/>
    <w:rsid w:val="00206001"/>
    <w:rsid w:val="00210CFF"/>
    <w:rsid w:val="002117B9"/>
    <w:rsid w:val="002125FE"/>
    <w:rsid w:val="00212E0F"/>
    <w:rsid w:val="002146EE"/>
    <w:rsid w:val="00217BD6"/>
    <w:rsid w:val="00221052"/>
    <w:rsid w:val="002240B1"/>
    <w:rsid w:val="00236B04"/>
    <w:rsid w:val="002377E4"/>
    <w:rsid w:val="002426EF"/>
    <w:rsid w:val="0024400C"/>
    <w:rsid w:val="00246029"/>
    <w:rsid w:val="00246115"/>
    <w:rsid w:val="00251824"/>
    <w:rsid w:val="00251F00"/>
    <w:rsid w:val="002520C3"/>
    <w:rsid w:val="00252DCA"/>
    <w:rsid w:val="00254581"/>
    <w:rsid w:val="002567A2"/>
    <w:rsid w:val="00257ED3"/>
    <w:rsid w:val="0026004F"/>
    <w:rsid w:val="0026008C"/>
    <w:rsid w:val="00260C7D"/>
    <w:rsid w:val="00261AA0"/>
    <w:rsid w:val="00261FD7"/>
    <w:rsid w:val="002621CA"/>
    <w:rsid w:val="00265F1D"/>
    <w:rsid w:val="0026615D"/>
    <w:rsid w:val="00266677"/>
    <w:rsid w:val="00266AA6"/>
    <w:rsid w:val="002671F9"/>
    <w:rsid w:val="00271C58"/>
    <w:rsid w:val="002730A2"/>
    <w:rsid w:val="00275982"/>
    <w:rsid w:val="00275F1E"/>
    <w:rsid w:val="00275FDC"/>
    <w:rsid w:val="002761F7"/>
    <w:rsid w:val="00277066"/>
    <w:rsid w:val="0028046B"/>
    <w:rsid w:val="00281BFB"/>
    <w:rsid w:val="00281E4A"/>
    <w:rsid w:val="0028223D"/>
    <w:rsid w:val="00282FB7"/>
    <w:rsid w:val="00284A7F"/>
    <w:rsid w:val="00284E92"/>
    <w:rsid w:val="00285282"/>
    <w:rsid w:val="00286DC7"/>
    <w:rsid w:val="00291DA7"/>
    <w:rsid w:val="00293086"/>
    <w:rsid w:val="00293E07"/>
    <w:rsid w:val="00293ED2"/>
    <w:rsid w:val="002958EB"/>
    <w:rsid w:val="0029652C"/>
    <w:rsid w:val="002965AB"/>
    <w:rsid w:val="002967FF"/>
    <w:rsid w:val="002A0A47"/>
    <w:rsid w:val="002A197E"/>
    <w:rsid w:val="002A23B6"/>
    <w:rsid w:val="002A29BF"/>
    <w:rsid w:val="002A37FC"/>
    <w:rsid w:val="002A43B7"/>
    <w:rsid w:val="002B26F4"/>
    <w:rsid w:val="002B381B"/>
    <w:rsid w:val="002B461F"/>
    <w:rsid w:val="002B4716"/>
    <w:rsid w:val="002B4A31"/>
    <w:rsid w:val="002B6B39"/>
    <w:rsid w:val="002C06D5"/>
    <w:rsid w:val="002C1DFF"/>
    <w:rsid w:val="002C2E57"/>
    <w:rsid w:val="002C480C"/>
    <w:rsid w:val="002C5314"/>
    <w:rsid w:val="002C5887"/>
    <w:rsid w:val="002C5916"/>
    <w:rsid w:val="002D0B42"/>
    <w:rsid w:val="002D1705"/>
    <w:rsid w:val="002D4EC6"/>
    <w:rsid w:val="002D5829"/>
    <w:rsid w:val="002D7779"/>
    <w:rsid w:val="002E0BB0"/>
    <w:rsid w:val="002E1729"/>
    <w:rsid w:val="002E2604"/>
    <w:rsid w:val="002E2D30"/>
    <w:rsid w:val="002E6FC9"/>
    <w:rsid w:val="002E7D77"/>
    <w:rsid w:val="002E7F16"/>
    <w:rsid w:val="002F0666"/>
    <w:rsid w:val="002F08E1"/>
    <w:rsid w:val="002F0F48"/>
    <w:rsid w:val="002F1CC1"/>
    <w:rsid w:val="002F447F"/>
    <w:rsid w:val="002F550A"/>
    <w:rsid w:val="00300BC4"/>
    <w:rsid w:val="003018B3"/>
    <w:rsid w:val="00302886"/>
    <w:rsid w:val="0030524A"/>
    <w:rsid w:val="00306BFA"/>
    <w:rsid w:val="00307920"/>
    <w:rsid w:val="00310D2A"/>
    <w:rsid w:val="003154DC"/>
    <w:rsid w:val="003159B9"/>
    <w:rsid w:val="003173B5"/>
    <w:rsid w:val="0032157F"/>
    <w:rsid w:val="003229B4"/>
    <w:rsid w:val="0032389F"/>
    <w:rsid w:val="0034418D"/>
    <w:rsid w:val="00345D04"/>
    <w:rsid w:val="00345D09"/>
    <w:rsid w:val="0035396B"/>
    <w:rsid w:val="0035716A"/>
    <w:rsid w:val="00357711"/>
    <w:rsid w:val="003579EE"/>
    <w:rsid w:val="00364117"/>
    <w:rsid w:val="00371A20"/>
    <w:rsid w:val="00371AFD"/>
    <w:rsid w:val="00373595"/>
    <w:rsid w:val="00374DB8"/>
    <w:rsid w:val="00385CB8"/>
    <w:rsid w:val="0038604F"/>
    <w:rsid w:val="00387155"/>
    <w:rsid w:val="00387CAF"/>
    <w:rsid w:val="003936DF"/>
    <w:rsid w:val="00396710"/>
    <w:rsid w:val="003A24D4"/>
    <w:rsid w:val="003A5BF1"/>
    <w:rsid w:val="003A693E"/>
    <w:rsid w:val="003A70E2"/>
    <w:rsid w:val="003B2048"/>
    <w:rsid w:val="003B34EB"/>
    <w:rsid w:val="003B3560"/>
    <w:rsid w:val="003B3FD6"/>
    <w:rsid w:val="003B78C7"/>
    <w:rsid w:val="003C098F"/>
    <w:rsid w:val="003C0E8F"/>
    <w:rsid w:val="003C1BBA"/>
    <w:rsid w:val="003C1E58"/>
    <w:rsid w:val="003C360C"/>
    <w:rsid w:val="003C403B"/>
    <w:rsid w:val="003C5B29"/>
    <w:rsid w:val="003C791A"/>
    <w:rsid w:val="003D5759"/>
    <w:rsid w:val="003D7A6C"/>
    <w:rsid w:val="003E003A"/>
    <w:rsid w:val="003E0201"/>
    <w:rsid w:val="003E3F99"/>
    <w:rsid w:val="003E406F"/>
    <w:rsid w:val="003E56B1"/>
    <w:rsid w:val="003F4AAD"/>
    <w:rsid w:val="003F60EA"/>
    <w:rsid w:val="004001BC"/>
    <w:rsid w:val="004017E5"/>
    <w:rsid w:val="00403626"/>
    <w:rsid w:val="00405CF4"/>
    <w:rsid w:val="004102A9"/>
    <w:rsid w:val="00410D62"/>
    <w:rsid w:val="004112C0"/>
    <w:rsid w:val="00416432"/>
    <w:rsid w:val="00417BF7"/>
    <w:rsid w:val="0042183C"/>
    <w:rsid w:val="004218A2"/>
    <w:rsid w:val="0042255F"/>
    <w:rsid w:val="00430F94"/>
    <w:rsid w:val="004329C4"/>
    <w:rsid w:val="00432ACA"/>
    <w:rsid w:val="00433DA4"/>
    <w:rsid w:val="004375A1"/>
    <w:rsid w:val="0043767F"/>
    <w:rsid w:val="00437AC9"/>
    <w:rsid w:val="00440D65"/>
    <w:rsid w:val="00441803"/>
    <w:rsid w:val="00443EFE"/>
    <w:rsid w:val="00445944"/>
    <w:rsid w:val="00450389"/>
    <w:rsid w:val="00451C25"/>
    <w:rsid w:val="00452FD6"/>
    <w:rsid w:val="00454311"/>
    <w:rsid w:val="00457545"/>
    <w:rsid w:val="00461B2F"/>
    <w:rsid w:val="00462B62"/>
    <w:rsid w:val="00463964"/>
    <w:rsid w:val="00464434"/>
    <w:rsid w:val="00464B72"/>
    <w:rsid w:val="00466300"/>
    <w:rsid w:val="00466ABC"/>
    <w:rsid w:val="004678CA"/>
    <w:rsid w:val="00471A22"/>
    <w:rsid w:val="00486394"/>
    <w:rsid w:val="004900F3"/>
    <w:rsid w:val="00490581"/>
    <w:rsid w:val="00491EA1"/>
    <w:rsid w:val="0049367E"/>
    <w:rsid w:val="00493921"/>
    <w:rsid w:val="0049570E"/>
    <w:rsid w:val="0049572B"/>
    <w:rsid w:val="0049680C"/>
    <w:rsid w:val="00497908"/>
    <w:rsid w:val="00497F07"/>
    <w:rsid w:val="004A01E8"/>
    <w:rsid w:val="004A5B66"/>
    <w:rsid w:val="004B0979"/>
    <w:rsid w:val="004B2804"/>
    <w:rsid w:val="004B3D1A"/>
    <w:rsid w:val="004B5A43"/>
    <w:rsid w:val="004B6DD9"/>
    <w:rsid w:val="004B7589"/>
    <w:rsid w:val="004C2C37"/>
    <w:rsid w:val="004C2E6A"/>
    <w:rsid w:val="004C4229"/>
    <w:rsid w:val="004D07CC"/>
    <w:rsid w:val="004D14A3"/>
    <w:rsid w:val="004D16D5"/>
    <w:rsid w:val="004D427C"/>
    <w:rsid w:val="004D62D2"/>
    <w:rsid w:val="004D68AD"/>
    <w:rsid w:val="004D6A3C"/>
    <w:rsid w:val="004D7C3B"/>
    <w:rsid w:val="004E0237"/>
    <w:rsid w:val="004E062E"/>
    <w:rsid w:val="004E0A16"/>
    <w:rsid w:val="004E46E9"/>
    <w:rsid w:val="004E5750"/>
    <w:rsid w:val="004E5A7E"/>
    <w:rsid w:val="004E7185"/>
    <w:rsid w:val="004F3E34"/>
    <w:rsid w:val="004F64D6"/>
    <w:rsid w:val="00502E72"/>
    <w:rsid w:val="0050412F"/>
    <w:rsid w:val="00512047"/>
    <w:rsid w:val="00512ADF"/>
    <w:rsid w:val="0051329D"/>
    <w:rsid w:val="005133A6"/>
    <w:rsid w:val="005136A0"/>
    <w:rsid w:val="005142D4"/>
    <w:rsid w:val="0051644B"/>
    <w:rsid w:val="00517B59"/>
    <w:rsid w:val="00517CC2"/>
    <w:rsid w:val="00520076"/>
    <w:rsid w:val="00522509"/>
    <w:rsid w:val="005229AB"/>
    <w:rsid w:val="00531CF4"/>
    <w:rsid w:val="00531D93"/>
    <w:rsid w:val="005323BE"/>
    <w:rsid w:val="005323FD"/>
    <w:rsid w:val="005329D4"/>
    <w:rsid w:val="005352C0"/>
    <w:rsid w:val="005369D7"/>
    <w:rsid w:val="00536A33"/>
    <w:rsid w:val="00537747"/>
    <w:rsid w:val="00541459"/>
    <w:rsid w:val="00541512"/>
    <w:rsid w:val="00541D5B"/>
    <w:rsid w:val="00544264"/>
    <w:rsid w:val="00552477"/>
    <w:rsid w:val="00552FCF"/>
    <w:rsid w:val="00553AB6"/>
    <w:rsid w:val="0055434C"/>
    <w:rsid w:val="005551A5"/>
    <w:rsid w:val="00561829"/>
    <w:rsid w:val="005618EF"/>
    <w:rsid w:val="005631C3"/>
    <w:rsid w:val="005636F3"/>
    <w:rsid w:val="0056426D"/>
    <w:rsid w:val="005650F2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2F87"/>
    <w:rsid w:val="005B4D77"/>
    <w:rsid w:val="005B7FD9"/>
    <w:rsid w:val="005C01D2"/>
    <w:rsid w:val="005C2765"/>
    <w:rsid w:val="005C3C3C"/>
    <w:rsid w:val="005C4360"/>
    <w:rsid w:val="005C6332"/>
    <w:rsid w:val="005C6C24"/>
    <w:rsid w:val="005C72CD"/>
    <w:rsid w:val="005C7D27"/>
    <w:rsid w:val="005D02A0"/>
    <w:rsid w:val="005D05E5"/>
    <w:rsid w:val="005D06CC"/>
    <w:rsid w:val="005D3204"/>
    <w:rsid w:val="005D4DD1"/>
    <w:rsid w:val="005D5A9A"/>
    <w:rsid w:val="005D5EEB"/>
    <w:rsid w:val="005E0A93"/>
    <w:rsid w:val="005E1903"/>
    <w:rsid w:val="005E2C9B"/>
    <w:rsid w:val="005E2EC7"/>
    <w:rsid w:val="005E3107"/>
    <w:rsid w:val="005E36C1"/>
    <w:rsid w:val="005E4315"/>
    <w:rsid w:val="005E49BA"/>
    <w:rsid w:val="005E565F"/>
    <w:rsid w:val="005F0297"/>
    <w:rsid w:val="005F629F"/>
    <w:rsid w:val="005F6BFB"/>
    <w:rsid w:val="005F709A"/>
    <w:rsid w:val="00601B86"/>
    <w:rsid w:val="006020AF"/>
    <w:rsid w:val="00603782"/>
    <w:rsid w:val="00606546"/>
    <w:rsid w:val="00606E7D"/>
    <w:rsid w:val="00606F29"/>
    <w:rsid w:val="00607408"/>
    <w:rsid w:val="0061130C"/>
    <w:rsid w:val="00612A79"/>
    <w:rsid w:val="00616299"/>
    <w:rsid w:val="00617929"/>
    <w:rsid w:val="006214FD"/>
    <w:rsid w:val="00624E73"/>
    <w:rsid w:val="00625117"/>
    <w:rsid w:val="00625814"/>
    <w:rsid w:val="00625913"/>
    <w:rsid w:val="00625CF8"/>
    <w:rsid w:val="00625DBC"/>
    <w:rsid w:val="00626706"/>
    <w:rsid w:val="00627867"/>
    <w:rsid w:val="00630A67"/>
    <w:rsid w:val="00634853"/>
    <w:rsid w:val="00634A82"/>
    <w:rsid w:val="00635784"/>
    <w:rsid w:val="006367C0"/>
    <w:rsid w:val="00647BF0"/>
    <w:rsid w:val="00654588"/>
    <w:rsid w:val="00655594"/>
    <w:rsid w:val="00656D25"/>
    <w:rsid w:val="00657885"/>
    <w:rsid w:val="00661892"/>
    <w:rsid w:val="00662194"/>
    <w:rsid w:val="00662F3C"/>
    <w:rsid w:val="00670CB1"/>
    <w:rsid w:val="006714A0"/>
    <w:rsid w:val="006730EF"/>
    <w:rsid w:val="00674476"/>
    <w:rsid w:val="0067480E"/>
    <w:rsid w:val="00674AAF"/>
    <w:rsid w:val="00675B1B"/>
    <w:rsid w:val="0067607F"/>
    <w:rsid w:val="00677CFA"/>
    <w:rsid w:val="00680087"/>
    <w:rsid w:val="006807CC"/>
    <w:rsid w:val="00681940"/>
    <w:rsid w:val="00682152"/>
    <w:rsid w:val="00682F1F"/>
    <w:rsid w:val="00683345"/>
    <w:rsid w:val="0068616F"/>
    <w:rsid w:val="00686CF4"/>
    <w:rsid w:val="00686E1A"/>
    <w:rsid w:val="00686FDB"/>
    <w:rsid w:val="0069258A"/>
    <w:rsid w:val="00693521"/>
    <w:rsid w:val="00695E5E"/>
    <w:rsid w:val="006A32B9"/>
    <w:rsid w:val="006A3351"/>
    <w:rsid w:val="006A4446"/>
    <w:rsid w:val="006B114D"/>
    <w:rsid w:val="006B2CEB"/>
    <w:rsid w:val="006B2FE4"/>
    <w:rsid w:val="006B3391"/>
    <w:rsid w:val="006B635B"/>
    <w:rsid w:val="006B6EBE"/>
    <w:rsid w:val="006C3D4A"/>
    <w:rsid w:val="006C449A"/>
    <w:rsid w:val="006C62BD"/>
    <w:rsid w:val="006D189F"/>
    <w:rsid w:val="006D1A87"/>
    <w:rsid w:val="006D1EF1"/>
    <w:rsid w:val="006D54C5"/>
    <w:rsid w:val="006D68E0"/>
    <w:rsid w:val="006E2861"/>
    <w:rsid w:val="006E2DCD"/>
    <w:rsid w:val="006E5816"/>
    <w:rsid w:val="006F06A0"/>
    <w:rsid w:val="006F09A0"/>
    <w:rsid w:val="006F65AA"/>
    <w:rsid w:val="007014E6"/>
    <w:rsid w:val="00703171"/>
    <w:rsid w:val="00704AB6"/>
    <w:rsid w:val="00704CE2"/>
    <w:rsid w:val="00706617"/>
    <w:rsid w:val="00706A7F"/>
    <w:rsid w:val="007108FD"/>
    <w:rsid w:val="00710F25"/>
    <w:rsid w:val="00711D86"/>
    <w:rsid w:val="00712689"/>
    <w:rsid w:val="007145FE"/>
    <w:rsid w:val="007160AD"/>
    <w:rsid w:val="00717324"/>
    <w:rsid w:val="00717C28"/>
    <w:rsid w:val="00721284"/>
    <w:rsid w:val="00725A6A"/>
    <w:rsid w:val="00725E13"/>
    <w:rsid w:val="007321B8"/>
    <w:rsid w:val="007323B5"/>
    <w:rsid w:val="007326D4"/>
    <w:rsid w:val="00736585"/>
    <w:rsid w:val="00742036"/>
    <w:rsid w:val="007426B0"/>
    <w:rsid w:val="007434AC"/>
    <w:rsid w:val="00743878"/>
    <w:rsid w:val="00747126"/>
    <w:rsid w:val="0075095C"/>
    <w:rsid w:val="00751E88"/>
    <w:rsid w:val="00753387"/>
    <w:rsid w:val="007548B6"/>
    <w:rsid w:val="00754C88"/>
    <w:rsid w:val="007572C4"/>
    <w:rsid w:val="00757A3F"/>
    <w:rsid w:val="0076279C"/>
    <w:rsid w:val="007640FE"/>
    <w:rsid w:val="00765472"/>
    <w:rsid w:val="00765998"/>
    <w:rsid w:val="00770B4C"/>
    <w:rsid w:val="00771251"/>
    <w:rsid w:val="007726CC"/>
    <w:rsid w:val="00773AAB"/>
    <w:rsid w:val="00775DEF"/>
    <w:rsid w:val="00775E16"/>
    <w:rsid w:val="00781238"/>
    <w:rsid w:val="00781D70"/>
    <w:rsid w:val="00782A9B"/>
    <w:rsid w:val="00784CCF"/>
    <w:rsid w:val="00784D37"/>
    <w:rsid w:val="007853F6"/>
    <w:rsid w:val="00785D12"/>
    <w:rsid w:val="00787564"/>
    <w:rsid w:val="0079013C"/>
    <w:rsid w:val="00790531"/>
    <w:rsid w:val="00790E9B"/>
    <w:rsid w:val="0079250E"/>
    <w:rsid w:val="00792C9A"/>
    <w:rsid w:val="00792ECE"/>
    <w:rsid w:val="00792F37"/>
    <w:rsid w:val="00794123"/>
    <w:rsid w:val="007947D1"/>
    <w:rsid w:val="00795C09"/>
    <w:rsid w:val="00797E56"/>
    <w:rsid w:val="007A223A"/>
    <w:rsid w:val="007A354E"/>
    <w:rsid w:val="007A6472"/>
    <w:rsid w:val="007A6E6F"/>
    <w:rsid w:val="007B027D"/>
    <w:rsid w:val="007B0283"/>
    <w:rsid w:val="007B1B45"/>
    <w:rsid w:val="007B20DD"/>
    <w:rsid w:val="007B2567"/>
    <w:rsid w:val="007B2741"/>
    <w:rsid w:val="007B54E0"/>
    <w:rsid w:val="007B6E2A"/>
    <w:rsid w:val="007B7606"/>
    <w:rsid w:val="007C4EDC"/>
    <w:rsid w:val="007C69D0"/>
    <w:rsid w:val="007D2192"/>
    <w:rsid w:val="007D23C5"/>
    <w:rsid w:val="007D4408"/>
    <w:rsid w:val="007D74D5"/>
    <w:rsid w:val="007E04B4"/>
    <w:rsid w:val="007E0A4B"/>
    <w:rsid w:val="007E6493"/>
    <w:rsid w:val="007E68E5"/>
    <w:rsid w:val="007E6CDD"/>
    <w:rsid w:val="007F13AB"/>
    <w:rsid w:val="007F2FE9"/>
    <w:rsid w:val="007F5890"/>
    <w:rsid w:val="007F7A36"/>
    <w:rsid w:val="007F7F38"/>
    <w:rsid w:val="008014DA"/>
    <w:rsid w:val="00802ECA"/>
    <w:rsid w:val="00806394"/>
    <w:rsid w:val="0081370C"/>
    <w:rsid w:val="00816397"/>
    <w:rsid w:val="0081778B"/>
    <w:rsid w:val="0082036C"/>
    <w:rsid w:val="00821380"/>
    <w:rsid w:val="008215B5"/>
    <w:rsid w:val="00824654"/>
    <w:rsid w:val="00824D18"/>
    <w:rsid w:val="0083179A"/>
    <w:rsid w:val="00831B7D"/>
    <w:rsid w:val="00831D11"/>
    <w:rsid w:val="00842064"/>
    <w:rsid w:val="00842687"/>
    <w:rsid w:val="0084290C"/>
    <w:rsid w:val="00843917"/>
    <w:rsid w:val="00843BB8"/>
    <w:rsid w:val="00844180"/>
    <w:rsid w:val="00845628"/>
    <w:rsid w:val="008461E8"/>
    <w:rsid w:val="00851DD8"/>
    <w:rsid w:val="0085202E"/>
    <w:rsid w:val="00856BE4"/>
    <w:rsid w:val="00863E32"/>
    <w:rsid w:val="00865458"/>
    <w:rsid w:val="00866DDD"/>
    <w:rsid w:val="008716DD"/>
    <w:rsid w:val="00871766"/>
    <w:rsid w:val="00872092"/>
    <w:rsid w:val="00872873"/>
    <w:rsid w:val="00874BB3"/>
    <w:rsid w:val="008753CF"/>
    <w:rsid w:val="008772B7"/>
    <w:rsid w:val="00880E20"/>
    <w:rsid w:val="00881769"/>
    <w:rsid w:val="00882D54"/>
    <w:rsid w:val="00882E1D"/>
    <w:rsid w:val="008848B1"/>
    <w:rsid w:val="00884D78"/>
    <w:rsid w:val="00885E0C"/>
    <w:rsid w:val="00892DCD"/>
    <w:rsid w:val="00895739"/>
    <w:rsid w:val="00895809"/>
    <w:rsid w:val="00895F80"/>
    <w:rsid w:val="008972B1"/>
    <w:rsid w:val="008974F3"/>
    <w:rsid w:val="008A26A0"/>
    <w:rsid w:val="008A3A39"/>
    <w:rsid w:val="008A3BE7"/>
    <w:rsid w:val="008A3F07"/>
    <w:rsid w:val="008B26B4"/>
    <w:rsid w:val="008B352B"/>
    <w:rsid w:val="008B4539"/>
    <w:rsid w:val="008C14E5"/>
    <w:rsid w:val="008C390B"/>
    <w:rsid w:val="008C42CD"/>
    <w:rsid w:val="008C4F0F"/>
    <w:rsid w:val="008C5675"/>
    <w:rsid w:val="008C6651"/>
    <w:rsid w:val="008D009F"/>
    <w:rsid w:val="008D1F96"/>
    <w:rsid w:val="008D4FB5"/>
    <w:rsid w:val="008D5FE1"/>
    <w:rsid w:val="008E34FB"/>
    <w:rsid w:val="008E5B6C"/>
    <w:rsid w:val="008F01FC"/>
    <w:rsid w:val="008F034B"/>
    <w:rsid w:val="008F0AAC"/>
    <w:rsid w:val="008F1B4D"/>
    <w:rsid w:val="008F2C02"/>
    <w:rsid w:val="008F2CFF"/>
    <w:rsid w:val="008F50E0"/>
    <w:rsid w:val="008F66CC"/>
    <w:rsid w:val="008F7B4E"/>
    <w:rsid w:val="008F7EA7"/>
    <w:rsid w:val="00901841"/>
    <w:rsid w:val="00904E04"/>
    <w:rsid w:val="0090558E"/>
    <w:rsid w:val="00905A21"/>
    <w:rsid w:val="00907DC6"/>
    <w:rsid w:val="00911FF4"/>
    <w:rsid w:val="00912347"/>
    <w:rsid w:val="00914465"/>
    <w:rsid w:val="00914618"/>
    <w:rsid w:val="00915181"/>
    <w:rsid w:val="0091568D"/>
    <w:rsid w:val="00915FA0"/>
    <w:rsid w:val="0091784B"/>
    <w:rsid w:val="00920635"/>
    <w:rsid w:val="00920767"/>
    <w:rsid w:val="00920BE7"/>
    <w:rsid w:val="00921FC7"/>
    <w:rsid w:val="00927365"/>
    <w:rsid w:val="009322DC"/>
    <w:rsid w:val="009342D0"/>
    <w:rsid w:val="00935219"/>
    <w:rsid w:val="00935291"/>
    <w:rsid w:val="00941B66"/>
    <w:rsid w:val="00941EB9"/>
    <w:rsid w:val="00943336"/>
    <w:rsid w:val="00945854"/>
    <w:rsid w:val="0094629D"/>
    <w:rsid w:val="00946C47"/>
    <w:rsid w:val="009522F7"/>
    <w:rsid w:val="00953475"/>
    <w:rsid w:val="009562BD"/>
    <w:rsid w:val="00956547"/>
    <w:rsid w:val="00957D0D"/>
    <w:rsid w:val="00962A05"/>
    <w:rsid w:val="00962E5C"/>
    <w:rsid w:val="00965609"/>
    <w:rsid w:val="0096608A"/>
    <w:rsid w:val="0096799A"/>
    <w:rsid w:val="00967B91"/>
    <w:rsid w:val="00971AF5"/>
    <w:rsid w:val="0097409A"/>
    <w:rsid w:val="00976C95"/>
    <w:rsid w:val="00976E15"/>
    <w:rsid w:val="00977641"/>
    <w:rsid w:val="00977AE0"/>
    <w:rsid w:val="0098288E"/>
    <w:rsid w:val="00983E80"/>
    <w:rsid w:val="00984736"/>
    <w:rsid w:val="009854BC"/>
    <w:rsid w:val="00987E9D"/>
    <w:rsid w:val="009902A1"/>
    <w:rsid w:val="00992165"/>
    <w:rsid w:val="00993D91"/>
    <w:rsid w:val="00994AF6"/>
    <w:rsid w:val="009956EC"/>
    <w:rsid w:val="00996440"/>
    <w:rsid w:val="00996702"/>
    <w:rsid w:val="00997139"/>
    <w:rsid w:val="009A1D96"/>
    <w:rsid w:val="009A57CA"/>
    <w:rsid w:val="009A7442"/>
    <w:rsid w:val="009B0753"/>
    <w:rsid w:val="009B11D8"/>
    <w:rsid w:val="009B3715"/>
    <w:rsid w:val="009B7F16"/>
    <w:rsid w:val="009C075D"/>
    <w:rsid w:val="009C5621"/>
    <w:rsid w:val="009C7E68"/>
    <w:rsid w:val="009C7F14"/>
    <w:rsid w:val="009D025D"/>
    <w:rsid w:val="009D233E"/>
    <w:rsid w:val="009D31EC"/>
    <w:rsid w:val="009D56B4"/>
    <w:rsid w:val="009D7467"/>
    <w:rsid w:val="009E1A51"/>
    <w:rsid w:val="009E408E"/>
    <w:rsid w:val="009E4572"/>
    <w:rsid w:val="009E7575"/>
    <w:rsid w:val="009F15E7"/>
    <w:rsid w:val="009F196F"/>
    <w:rsid w:val="009F274E"/>
    <w:rsid w:val="009F35CD"/>
    <w:rsid w:val="00A06149"/>
    <w:rsid w:val="00A0629B"/>
    <w:rsid w:val="00A10255"/>
    <w:rsid w:val="00A12104"/>
    <w:rsid w:val="00A12517"/>
    <w:rsid w:val="00A12551"/>
    <w:rsid w:val="00A12BAB"/>
    <w:rsid w:val="00A13F0B"/>
    <w:rsid w:val="00A1678D"/>
    <w:rsid w:val="00A17001"/>
    <w:rsid w:val="00A176AA"/>
    <w:rsid w:val="00A17D48"/>
    <w:rsid w:val="00A201A3"/>
    <w:rsid w:val="00A23608"/>
    <w:rsid w:val="00A2388F"/>
    <w:rsid w:val="00A2466A"/>
    <w:rsid w:val="00A24875"/>
    <w:rsid w:val="00A27354"/>
    <w:rsid w:val="00A27372"/>
    <w:rsid w:val="00A31C14"/>
    <w:rsid w:val="00A31F0C"/>
    <w:rsid w:val="00A33E4A"/>
    <w:rsid w:val="00A344ED"/>
    <w:rsid w:val="00A37A74"/>
    <w:rsid w:val="00A4138E"/>
    <w:rsid w:val="00A425AB"/>
    <w:rsid w:val="00A4481B"/>
    <w:rsid w:val="00A44A37"/>
    <w:rsid w:val="00A46E16"/>
    <w:rsid w:val="00A47FCD"/>
    <w:rsid w:val="00A514A1"/>
    <w:rsid w:val="00A548C5"/>
    <w:rsid w:val="00A54E85"/>
    <w:rsid w:val="00A54FA6"/>
    <w:rsid w:val="00A55BAF"/>
    <w:rsid w:val="00A55CC0"/>
    <w:rsid w:val="00A57F16"/>
    <w:rsid w:val="00A61E9D"/>
    <w:rsid w:val="00A63543"/>
    <w:rsid w:val="00A63D97"/>
    <w:rsid w:val="00A66644"/>
    <w:rsid w:val="00A70205"/>
    <w:rsid w:val="00A714B6"/>
    <w:rsid w:val="00A73BB9"/>
    <w:rsid w:val="00A73EF5"/>
    <w:rsid w:val="00A7471B"/>
    <w:rsid w:val="00A74CD5"/>
    <w:rsid w:val="00A74D49"/>
    <w:rsid w:val="00A758B5"/>
    <w:rsid w:val="00A77A0A"/>
    <w:rsid w:val="00A840D5"/>
    <w:rsid w:val="00A91E08"/>
    <w:rsid w:val="00A93515"/>
    <w:rsid w:val="00A959F1"/>
    <w:rsid w:val="00A9656B"/>
    <w:rsid w:val="00A97129"/>
    <w:rsid w:val="00A973E0"/>
    <w:rsid w:val="00A97D53"/>
    <w:rsid w:val="00AA15B2"/>
    <w:rsid w:val="00AA2003"/>
    <w:rsid w:val="00AA3E59"/>
    <w:rsid w:val="00AA671F"/>
    <w:rsid w:val="00AA6739"/>
    <w:rsid w:val="00AA69D2"/>
    <w:rsid w:val="00AB1473"/>
    <w:rsid w:val="00AB2D1F"/>
    <w:rsid w:val="00AB6114"/>
    <w:rsid w:val="00AB6253"/>
    <w:rsid w:val="00AB6698"/>
    <w:rsid w:val="00AB6E9C"/>
    <w:rsid w:val="00AB7DB1"/>
    <w:rsid w:val="00AC2A87"/>
    <w:rsid w:val="00AC3A00"/>
    <w:rsid w:val="00AC5A99"/>
    <w:rsid w:val="00AC5B79"/>
    <w:rsid w:val="00AC62A5"/>
    <w:rsid w:val="00AC6858"/>
    <w:rsid w:val="00AC6DF8"/>
    <w:rsid w:val="00AD08F0"/>
    <w:rsid w:val="00AD1D8B"/>
    <w:rsid w:val="00AD2B0B"/>
    <w:rsid w:val="00AD30C6"/>
    <w:rsid w:val="00AD3963"/>
    <w:rsid w:val="00AD4DD9"/>
    <w:rsid w:val="00AE0A2C"/>
    <w:rsid w:val="00AE5C04"/>
    <w:rsid w:val="00AF07B6"/>
    <w:rsid w:val="00AF11EE"/>
    <w:rsid w:val="00AF2180"/>
    <w:rsid w:val="00AF254B"/>
    <w:rsid w:val="00AF3577"/>
    <w:rsid w:val="00AF6B27"/>
    <w:rsid w:val="00AF7FAE"/>
    <w:rsid w:val="00B01460"/>
    <w:rsid w:val="00B0179B"/>
    <w:rsid w:val="00B022DB"/>
    <w:rsid w:val="00B02DB5"/>
    <w:rsid w:val="00B04B1D"/>
    <w:rsid w:val="00B077A8"/>
    <w:rsid w:val="00B12037"/>
    <w:rsid w:val="00B133BB"/>
    <w:rsid w:val="00B1434B"/>
    <w:rsid w:val="00B14FED"/>
    <w:rsid w:val="00B15D9B"/>
    <w:rsid w:val="00B15EE3"/>
    <w:rsid w:val="00B2047D"/>
    <w:rsid w:val="00B22689"/>
    <w:rsid w:val="00B26C07"/>
    <w:rsid w:val="00B27B61"/>
    <w:rsid w:val="00B320B3"/>
    <w:rsid w:val="00B3629E"/>
    <w:rsid w:val="00B37EEB"/>
    <w:rsid w:val="00B40989"/>
    <w:rsid w:val="00B42C0A"/>
    <w:rsid w:val="00B44499"/>
    <w:rsid w:val="00B4722F"/>
    <w:rsid w:val="00B50468"/>
    <w:rsid w:val="00B51C71"/>
    <w:rsid w:val="00B53CF6"/>
    <w:rsid w:val="00B57D96"/>
    <w:rsid w:val="00B60C5B"/>
    <w:rsid w:val="00B60EBB"/>
    <w:rsid w:val="00B62B94"/>
    <w:rsid w:val="00B62C50"/>
    <w:rsid w:val="00B6594B"/>
    <w:rsid w:val="00B6706E"/>
    <w:rsid w:val="00B70FF6"/>
    <w:rsid w:val="00B71318"/>
    <w:rsid w:val="00B77D91"/>
    <w:rsid w:val="00B807B3"/>
    <w:rsid w:val="00B807FC"/>
    <w:rsid w:val="00B812E5"/>
    <w:rsid w:val="00B834FC"/>
    <w:rsid w:val="00B83758"/>
    <w:rsid w:val="00B85996"/>
    <w:rsid w:val="00B86C86"/>
    <w:rsid w:val="00B91170"/>
    <w:rsid w:val="00B930BE"/>
    <w:rsid w:val="00B937AD"/>
    <w:rsid w:val="00B94A85"/>
    <w:rsid w:val="00B95B93"/>
    <w:rsid w:val="00B969CE"/>
    <w:rsid w:val="00B970B4"/>
    <w:rsid w:val="00BA4D59"/>
    <w:rsid w:val="00BB5E4C"/>
    <w:rsid w:val="00BC1E2F"/>
    <w:rsid w:val="00BC2537"/>
    <w:rsid w:val="00BC40B8"/>
    <w:rsid w:val="00BD1331"/>
    <w:rsid w:val="00BD14D7"/>
    <w:rsid w:val="00BD2944"/>
    <w:rsid w:val="00BD306F"/>
    <w:rsid w:val="00BD36A0"/>
    <w:rsid w:val="00BD3E2C"/>
    <w:rsid w:val="00BD4E8A"/>
    <w:rsid w:val="00BE0588"/>
    <w:rsid w:val="00BE1150"/>
    <w:rsid w:val="00BE1BE1"/>
    <w:rsid w:val="00BE2833"/>
    <w:rsid w:val="00BE3533"/>
    <w:rsid w:val="00BE4E4B"/>
    <w:rsid w:val="00BE65D4"/>
    <w:rsid w:val="00BE7960"/>
    <w:rsid w:val="00BE7EEB"/>
    <w:rsid w:val="00BF1FC1"/>
    <w:rsid w:val="00BF4150"/>
    <w:rsid w:val="00BF6DA8"/>
    <w:rsid w:val="00C01F9F"/>
    <w:rsid w:val="00C0292B"/>
    <w:rsid w:val="00C02E1C"/>
    <w:rsid w:val="00C04D76"/>
    <w:rsid w:val="00C04FA6"/>
    <w:rsid w:val="00C05029"/>
    <w:rsid w:val="00C0604F"/>
    <w:rsid w:val="00C06706"/>
    <w:rsid w:val="00C073DC"/>
    <w:rsid w:val="00C11029"/>
    <w:rsid w:val="00C11181"/>
    <w:rsid w:val="00C12505"/>
    <w:rsid w:val="00C166DD"/>
    <w:rsid w:val="00C21975"/>
    <w:rsid w:val="00C22606"/>
    <w:rsid w:val="00C238C5"/>
    <w:rsid w:val="00C247D4"/>
    <w:rsid w:val="00C25A58"/>
    <w:rsid w:val="00C3026A"/>
    <w:rsid w:val="00C303DB"/>
    <w:rsid w:val="00C308E0"/>
    <w:rsid w:val="00C31642"/>
    <w:rsid w:val="00C33DDD"/>
    <w:rsid w:val="00C35C45"/>
    <w:rsid w:val="00C40209"/>
    <w:rsid w:val="00C41280"/>
    <w:rsid w:val="00C44C77"/>
    <w:rsid w:val="00C45FBA"/>
    <w:rsid w:val="00C473D1"/>
    <w:rsid w:val="00C50CBE"/>
    <w:rsid w:val="00C51ECC"/>
    <w:rsid w:val="00C54EBE"/>
    <w:rsid w:val="00C566FF"/>
    <w:rsid w:val="00C57B80"/>
    <w:rsid w:val="00C61185"/>
    <w:rsid w:val="00C64292"/>
    <w:rsid w:val="00C679F5"/>
    <w:rsid w:val="00C75D9E"/>
    <w:rsid w:val="00C76088"/>
    <w:rsid w:val="00C80B91"/>
    <w:rsid w:val="00C8288B"/>
    <w:rsid w:val="00C84B50"/>
    <w:rsid w:val="00C85469"/>
    <w:rsid w:val="00C859F9"/>
    <w:rsid w:val="00C86FFA"/>
    <w:rsid w:val="00C8770B"/>
    <w:rsid w:val="00C879E4"/>
    <w:rsid w:val="00C92A7E"/>
    <w:rsid w:val="00C933B4"/>
    <w:rsid w:val="00C93DDE"/>
    <w:rsid w:val="00C9693A"/>
    <w:rsid w:val="00C97825"/>
    <w:rsid w:val="00C979E0"/>
    <w:rsid w:val="00CA19DF"/>
    <w:rsid w:val="00CA4389"/>
    <w:rsid w:val="00CA6D0A"/>
    <w:rsid w:val="00CB26F0"/>
    <w:rsid w:val="00CB2FB2"/>
    <w:rsid w:val="00CB3CE8"/>
    <w:rsid w:val="00CB7946"/>
    <w:rsid w:val="00CB7A18"/>
    <w:rsid w:val="00CC13BB"/>
    <w:rsid w:val="00CC60E7"/>
    <w:rsid w:val="00CC613D"/>
    <w:rsid w:val="00CC7487"/>
    <w:rsid w:val="00CD1D6B"/>
    <w:rsid w:val="00CD34FC"/>
    <w:rsid w:val="00CD4A7A"/>
    <w:rsid w:val="00CD706B"/>
    <w:rsid w:val="00CE1210"/>
    <w:rsid w:val="00CE1EF8"/>
    <w:rsid w:val="00CE213B"/>
    <w:rsid w:val="00CE5F49"/>
    <w:rsid w:val="00CE7CB7"/>
    <w:rsid w:val="00CF0AA6"/>
    <w:rsid w:val="00CF1382"/>
    <w:rsid w:val="00CF59BB"/>
    <w:rsid w:val="00CF5A2C"/>
    <w:rsid w:val="00CF6633"/>
    <w:rsid w:val="00CF6A7C"/>
    <w:rsid w:val="00D02D3C"/>
    <w:rsid w:val="00D03481"/>
    <w:rsid w:val="00D03E2A"/>
    <w:rsid w:val="00D0573C"/>
    <w:rsid w:val="00D076D0"/>
    <w:rsid w:val="00D10607"/>
    <w:rsid w:val="00D134B7"/>
    <w:rsid w:val="00D13894"/>
    <w:rsid w:val="00D20FAA"/>
    <w:rsid w:val="00D21D09"/>
    <w:rsid w:val="00D22AB9"/>
    <w:rsid w:val="00D30573"/>
    <w:rsid w:val="00D318C2"/>
    <w:rsid w:val="00D34BAD"/>
    <w:rsid w:val="00D36A8C"/>
    <w:rsid w:val="00D41F78"/>
    <w:rsid w:val="00D428F4"/>
    <w:rsid w:val="00D43181"/>
    <w:rsid w:val="00D43DF0"/>
    <w:rsid w:val="00D44B81"/>
    <w:rsid w:val="00D44D7F"/>
    <w:rsid w:val="00D4536C"/>
    <w:rsid w:val="00D45C41"/>
    <w:rsid w:val="00D461DE"/>
    <w:rsid w:val="00D4650F"/>
    <w:rsid w:val="00D50DE5"/>
    <w:rsid w:val="00D54B27"/>
    <w:rsid w:val="00D54CC0"/>
    <w:rsid w:val="00D60976"/>
    <w:rsid w:val="00D63173"/>
    <w:rsid w:val="00D63DA8"/>
    <w:rsid w:val="00D726E8"/>
    <w:rsid w:val="00D73A86"/>
    <w:rsid w:val="00D74B1F"/>
    <w:rsid w:val="00D74BA3"/>
    <w:rsid w:val="00D804D2"/>
    <w:rsid w:val="00D81E2F"/>
    <w:rsid w:val="00D83060"/>
    <w:rsid w:val="00D84A2D"/>
    <w:rsid w:val="00D87426"/>
    <w:rsid w:val="00D8749B"/>
    <w:rsid w:val="00D922AA"/>
    <w:rsid w:val="00DA1917"/>
    <w:rsid w:val="00DA4CF2"/>
    <w:rsid w:val="00DA73FE"/>
    <w:rsid w:val="00DB11D4"/>
    <w:rsid w:val="00DB227F"/>
    <w:rsid w:val="00DB61A6"/>
    <w:rsid w:val="00DC02B9"/>
    <w:rsid w:val="00DC1350"/>
    <w:rsid w:val="00DC3AC1"/>
    <w:rsid w:val="00DC4D4D"/>
    <w:rsid w:val="00DC5105"/>
    <w:rsid w:val="00DC6D3A"/>
    <w:rsid w:val="00DC79A4"/>
    <w:rsid w:val="00DD20D1"/>
    <w:rsid w:val="00DD51F8"/>
    <w:rsid w:val="00DD64C5"/>
    <w:rsid w:val="00DE14E2"/>
    <w:rsid w:val="00DE14F9"/>
    <w:rsid w:val="00DE15AC"/>
    <w:rsid w:val="00DE2C36"/>
    <w:rsid w:val="00DE2F94"/>
    <w:rsid w:val="00DE3500"/>
    <w:rsid w:val="00DE4430"/>
    <w:rsid w:val="00DE4595"/>
    <w:rsid w:val="00DE6B35"/>
    <w:rsid w:val="00DE70C2"/>
    <w:rsid w:val="00DF0675"/>
    <w:rsid w:val="00DF0EE5"/>
    <w:rsid w:val="00DF4FE6"/>
    <w:rsid w:val="00DF580D"/>
    <w:rsid w:val="00DF5B5A"/>
    <w:rsid w:val="00DF69E4"/>
    <w:rsid w:val="00DF6FDA"/>
    <w:rsid w:val="00DF7E2B"/>
    <w:rsid w:val="00E01AC1"/>
    <w:rsid w:val="00E0414E"/>
    <w:rsid w:val="00E04830"/>
    <w:rsid w:val="00E05885"/>
    <w:rsid w:val="00E05F40"/>
    <w:rsid w:val="00E06BC9"/>
    <w:rsid w:val="00E100FB"/>
    <w:rsid w:val="00E10BFB"/>
    <w:rsid w:val="00E10F15"/>
    <w:rsid w:val="00E1249A"/>
    <w:rsid w:val="00E12880"/>
    <w:rsid w:val="00E14D9E"/>
    <w:rsid w:val="00E16DA6"/>
    <w:rsid w:val="00E17CA4"/>
    <w:rsid w:val="00E20799"/>
    <w:rsid w:val="00E21904"/>
    <w:rsid w:val="00E21E99"/>
    <w:rsid w:val="00E2228E"/>
    <w:rsid w:val="00E23E56"/>
    <w:rsid w:val="00E30FFC"/>
    <w:rsid w:val="00E327A1"/>
    <w:rsid w:val="00E33B67"/>
    <w:rsid w:val="00E33EF0"/>
    <w:rsid w:val="00E35165"/>
    <w:rsid w:val="00E370BF"/>
    <w:rsid w:val="00E37CB8"/>
    <w:rsid w:val="00E4016D"/>
    <w:rsid w:val="00E50D24"/>
    <w:rsid w:val="00E510C4"/>
    <w:rsid w:val="00E530B7"/>
    <w:rsid w:val="00E5347D"/>
    <w:rsid w:val="00E54066"/>
    <w:rsid w:val="00E57168"/>
    <w:rsid w:val="00E6090A"/>
    <w:rsid w:val="00E611A2"/>
    <w:rsid w:val="00E614AB"/>
    <w:rsid w:val="00E61BAB"/>
    <w:rsid w:val="00E61C6F"/>
    <w:rsid w:val="00E666F5"/>
    <w:rsid w:val="00E678ED"/>
    <w:rsid w:val="00E71C72"/>
    <w:rsid w:val="00E729CB"/>
    <w:rsid w:val="00E73C50"/>
    <w:rsid w:val="00E777C8"/>
    <w:rsid w:val="00E8011B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300"/>
    <w:rsid w:val="00E93BB0"/>
    <w:rsid w:val="00EA1FE0"/>
    <w:rsid w:val="00EA27C3"/>
    <w:rsid w:val="00EA2916"/>
    <w:rsid w:val="00EA2BEE"/>
    <w:rsid w:val="00EA370F"/>
    <w:rsid w:val="00EA440F"/>
    <w:rsid w:val="00EA5F36"/>
    <w:rsid w:val="00EA7A70"/>
    <w:rsid w:val="00EB02CA"/>
    <w:rsid w:val="00EB15F9"/>
    <w:rsid w:val="00EB2AAE"/>
    <w:rsid w:val="00EB57CA"/>
    <w:rsid w:val="00EB606F"/>
    <w:rsid w:val="00EB6317"/>
    <w:rsid w:val="00EB6D45"/>
    <w:rsid w:val="00EC07F6"/>
    <w:rsid w:val="00EC07FA"/>
    <w:rsid w:val="00EC471F"/>
    <w:rsid w:val="00EC5B03"/>
    <w:rsid w:val="00ED5E20"/>
    <w:rsid w:val="00ED7B42"/>
    <w:rsid w:val="00ED7B80"/>
    <w:rsid w:val="00EE087B"/>
    <w:rsid w:val="00EE094E"/>
    <w:rsid w:val="00EE0CC2"/>
    <w:rsid w:val="00EE18F8"/>
    <w:rsid w:val="00EE1DDC"/>
    <w:rsid w:val="00EE31D9"/>
    <w:rsid w:val="00EE47A2"/>
    <w:rsid w:val="00EF0C53"/>
    <w:rsid w:val="00EF2D32"/>
    <w:rsid w:val="00EF3487"/>
    <w:rsid w:val="00EF368A"/>
    <w:rsid w:val="00EF4FE0"/>
    <w:rsid w:val="00EF56C8"/>
    <w:rsid w:val="00EF6F9D"/>
    <w:rsid w:val="00EF7495"/>
    <w:rsid w:val="00F038F0"/>
    <w:rsid w:val="00F04E2C"/>
    <w:rsid w:val="00F06CE8"/>
    <w:rsid w:val="00F0783D"/>
    <w:rsid w:val="00F116F8"/>
    <w:rsid w:val="00F1223A"/>
    <w:rsid w:val="00F12E5F"/>
    <w:rsid w:val="00F14E08"/>
    <w:rsid w:val="00F203B0"/>
    <w:rsid w:val="00F20CD7"/>
    <w:rsid w:val="00F20D05"/>
    <w:rsid w:val="00F210E9"/>
    <w:rsid w:val="00F2150A"/>
    <w:rsid w:val="00F22AF0"/>
    <w:rsid w:val="00F24913"/>
    <w:rsid w:val="00F3291B"/>
    <w:rsid w:val="00F33929"/>
    <w:rsid w:val="00F35767"/>
    <w:rsid w:val="00F35BB4"/>
    <w:rsid w:val="00F35FAC"/>
    <w:rsid w:val="00F4050C"/>
    <w:rsid w:val="00F4230E"/>
    <w:rsid w:val="00F42C1C"/>
    <w:rsid w:val="00F42D66"/>
    <w:rsid w:val="00F4744B"/>
    <w:rsid w:val="00F504FB"/>
    <w:rsid w:val="00F55691"/>
    <w:rsid w:val="00F55B87"/>
    <w:rsid w:val="00F56B28"/>
    <w:rsid w:val="00F61756"/>
    <w:rsid w:val="00F6361F"/>
    <w:rsid w:val="00F636A9"/>
    <w:rsid w:val="00F65724"/>
    <w:rsid w:val="00F66561"/>
    <w:rsid w:val="00F71390"/>
    <w:rsid w:val="00F72F62"/>
    <w:rsid w:val="00F73E1F"/>
    <w:rsid w:val="00F75F73"/>
    <w:rsid w:val="00F77059"/>
    <w:rsid w:val="00F77459"/>
    <w:rsid w:val="00F809EE"/>
    <w:rsid w:val="00F8244C"/>
    <w:rsid w:val="00F844E6"/>
    <w:rsid w:val="00F849DE"/>
    <w:rsid w:val="00F84BE4"/>
    <w:rsid w:val="00F865A3"/>
    <w:rsid w:val="00F909DB"/>
    <w:rsid w:val="00F925DB"/>
    <w:rsid w:val="00F93001"/>
    <w:rsid w:val="00F9314E"/>
    <w:rsid w:val="00F9432D"/>
    <w:rsid w:val="00F9475F"/>
    <w:rsid w:val="00F951BA"/>
    <w:rsid w:val="00F955FB"/>
    <w:rsid w:val="00F97B34"/>
    <w:rsid w:val="00FA0DCE"/>
    <w:rsid w:val="00FA2244"/>
    <w:rsid w:val="00FA2531"/>
    <w:rsid w:val="00FA424D"/>
    <w:rsid w:val="00FA4C1B"/>
    <w:rsid w:val="00FA5355"/>
    <w:rsid w:val="00FB35B4"/>
    <w:rsid w:val="00FB4542"/>
    <w:rsid w:val="00FB6C2F"/>
    <w:rsid w:val="00FC0091"/>
    <w:rsid w:val="00FC0E01"/>
    <w:rsid w:val="00FC10E9"/>
    <w:rsid w:val="00FC23CC"/>
    <w:rsid w:val="00FC4FF0"/>
    <w:rsid w:val="00FC57BC"/>
    <w:rsid w:val="00FC5D7E"/>
    <w:rsid w:val="00FD01DC"/>
    <w:rsid w:val="00FD01E1"/>
    <w:rsid w:val="00FD0829"/>
    <w:rsid w:val="00FD11D1"/>
    <w:rsid w:val="00FD13B2"/>
    <w:rsid w:val="00FD4DFC"/>
    <w:rsid w:val="00FD4FDE"/>
    <w:rsid w:val="00FD5981"/>
    <w:rsid w:val="00FD60F6"/>
    <w:rsid w:val="00FD6173"/>
    <w:rsid w:val="00FE0A40"/>
    <w:rsid w:val="00FE2983"/>
    <w:rsid w:val="00FE3132"/>
    <w:rsid w:val="00FE47F2"/>
    <w:rsid w:val="00FE64F7"/>
    <w:rsid w:val="00FE6C0D"/>
    <w:rsid w:val="00FF10DD"/>
    <w:rsid w:val="00FF3240"/>
    <w:rsid w:val="00FF3B30"/>
    <w:rsid w:val="00FF3C70"/>
    <w:rsid w:val="00FF47AD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91518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30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6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06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88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4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0994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82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8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D8228-3A9C-4322-9E48-344148643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4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812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201</cp:revision>
  <dcterms:created xsi:type="dcterms:W3CDTF">2026-04-13T12:02:00Z</dcterms:created>
  <dcterms:modified xsi:type="dcterms:W3CDTF">2026-04-15T07:00:00Z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