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D63F4" w14:textId="6D01AEA1" w:rsidR="00C14324" w:rsidRDefault="00AD1413" w:rsidP="001825CB">
      <w:pPr>
        <w:spacing w:after="120"/>
        <w:jc w:val="center"/>
        <w:rPr>
          <w:rFonts w:ascii="Aptos" w:hAnsi="Aptos"/>
          <w:b/>
          <w:color w:val="001B50"/>
        </w:rPr>
      </w:pPr>
      <w:r w:rsidRPr="00C0137C">
        <w:rPr>
          <w:rFonts w:ascii="Aptos" w:hAnsi="Aptos"/>
          <w:b/>
          <w:color w:val="001B50"/>
        </w:rPr>
        <w:t>REDUNIQ Insights</w:t>
      </w:r>
    </w:p>
    <w:p w14:paraId="7F7CE731" w14:textId="77777777" w:rsidR="00771CB8" w:rsidRPr="00C0137C" w:rsidRDefault="00771CB8" w:rsidP="001825CB">
      <w:pPr>
        <w:spacing w:after="120"/>
        <w:jc w:val="center"/>
        <w:rPr>
          <w:rFonts w:ascii="Aptos" w:hAnsi="Aptos"/>
          <w:b/>
          <w:color w:val="001B50"/>
        </w:rPr>
      </w:pPr>
    </w:p>
    <w:p w14:paraId="58FD6B9D" w14:textId="2DFB03C5" w:rsidR="00C30945" w:rsidRDefault="00F8547F" w:rsidP="00406B7C">
      <w:pPr>
        <w:pBdr>
          <w:top w:val="nil"/>
          <w:left w:val="nil"/>
          <w:bottom w:val="nil"/>
          <w:right w:val="nil"/>
          <w:between w:val="nil"/>
        </w:pBdr>
        <w:spacing w:after="0" w:line="288" w:lineRule="auto"/>
        <w:jc w:val="center"/>
        <w:rPr>
          <w:rFonts w:ascii="Aptos" w:hAnsi="Aptos"/>
          <w:b/>
          <w:bCs/>
          <w:color w:val="001B50"/>
          <w:sz w:val="32"/>
          <w:szCs w:val="32"/>
        </w:rPr>
      </w:pPr>
      <w:r w:rsidRPr="00F8547F">
        <w:rPr>
          <w:rFonts w:ascii="Aptos" w:hAnsi="Aptos"/>
          <w:b/>
          <w:bCs/>
          <w:color w:val="001B50"/>
          <w:sz w:val="32"/>
          <w:szCs w:val="32"/>
        </w:rPr>
        <w:t>Consumo sobe 9%, liderado pelo mercado nacional</w:t>
      </w:r>
    </w:p>
    <w:p w14:paraId="4DBA42B1" w14:textId="77777777" w:rsidR="00F8547F" w:rsidRDefault="00F8547F" w:rsidP="00406B7C">
      <w:pPr>
        <w:pBdr>
          <w:top w:val="nil"/>
          <w:left w:val="nil"/>
          <w:bottom w:val="nil"/>
          <w:right w:val="nil"/>
          <w:between w:val="nil"/>
        </w:pBdr>
        <w:spacing w:after="0" w:line="288" w:lineRule="auto"/>
        <w:jc w:val="center"/>
        <w:rPr>
          <w:rFonts w:ascii="Aptos" w:hAnsi="Aptos"/>
          <w:i/>
          <w:iCs/>
          <w:color w:val="001B50"/>
          <w:sz w:val="32"/>
          <w:szCs w:val="32"/>
        </w:rPr>
      </w:pPr>
    </w:p>
    <w:p w14:paraId="1175EBA1" w14:textId="4C5A37CD" w:rsidR="004C4282" w:rsidRDefault="00DD5E12" w:rsidP="0071598D">
      <w:pPr>
        <w:pBdr>
          <w:top w:val="nil"/>
          <w:left w:val="nil"/>
          <w:bottom w:val="nil"/>
          <w:right w:val="nil"/>
          <w:between w:val="nil"/>
        </w:pBdr>
        <w:spacing w:after="360" w:line="288" w:lineRule="auto"/>
        <w:jc w:val="both"/>
        <w:rPr>
          <w:b/>
          <w:bCs/>
          <w:sz w:val="20"/>
          <w:szCs w:val="20"/>
        </w:rPr>
      </w:pPr>
      <w:r>
        <w:rPr>
          <w:b/>
          <w:bCs/>
          <w:sz w:val="20"/>
          <w:szCs w:val="20"/>
        </w:rPr>
        <w:t xml:space="preserve">- </w:t>
      </w:r>
      <w:r w:rsidR="004C4282">
        <w:rPr>
          <w:b/>
          <w:bCs/>
          <w:sz w:val="20"/>
          <w:szCs w:val="20"/>
        </w:rPr>
        <w:t>Faturação de origem nacional cresceu 12%</w:t>
      </w:r>
      <w:r>
        <w:rPr>
          <w:b/>
          <w:bCs/>
          <w:sz w:val="20"/>
          <w:szCs w:val="20"/>
        </w:rPr>
        <w:t xml:space="preserve"> em 2025, face ao ano anterior, </w:t>
      </w:r>
      <w:r w:rsidR="004C4282">
        <w:rPr>
          <w:b/>
          <w:bCs/>
          <w:sz w:val="20"/>
          <w:szCs w:val="20"/>
        </w:rPr>
        <w:t>enquanto o consumo estrangeiro subiu apenas 2%.</w:t>
      </w:r>
    </w:p>
    <w:p w14:paraId="1535AB04" w14:textId="076AEEDA" w:rsidR="00D142B7" w:rsidRPr="004A7A6C" w:rsidRDefault="00DD5E12" w:rsidP="0071598D">
      <w:pPr>
        <w:pBdr>
          <w:top w:val="nil"/>
          <w:left w:val="nil"/>
          <w:bottom w:val="nil"/>
          <w:right w:val="nil"/>
          <w:between w:val="nil"/>
        </w:pBdr>
        <w:spacing w:after="360" w:line="288" w:lineRule="auto"/>
        <w:jc w:val="both"/>
        <w:rPr>
          <w:b/>
          <w:bCs/>
          <w:sz w:val="20"/>
          <w:szCs w:val="20"/>
        </w:rPr>
      </w:pPr>
      <w:r>
        <w:rPr>
          <w:b/>
          <w:bCs/>
          <w:sz w:val="20"/>
          <w:szCs w:val="20"/>
        </w:rPr>
        <w:t xml:space="preserve">- </w:t>
      </w:r>
      <w:r w:rsidR="004C4282">
        <w:rPr>
          <w:b/>
          <w:bCs/>
          <w:sz w:val="20"/>
          <w:szCs w:val="20"/>
        </w:rPr>
        <w:t xml:space="preserve">Número de transações total subiu 10%, </w:t>
      </w:r>
      <w:r w:rsidR="00536954">
        <w:rPr>
          <w:b/>
          <w:bCs/>
          <w:sz w:val="20"/>
          <w:szCs w:val="20"/>
        </w:rPr>
        <w:t>enquanto o ticket médio recuou 1%</w:t>
      </w:r>
      <w:r w:rsidR="00B63F11">
        <w:rPr>
          <w:b/>
          <w:bCs/>
          <w:sz w:val="20"/>
          <w:szCs w:val="20"/>
        </w:rPr>
        <w:t>, face aos indicadores de 2024.</w:t>
      </w:r>
    </w:p>
    <w:p w14:paraId="5CE05DA8" w14:textId="46A5C131" w:rsidR="004934DE" w:rsidRDefault="00157CD9" w:rsidP="00597ABB">
      <w:pPr>
        <w:spacing w:after="240" w:line="360" w:lineRule="auto"/>
        <w:jc w:val="both"/>
      </w:pPr>
      <w:r>
        <w:rPr>
          <w:b/>
        </w:rPr>
        <w:t>Lisboa,</w:t>
      </w:r>
      <w:r w:rsidR="000C05E3">
        <w:rPr>
          <w:b/>
        </w:rPr>
        <w:t xml:space="preserve"> </w:t>
      </w:r>
      <w:r w:rsidR="008B7F42">
        <w:rPr>
          <w:b/>
        </w:rPr>
        <w:t>14</w:t>
      </w:r>
      <w:r w:rsidR="001F4FFE">
        <w:rPr>
          <w:b/>
        </w:rPr>
        <w:t xml:space="preserve"> </w:t>
      </w:r>
      <w:r w:rsidR="00FC7C77">
        <w:rPr>
          <w:b/>
        </w:rPr>
        <w:t xml:space="preserve">de </w:t>
      </w:r>
      <w:r w:rsidR="00033552">
        <w:rPr>
          <w:b/>
        </w:rPr>
        <w:t>abril</w:t>
      </w:r>
      <w:r w:rsidR="00FC7C77">
        <w:rPr>
          <w:b/>
        </w:rPr>
        <w:t xml:space="preserve"> de 2026</w:t>
      </w:r>
      <w:r>
        <w:rPr>
          <w:b/>
        </w:rPr>
        <w:t xml:space="preserve"> </w:t>
      </w:r>
      <w:r w:rsidR="00C23528">
        <w:t>–</w:t>
      </w:r>
      <w:r w:rsidR="00FB593A">
        <w:t xml:space="preserve"> </w:t>
      </w:r>
      <w:r w:rsidR="004934DE" w:rsidRPr="004934DE">
        <w:t xml:space="preserve">O consumo em Portugal voltou a crescer em 2025, com </w:t>
      </w:r>
      <w:r w:rsidR="005850CE">
        <w:t>a</w:t>
      </w:r>
      <w:r w:rsidR="00DF5109">
        <w:t xml:space="preserve"> </w:t>
      </w:r>
      <w:hyperlink r:id="rId11" w:history="1">
        <w:r w:rsidR="00DF5109" w:rsidRPr="008700DD">
          <w:rPr>
            <w:rStyle w:val="Hiperligao"/>
          </w:rPr>
          <w:t>UNICRE</w:t>
        </w:r>
      </w:hyperlink>
      <w:r w:rsidR="004934DE" w:rsidRPr="004934DE">
        <w:t xml:space="preserve"> a registar um aumento de </w:t>
      </w:r>
      <w:r w:rsidR="004934DE" w:rsidRPr="004934DE">
        <w:rPr>
          <w:b/>
          <w:bCs/>
        </w:rPr>
        <w:t xml:space="preserve">9% na faturação </w:t>
      </w:r>
      <w:r w:rsidR="00101187">
        <w:rPr>
          <w:b/>
          <w:bCs/>
        </w:rPr>
        <w:t>d</w:t>
      </w:r>
      <w:r w:rsidR="004934DE" w:rsidRPr="004934DE">
        <w:rPr>
          <w:b/>
          <w:bCs/>
        </w:rPr>
        <w:t>a sua rede de pagamentos</w:t>
      </w:r>
      <w:r w:rsidR="004934DE" w:rsidRPr="004934DE">
        <w:t xml:space="preserve">, acompanhado por um crescimento de </w:t>
      </w:r>
      <w:r w:rsidR="004934DE" w:rsidRPr="004934DE">
        <w:rPr>
          <w:b/>
          <w:bCs/>
        </w:rPr>
        <w:t>10% no número de transações</w:t>
      </w:r>
      <w:r w:rsidR="009D10FB">
        <w:t>, de acordo com</w:t>
      </w:r>
      <w:r w:rsidR="009D10FB" w:rsidRPr="004934DE">
        <w:t xml:space="preserve"> o relatório </w:t>
      </w:r>
      <w:hyperlink r:id="rId12" w:history="1">
        <w:r w:rsidR="009D10FB" w:rsidRPr="008700DD">
          <w:rPr>
            <w:rStyle w:val="Hiperligao"/>
          </w:rPr>
          <w:t>REDUNIQ Insights</w:t>
        </w:r>
      </w:hyperlink>
      <w:r w:rsidR="009D10FB">
        <w:t>.</w:t>
      </w:r>
      <w:r w:rsidR="004934DE" w:rsidRPr="004934DE">
        <w:t xml:space="preserve"> Em sentido inverso, o </w:t>
      </w:r>
      <w:r w:rsidR="004934DE" w:rsidRPr="004934DE">
        <w:rPr>
          <w:b/>
          <w:bCs/>
        </w:rPr>
        <w:t>ticket médio recuou 1% face a 2024</w:t>
      </w:r>
      <w:r w:rsidR="004934DE" w:rsidRPr="004934DE">
        <w:t>, refletindo um padrão de consumo mais frequente e de menor valor por operação</w:t>
      </w:r>
      <w:r w:rsidR="00E4180C">
        <w:t>.</w:t>
      </w:r>
    </w:p>
    <w:p w14:paraId="17A770AB" w14:textId="33ED3E91" w:rsidR="003B7396" w:rsidRDefault="003B7396" w:rsidP="003B7396">
      <w:pPr>
        <w:spacing w:after="240" w:line="360" w:lineRule="auto"/>
        <w:jc w:val="both"/>
      </w:pPr>
      <w:r>
        <w:t>Este crescimento registou-se de forma diferenciada ao longo do ano, com maior dinamismo nos meses de verão e no último trimestre, refletindo os picos de consumo associados ao período de férias e à época promocional e festiva de final de ano.</w:t>
      </w:r>
    </w:p>
    <w:p w14:paraId="736E3DDD" w14:textId="0D9A1249" w:rsidR="008D3233" w:rsidRDefault="003B7396" w:rsidP="003B7396">
      <w:pPr>
        <w:spacing w:after="240" w:line="360" w:lineRule="auto"/>
        <w:jc w:val="both"/>
      </w:pPr>
      <w:r>
        <w:t>Ainda assim, no segundo semestre observou-se uma tendência de abrandamento do crescimento transversal à maioria das regiões e setores, com exceção das farmácias, moda, retalho alimentar, eletrodomésticos &amp; tecnologia e perfumarias, que mantiveram uma evolução mais positiva.</w:t>
      </w:r>
    </w:p>
    <w:p w14:paraId="1CF22F98" w14:textId="41515ACA" w:rsidR="00824B41" w:rsidRDefault="003C794A" w:rsidP="0028142E">
      <w:pPr>
        <w:spacing w:after="240" w:line="360" w:lineRule="auto"/>
        <w:jc w:val="both"/>
      </w:pPr>
      <w:r w:rsidRPr="003C794A">
        <w:rPr>
          <w:i/>
          <w:iCs/>
        </w:rPr>
        <w:t>“Os dados de 2025 confirmam um crescimento sustentado do consumo, mas também uma mudança clara no seu padrão. O aumento do número de transações, não acompanhado pelo valor médio por compra, demonstra que os consumidores estão mais ativos, mas também mais criteriosos. Este comportamento reflete um contexto económico exigente, em que a gestão do orçamento assume um papel central nas decisões de consumo”</w:t>
      </w:r>
      <w:r w:rsidR="00780F37">
        <w:rPr>
          <w:i/>
          <w:iCs/>
        </w:rPr>
        <w:t xml:space="preserve">, </w:t>
      </w:r>
      <w:r w:rsidR="00780F37">
        <w:t xml:space="preserve">afirma </w:t>
      </w:r>
      <w:r w:rsidR="00D5558B" w:rsidRPr="00814047">
        <w:rPr>
          <w:b/>
          <w:bCs/>
        </w:rPr>
        <w:t xml:space="preserve">Tiago </w:t>
      </w:r>
      <w:proofErr w:type="spellStart"/>
      <w:r w:rsidR="00D5558B" w:rsidRPr="00814047">
        <w:rPr>
          <w:b/>
          <w:bCs/>
        </w:rPr>
        <w:t>Oom</w:t>
      </w:r>
      <w:proofErr w:type="spellEnd"/>
      <w:r w:rsidR="00D5558B" w:rsidRPr="00814047">
        <w:rPr>
          <w:b/>
          <w:bCs/>
        </w:rPr>
        <w:t xml:space="preserve">, </w:t>
      </w:r>
      <w:proofErr w:type="spellStart"/>
      <w:r w:rsidR="00D5558B" w:rsidRPr="00814047">
        <w:rPr>
          <w:b/>
          <w:bCs/>
        </w:rPr>
        <w:t>Head</w:t>
      </w:r>
      <w:proofErr w:type="spellEnd"/>
      <w:r w:rsidR="00D5558B" w:rsidRPr="00814047">
        <w:rPr>
          <w:b/>
          <w:bCs/>
        </w:rPr>
        <w:t xml:space="preserve"> </w:t>
      </w:r>
      <w:proofErr w:type="spellStart"/>
      <w:r w:rsidR="00D5558B" w:rsidRPr="00814047">
        <w:rPr>
          <w:b/>
          <w:bCs/>
        </w:rPr>
        <w:t>of</w:t>
      </w:r>
      <w:proofErr w:type="spellEnd"/>
      <w:r w:rsidR="00D5558B" w:rsidRPr="00814047">
        <w:rPr>
          <w:b/>
          <w:bCs/>
        </w:rPr>
        <w:t xml:space="preserve"> Merchant </w:t>
      </w:r>
      <w:proofErr w:type="spellStart"/>
      <w:r w:rsidR="00D5558B" w:rsidRPr="00814047">
        <w:rPr>
          <w:b/>
          <w:bCs/>
        </w:rPr>
        <w:t>Acquiring</w:t>
      </w:r>
      <w:proofErr w:type="spellEnd"/>
      <w:r w:rsidR="00D5558B" w:rsidRPr="00814047">
        <w:rPr>
          <w:b/>
          <w:bCs/>
        </w:rPr>
        <w:t xml:space="preserve"> da UNICRE</w:t>
      </w:r>
      <w:r w:rsidR="00D5558B">
        <w:t>.</w:t>
      </w:r>
    </w:p>
    <w:p w14:paraId="174F76BF" w14:textId="3B1D3CA0" w:rsidR="0037595C" w:rsidRDefault="0037595C" w:rsidP="0028142E">
      <w:pPr>
        <w:spacing w:after="240" w:line="360" w:lineRule="auto"/>
        <w:jc w:val="both"/>
      </w:pPr>
      <w:r w:rsidRPr="0037595C">
        <w:t xml:space="preserve">Ao contrário do verificado em 2024, quando os mercados nacional e internacional apresentaram comportamentos mais equilibrados, em 2025 a faturação gerada por </w:t>
      </w:r>
      <w:r w:rsidRPr="0037595C">
        <w:rPr>
          <w:b/>
          <w:bCs/>
        </w:rPr>
        <w:t>cartões nacionais cresceu 12% face ao ano anterior</w:t>
      </w:r>
      <w:r w:rsidRPr="0037595C">
        <w:t>, assumindo-se como o principal motor da evolução da rede REDUNIQ. O consumo interno manteve uma trajetória consistente ao longo do ano, refletindo maior estabilidade da procura doméstica.</w:t>
      </w:r>
    </w:p>
    <w:p w14:paraId="229F986A" w14:textId="36B9FF58" w:rsidR="00AA73AD" w:rsidRDefault="00AA73AD" w:rsidP="0028142E">
      <w:pPr>
        <w:spacing w:after="240" w:line="360" w:lineRule="auto"/>
        <w:jc w:val="both"/>
      </w:pPr>
      <w:r w:rsidRPr="00AA73AD">
        <w:lastRenderedPageBreak/>
        <w:t xml:space="preserve">Já a faturação proveniente de </w:t>
      </w:r>
      <w:r w:rsidRPr="00AA73AD">
        <w:rPr>
          <w:b/>
          <w:bCs/>
        </w:rPr>
        <w:t xml:space="preserve">cartões estrangeiros registou um crescimento </w:t>
      </w:r>
      <w:r w:rsidR="003B7396">
        <w:rPr>
          <w:b/>
          <w:bCs/>
        </w:rPr>
        <w:t xml:space="preserve">significativamente </w:t>
      </w:r>
      <w:r w:rsidRPr="00AA73AD">
        <w:rPr>
          <w:b/>
          <w:bCs/>
        </w:rPr>
        <w:t>mais moderado, de 2%</w:t>
      </w:r>
      <w:r>
        <w:rPr>
          <w:b/>
          <w:bCs/>
        </w:rPr>
        <w:t xml:space="preserve"> </w:t>
      </w:r>
      <w:r>
        <w:t>(</w:t>
      </w:r>
      <w:r w:rsidRPr="00AA73AD">
        <w:rPr>
          <w:i/>
          <w:iCs/>
        </w:rPr>
        <w:t>vs.</w:t>
      </w:r>
      <w:r>
        <w:t xml:space="preserve"> os 8% verificados em 2024)</w:t>
      </w:r>
      <w:r w:rsidRPr="00AA73AD">
        <w:t>, evidenciando uma evolução mais irregular ao longo do ano e um abrandamento face a períodos anteriores.</w:t>
      </w:r>
    </w:p>
    <w:p w14:paraId="2EF457AC" w14:textId="5CDEA522" w:rsidR="0028142E" w:rsidRDefault="00EB179B" w:rsidP="00EB179B">
      <w:pPr>
        <w:spacing w:after="240" w:line="360" w:lineRule="auto"/>
        <w:jc w:val="both"/>
      </w:pPr>
      <w:r w:rsidRPr="00EB179B">
        <w:t xml:space="preserve">Ao nível da origem do consumo internacional, os principais mercados mantiveram-se estáveis, com </w:t>
      </w:r>
      <w:r>
        <w:t xml:space="preserve">Reino Unido (com um peso de 14%), </w:t>
      </w:r>
      <w:r w:rsidR="001D1DDE">
        <w:t>I</w:t>
      </w:r>
      <w:r>
        <w:t>rlanda (13%), EUA (12%) França (</w:t>
      </w:r>
      <w:r w:rsidR="00CE14FB">
        <w:t>11</w:t>
      </w:r>
      <w:r>
        <w:t>%) e Alemanha (7%), que continuam a representar a maior fatia da faturação estrangeira.</w:t>
      </w:r>
    </w:p>
    <w:p w14:paraId="419C362A" w14:textId="6985C2EC" w:rsidR="00EB179B" w:rsidRDefault="0028142E" w:rsidP="00EB179B">
      <w:pPr>
        <w:spacing w:after="240" w:line="360" w:lineRule="auto"/>
        <w:jc w:val="both"/>
      </w:pPr>
      <w:r>
        <w:t>No seu conjunto, estes dados confirmam um maior peso relativo do consumo nacional, num contexto em que o consumo estrangeiro mantém relevância, mas com menor contributo para o crescimento global.</w:t>
      </w:r>
      <w:r w:rsidR="003237D7">
        <w:t xml:space="preserve"> </w:t>
      </w:r>
      <w:r w:rsidR="00EB179B">
        <w:t xml:space="preserve"> Este desempenho poderá estar relacionado com a desaceleração da imigração, que acontece em simultâneo com </w:t>
      </w:r>
      <w:r w:rsidR="006C3F6D">
        <w:t>um</w:t>
      </w:r>
      <w:r w:rsidR="00EB179B">
        <w:t xml:space="preserve"> aparente abrandamento do crescimento do turismo.</w:t>
      </w:r>
    </w:p>
    <w:p w14:paraId="3B06B302" w14:textId="42A8994C" w:rsidR="00A70349" w:rsidRDefault="00A70349" w:rsidP="0028142E">
      <w:pPr>
        <w:spacing w:after="240" w:line="360" w:lineRule="auto"/>
        <w:jc w:val="both"/>
      </w:pPr>
      <w:r>
        <w:t>Na análise por setor</w:t>
      </w:r>
      <w:r w:rsidR="005F2BB2">
        <w:t>,</w:t>
      </w:r>
      <w:r w:rsidRPr="00A70349">
        <w:t xml:space="preserve"> a faturação manteve-se concentrada nas categorias de maior peso estrutural, </w:t>
      </w:r>
      <w:r>
        <w:t xml:space="preserve">mas </w:t>
      </w:r>
      <w:r w:rsidRPr="00A70349">
        <w:t xml:space="preserve">com dinâmicas diferenciadas. Os </w:t>
      </w:r>
      <w:r w:rsidRPr="00A70349">
        <w:rPr>
          <w:b/>
          <w:bCs/>
        </w:rPr>
        <w:t>combustíveis</w:t>
      </w:r>
      <w:r w:rsidRPr="00A70349">
        <w:t xml:space="preserve"> foram o setor que registou o maior crescimento (</w:t>
      </w:r>
      <w:r w:rsidRPr="00A70349">
        <w:rPr>
          <w:b/>
          <w:bCs/>
        </w:rPr>
        <w:t>+35% face a 2024</w:t>
      </w:r>
      <w:r w:rsidRPr="00A70349">
        <w:t xml:space="preserve">), seguidos pelo </w:t>
      </w:r>
      <w:r w:rsidRPr="00A70349">
        <w:rPr>
          <w:b/>
          <w:bCs/>
        </w:rPr>
        <w:t>retalho alimentar tradicional (+19%)</w:t>
      </w:r>
      <w:r w:rsidRPr="00A70349">
        <w:t xml:space="preserve"> e pela </w:t>
      </w:r>
      <w:r w:rsidRPr="00A70349">
        <w:rPr>
          <w:b/>
          <w:bCs/>
        </w:rPr>
        <w:t>saúde (+16%)</w:t>
      </w:r>
      <w:r w:rsidRPr="00A70349">
        <w:t>.</w:t>
      </w:r>
    </w:p>
    <w:p w14:paraId="3A64206F" w14:textId="52FB8CA5" w:rsidR="00A70349" w:rsidRDefault="00A70349" w:rsidP="0028142E">
      <w:pPr>
        <w:spacing w:after="240" w:line="360" w:lineRule="auto"/>
        <w:jc w:val="both"/>
      </w:pPr>
      <w:r w:rsidRPr="00A70349">
        <w:t xml:space="preserve">Os </w:t>
      </w:r>
      <w:proofErr w:type="spellStart"/>
      <w:r w:rsidRPr="00A70349">
        <w:rPr>
          <w:b/>
          <w:bCs/>
        </w:rPr>
        <w:t>hiper</w:t>
      </w:r>
      <w:proofErr w:type="spellEnd"/>
      <w:r w:rsidRPr="00A70349">
        <w:rPr>
          <w:b/>
          <w:bCs/>
        </w:rPr>
        <w:t xml:space="preserve"> e supermercados</w:t>
      </w:r>
      <w:r w:rsidRPr="00A70349">
        <w:t>, que continuam a representar a maior fatia da faturação total</w:t>
      </w:r>
      <w:r>
        <w:t xml:space="preserve"> (29%)</w:t>
      </w:r>
      <w:r w:rsidRPr="00A70349">
        <w:t xml:space="preserve">, cresceram </w:t>
      </w:r>
      <w:r w:rsidRPr="00A70349">
        <w:rPr>
          <w:b/>
          <w:bCs/>
        </w:rPr>
        <w:t>8%</w:t>
      </w:r>
      <w:r w:rsidRPr="00A70349">
        <w:t>, com contributos equi</w:t>
      </w:r>
      <w:r w:rsidR="00D87F5D">
        <w:t xml:space="preserve">tativos </w:t>
      </w:r>
      <w:r w:rsidRPr="00A70349">
        <w:t xml:space="preserve">entre consumo nacional e internacional. Já a </w:t>
      </w:r>
      <w:r w:rsidRPr="00A70349">
        <w:rPr>
          <w:b/>
          <w:bCs/>
        </w:rPr>
        <w:t>restauração</w:t>
      </w:r>
      <w:r w:rsidRPr="00A70349">
        <w:t xml:space="preserve"> registou um crescimento de </w:t>
      </w:r>
      <w:r w:rsidRPr="00A70349">
        <w:rPr>
          <w:b/>
          <w:bCs/>
        </w:rPr>
        <w:t>5% em 2025</w:t>
      </w:r>
      <w:r w:rsidRPr="00A70349">
        <w:t xml:space="preserve">, </w:t>
      </w:r>
      <w:r w:rsidR="001F2450">
        <w:t xml:space="preserve">significativamente </w:t>
      </w:r>
      <w:r w:rsidRPr="00A70349">
        <w:t xml:space="preserve">abaixo do observado no ano anterior, </w:t>
      </w:r>
      <w:r w:rsidR="001F2450">
        <w:t xml:space="preserve">quando subiu 12%, </w:t>
      </w:r>
      <w:r w:rsidRPr="00A70349">
        <w:t>refletindo um menor dinamismo do consumo</w:t>
      </w:r>
      <w:r w:rsidR="00F74FEE">
        <w:t xml:space="preserve"> </w:t>
      </w:r>
      <w:r w:rsidRPr="00A70349">
        <w:t>por parte dos visitantes estrangeiros.</w:t>
      </w:r>
      <w:r w:rsidR="00F74FEE">
        <w:t xml:space="preserve"> </w:t>
      </w:r>
      <w:r w:rsidR="00305E17">
        <w:t>O setor de hotelaria e atividades turísticas registou uma que</w:t>
      </w:r>
      <w:r w:rsidR="00E03C85">
        <w:t>br</w:t>
      </w:r>
      <w:r w:rsidR="00305E17">
        <w:t xml:space="preserve">a de 5%, </w:t>
      </w:r>
      <w:r w:rsidR="0061687E">
        <w:t xml:space="preserve">fruto da descida de 7% da faturação estrangeira e </w:t>
      </w:r>
      <w:r w:rsidR="00E03C85">
        <w:t>de uma estagnação do consumo nacional.</w:t>
      </w:r>
    </w:p>
    <w:p w14:paraId="13954972" w14:textId="79649E53" w:rsidR="0028142E" w:rsidRDefault="0028142E" w:rsidP="0028142E">
      <w:pPr>
        <w:spacing w:after="240" w:line="360" w:lineRule="auto"/>
        <w:jc w:val="both"/>
      </w:pPr>
      <w:r>
        <w:t>Os dados mostram uma maior resiliência dos setores associados ao consumo essencial e recorrente, enquanto as categorias mais dependentes de consumo discricionário apresentaram uma evolução mais moderada ao longo do ano.</w:t>
      </w:r>
    </w:p>
    <w:p w14:paraId="7AA4AD3D" w14:textId="7010AC35" w:rsidR="008E4282" w:rsidRPr="008E4282" w:rsidRDefault="003B7396" w:rsidP="008E4282">
      <w:pPr>
        <w:spacing w:after="240" w:line="360" w:lineRule="auto"/>
        <w:jc w:val="both"/>
      </w:pPr>
      <w:r>
        <w:t>No que respeita o consumo</w:t>
      </w:r>
      <w:r w:rsidR="008E4282" w:rsidRPr="008E4282">
        <w:t xml:space="preserve"> por distrito, o crescimento da faturação revelou-se mais distribuído pelo território. Ainda assim, consolidou-se uma tendência já observada no ano anterior: as regiões com maior vocação turística</w:t>
      </w:r>
      <w:r w:rsidR="00D83681">
        <w:t>, como os</w:t>
      </w:r>
      <w:r w:rsidR="008E4282" w:rsidRPr="008E4282">
        <w:t xml:space="preserve"> Açores, Lisboa, Faro e Madeira</w:t>
      </w:r>
      <w:r w:rsidR="00D83681" w:rsidRPr="003B7396">
        <w:t xml:space="preserve">, </w:t>
      </w:r>
      <w:r w:rsidR="008E4282" w:rsidRPr="008E4282">
        <w:t>foram as que registaram crescimentos mais moderados.</w:t>
      </w:r>
    </w:p>
    <w:p w14:paraId="1A96ED41" w14:textId="2D0BD941" w:rsidR="008E4282" w:rsidRDefault="008E4282" w:rsidP="008E4282">
      <w:pPr>
        <w:spacing w:after="240" w:line="360" w:lineRule="auto"/>
        <w:jc w:val="both"/>
      </w:pPr>
      <w:r w:rsidRPr="008E4282">
        <w:t xml:space="preserve">Distritos como </w:t>
      </w:r>
      <w:r w:rsidRPr="008E4282">
        <w:rPr>
          <w:b/>
          <w:bCs/>
        </w:rPr>
        <w:t>Leiria (+24%)</w:t>
      </w:r>
      <w:r w:rsidRPr="008E4282">
        <w:t xml:space="preserve">, </w:t>
      </w:r>
      <w:r w:rsidRPr="008E4282">
        <w:rPr>
          <w:b/>
          <w:bCs/>
        </w:rPr>
        <w:t>Guarda (+19%)</w:t>
      </w:r>
      <w:r w:rsidRPr="008E4282">
        <w:t xml:space="preserve">, </w:t>
      </w:r>
      <w:r w:rsidRPr="008E4282">
        <w:rPr>
          <w:b/>
          <w:bCs/>
        </w:rPr>
        <w:t>Vila Real e Beja (+16%)</w:t>
      </w:r>
      <w:r w:rsidRPr="008E4282">
        <w:t xml:space="preserve"> e </w:t>
      </w:r>
      <w:r w:rsidRPr="008E4282">
        <w:rPr>
          <w:b/>
          <w:bCs/>
        </w:rPr>
        <w:t>Portalegre (+15%)</w:t>
      </w:r>
      <w:r w:rsidRPr="008E4282">
        <w:t xml:space="preserve"> destacaram-se pelo dinamismo registado. Em contraste,</w:t>
      </w:r>
      <w:r w:rsidR="003B7396">
        <w:t xml:space="preserve"> a</w:t>
      </w:r>
      <w:r w:rsidRPr="008E4282">
        <w:t xml:space="preserve"> </w:t>
      </w:r>
      <w:r w:rsidRPr="008E4282">
        <w:rPr>
          <w:b/>
          <w:bCs/>
        </w:rPr>
        <w:t>Madeira (+4%)</w:t>
      </w:r>
      <w:r w:rsidRPr="008E4282">
        <w:t xml:space="preserve">, </w:t>
      </w:r>
      <w:r w:rsidRPr="008E4282">
        <w:rPr>
          <w:b/>
          <w:bCs/>
        </w:rPr>
        <w:t>Faro (+5%)</w:t>
      </w:r>
      <w:r w:rsidRPr="008E4282">
        <w:t xml:space="preserve">, </w:t>
      </w:r>
      <w:r w:rsidRPr="008E4282">
        <w:rPr>
          <w:b/>
          <w:bCs/>
        </w:rPr>
        <w:t>Açores (+6%)</w:t>
      </w:r>
      <w:r w:rsidRPr="008E4282">
        <w:t xml:space="preserve"> e </w:t>
      </w:r>
      <w:r w:rsidRPr="008E4282">
        <w:rPr>
          <w:b/>
          <w:bCs/>
        </w:rPr>
        <w:t>Lisboa (+7%)</w:t>
      </w:r>
      <w:r w:rsidRPr="008E4282">
        <w:t xml:space="preserve"> evidenciaram desempenhos mais contidos ao longo do ano.</w:t>
      </w:r>
    </w:p>
    <w:p w14:paraId="388D7CF7" w14:textId="4C512B84" w:rsidR="006C4410" w:rsidRDefault="006C4410" w:rsidP="006C4410">
      <w:pPr>
        <w:spacing w:after="240" w:line="360" w:lineRule="auto"/>
        <w:jc w:val="both"/>
      </w:pPr>
      <w:r>
        <w:lastRenderedPageBreak/>
        <w:t xml:space="preserve">Por fim, o REDUNIQ Insights avalia a evolução da utilização da tecnologia </w:t>
      </w:r>
      <w:proofErr w:type="spellStart"/>
      <w:r>
        <w:t>contactless</w:t>
      </w:r>
      <w:proofErr w:type="spellEnd"/>
      <w:r>
        <w:t xml:space="preserve"> nos últimos anos. Segundo os dados mais recentes, </w:t>
      </w:r>
      <w:r w:rsidR="00DE7219">
        <w:t xml:space="preserve">o </w:t>
      </w:r>
      <w:proofErr w:type="spellStart"/>
      <w:r w:rsidR="00DE7219" w:rsidRPr="00DE7219">
        <w:rPr>
          <w:b/>
          <w:bCs/>
        </w:rPr>
        <w:t>contactless</w:t>
      </w:r>
      <w:proofErr w:type="spellEnd"/>
      <w:r w:rsidR="0071353E" w:rsidRPr="00DE7219">
        <w:rPr>
          <w:b/>
          <w:bCs/>
        </w:rPr>
        <w:t xml:space="preserve"> já</w:t>
      </w:r>
      <w:r w:rsidR="00E076F2" w:rsidRPr="00DE7219">
        <w:rPr>
          <w:b/>
          <w:bCs/>
        </w:rPr>
        <w:t xml:space="preserve"> representa </w:t>
      </w:r>
      <w:r w:rsidR="0071353E" w:rsidRPr="00DE7219">
        <w:rPr>
          <w:b/>
          <w:bCs/>
        </w:rPr>
        <w:t xml:space="preserve">71% </w:t>
      </w:r>
      <w:r w:rsidR="00E076F2" w:rsidRPr="00DE7219">
        <w:rPr>
          <w:b/>
          <w:bCs/>
        </w:rPr>
        <w:t>da faturação</w:t>
      </w:r>
      <w:r w:rsidR="00E076F2">
        <w:t xml:space="preserve"> </w:t>
      </w:r>
      <w:r w:rsidR="00E076F2" w:rsidRPr="0029056E">
        <w:rPr>
          <w:b/>
          <w:bCs/>
        </w:rPr>
        <w:t xml:space="preserve">e 85% do número de transações </w:t>
      </w:r>
      <w:r w:rsidR="00E076F2">
        <w:t xml:space="preserve">registadas na rede de pagamentos da UNICRE. </w:t>
      </w:r>
      <w:r w:rsidR="00646A49">
        <w:t>Porém, o val</w:t>
      </w:r>
      <w:r w:rsidR="00DE7219">
        <w:t xml:space="preserve">or de compra médio permanece inferior ao da média total do sistema (26,95€ </w:t>
      </w:r>
      <w:r w:rsidR="00DE7219" w:rsidRPr="0029056E">
        <w:rPr>
          <w:i/>
          <w:iCs/>
        </w:rPr>
        <w:t>vs.</w:t>
      </w:r>
      <w:r w:rsidR="00DE7219">
        <w:t xml:space="preserve"> 32,03€).</w:t>
      </w:r>
    </w:p>
    <w:p w14:paraId="226277D1" w14:textId="5BB6BAA7" w:rsidR="001A54FB" w:rsidRDefault="001A54FB" w:rsidP="00A60287">
      <w:pPr>
        <w:spacing w:after="240" w:line="360" w:lineRule="auto"/>
        <w:jc w:val="both"/>
      </w:pPr>
      <w:r w:rsidRPr="001A54FB">
        <w:t xml:space="preserve">Num contexto marcado </w:t>
      </w:r>
      <w:r w:rsidR="00DB6739">
        <w:t>por uma</w:t>
      </w:r>
      <w:r w:rsidRPr="001A54FB">
        <w:t xml:space="preserve"> maior exigência na gestão da procura, estes dados reforçam a importância de soluções de pagamento robustas, flexíveis e adaptadas a diferentes comportamentos. </w:t>
      </w:r>
      <w:r w:rsidR="006B3A76" w:rsidRPr="006B3A76">
        <w:t>A UNICRE mantém o seu compromisso em apoiar os negócios na sua evolução, garantindo experiências de pagamento modernas e ajustadas às necessidades dos consumidores.</w:t>
      </w:r>
    </w:p>
    <w:p w14:paraId="5D8DBF3A" w14:textId="677C30A1" w:rsidR="00A60287" w:rsidRPr="00C10C80" w:rsidRDefault="00A60287" w:rsidP="00A60287">
      <w:pPr>
        <w:spacing w:after="240" w:line="360" w:lineRule="auto"/>
        <w:jc w:val="both"/>
      </w:pPr>
      <w:r>
        <w:t xml:space="preserve">Estes e outros </w:t>
      </w:r>
      <w:r w:rsidRPr="00C10C80">
        <w:rPr>
          <w:i/>
          <w:iCs/>
        </w:rPr>
        <w:t>insights</w:t>
      </w:r>
      <w:r>
        <w:t xml:space="preserve"> estratégicos para a tomada de decisão, o desenvolvimento dos negócios e da economia nacional, estão disponíveis no site da </w:t>
      </w:r>
      <w:hyperlink r:id="rId13" w:anchor="tendencias-mercado" w:history="1">
        <w:r w:rsidRPr="00F43739">
          <w:rPr>
            <w:rStyle w:val="Hiperligao"/>
          </w:rPr>
          <w:t>REDUNIQ.pt/insights</w:t>
        </w:r>
      </w:hyperlink>
      <w:r>
        <w:t xml:space="preserve">. </w:t>
      </w:r>
      <w:r w:rsidRPr="00483603">
        <w:rPr>
          <w:b/>
          <w:bCs/>
        </w:rPr>
        <w:t>Para mais informações</w:t>
      </w:r>
      <w:r>
        <w:rPr>
          <w:b/>
          <w:bCs/>
        </w:rPr>
        <w:t xml:space="preserve"> contacte a REDUNIQ.</w:t>
      </w:r>
    </w:p>
    <w:p w14:paraId="228771A5" w14:textId="77777777" w:rsidR="00390F47" w:rsidRPr="00390F47" w:rsidRDefault="00390F47" w:rsidP="00390F47">
      <w:pPr>
        <w:spacing w:after="240" w:line="360" w:lineRule="auto"/>
        <w:jc w:val="both"/>
        <w:rPr>
          <w:b/>
          <w:bCs/>
        </w:rPr>
      </w:pPr>
    </w:p>
    <w:p w14:paraId="50DD8D0A" w14:textId="6A3D5196" w:rsidR="00C14324" w:rsidRDefault="00157CD9" w:rsidP="00576BAD">
      <w:pPr>
        <w:pBdr>
          <w:top w:val="nil"/>
          <w:left w:val="nil"/>
          <w:bottom w:val="nil"/>
          <w:right w:val="nil"/>
          <w:between w:val="nil"/>
        </w:pBdr>
        <w:spacing w:after="120" w:line="288" w:lineRule="auto"/>
        <w:jc w:val="both"/>
        <w:rPr>
          <w:b/>
          <w:color w:val="000000"/>
          <w:sz w:val="20"/>
          <w:szCs w:val="20"/>
        </w:rPr>
      </w:pPr>
      <w:r>
        <w:rPr>
          <w:b/>
          <w:color w:val="000000"/>
          <w:sz w:val="20"/>
          <w:szCs w:val="20"/>
        </w:rPr>
        <w:t>Sobre a UNICRE:</w:t>
      </w:r>
    </w:p>
    <w:p w14:paraId="1782C937" w14:textId="444A95EB" w:rsidR="00576BAD" w:rsidRDefault="005D7C8D" w:rsidP="005D7C8D">
      <w:pPr>
        <w:pStyle w:val="BodyA"/>
        <w:spacing w:after="240" w:line="288" w:lineRule="auto"/>
        <w:rPr>
          <w:rStyle w:val="None"/>
          <w:color w:val="auto"/>
          <w:sz w:val="20"/>
          <w:szCs w:val="20"/>
        </w:rPr>
      </w:pPr>
      <w:r w:rsidRPr="000370A3">
        <w:rPr>
          <w:rStyle w:val="None"/>
          <w:color w:val="auto"/>
          <w:sz w:val="20"/>
          <w:szCs w:val="20"/>
        </w:rPr>
        <w:t xml:space="preserve">A </w:t>
      </w:r>
      <w:hyperlink r:id="rId14" w:history="1">
        <w:r w:rsidRPr="006F18EF">
          <w:rPr>
            <w:rStyle w:val="Hiperligao"/>
            <w:sz w:val="20"/>
            <w:szCs w:val="20"/>
          </w:rPr>
          <w:t>UNICRE</w:t>
        </w:r>
      </w:hyperlink>
      <w:r w:rsidRPr="000370A3">
        <w:rPr>
          <w:rStyle w:val="None"/>
          <w:color w:val="auto"/>
          <w:sz w:val="20"/>
          <w:szCs w:val="20"/>
        </w:rPr>
        <w:t xml:space="preserve"> é uma empresa portuguesa de referência no ecossistema financeiro, especializada em soluções de pagamento e </w:t>
      </w:r>
      <w:proofErr w:type="spellStart"/>
      <w:r w:rsidRPr="000370A3">
        <w:rPr>
          <w:rStyle w:val="None"/>
          <w:color w:val="auto"/>
          <w:sz w:val="20"/>
          <w:szCs w:val="20"/>
        </w:rPr>
        <w:t>acquiring</w:t>
      </w:r>
      <w:proofErr w:type="spellEnd"/>
      <w:r w:rsidRPr="000370A3">
        <w:rPr>
          <w:rStyle w:val="None"/>
          <w:color w:val="auto"/>
          <w:sz w:val="20"/>
          <w:szCs w:val="20"/>
        </w:rPr>
        <w:t>, onde desempenha um papel central no suporte aos negócios físicos e digitais. Com mais de 50 anos de experiência e uma forte aposta na inovação tecnológica, a UNICRE desenvolve e gere soluções ágeis, fiáveis e eficientes, apoiando empresas de diferentes dimensões e setores na modernização da experiência de pagamento e no crescimento dos seus negócios.</w:t>
      </w:r>
    </w:p>
    <w:p w14:paraId="7830CCD2" w14:textId="77777777" w:rsidR="005D7C8D" w:rsidRPr="005D7C8D" w:rsidRDefault="005D7C8D" w:rsidP="005D7C8D">
      <w:pPr>
        <w:pStyle w:val="BodyA"/>
        <w:spacing w:after="240" w:line="288" w:lineRule="auto"/>
        <w:rPr>
          <w:i/>
          <w:iCs/>
          <w:color w:val="auto"/>
          <w:sz w:val="20"/>
          <w:szCs w:val="20"/>
        </w:rPr>
      </w:pPr>
    </w:p>
    <w:p w14:paraId="38E12AD9" w14:textId="1ECF7330" w:rsidR="000763D7" w:rsidRDefault="000763D7" w:rsidP="00576BAD">
      <w:pPr>
        <w:spacing w:after="120" w:line="288" w:lineRule="auto"/>
        <w:jc w:val="both"/>
        <w:rPr>
          <w:b/>
          <w:color w:val="000000"/>
          <w:sz w:val="20"/>
          <w:szCs w:val="20"/>
        </w:rPr>
      </w:pPr>
      <w:r>
        <w:rPr>
          <w:b/>
          <w:color w:val="000000"/>
          <w:sz w:val="20"/>
          <w:szCs w:val="20"/>
        </w:rPr>
        <w:t>Sobre o REDUNIQ Insights:</w:t>
      </w:r>
    </w:p>
    <w:p w14:paraId="65C75B0F" w14:textId="77777777" w:rsidR="00576BAD" w:rsidRDefault="00576BAD" w:rsidP="00576BAD">
      <w:pPr>
        <w:tabs>
          <w:tab w:val="center" w:pos="4252"/>
          <w:tab w:val="right" w:pos="8504"/>
          <w:tab w:val="right" w:pos="8478"/>
        </w:tabs>
        <w:spacing w:after="120" w:line="288" w:lineRule="auto"/>
        <w:jc w:val="both"/>
        <w:rPr>
          <w:color w:val="000000"/>
          <w:sz w:val="20"/>
          <w:szCs w:val="20"/>
        </w:rPr>
      </w:pPr>
      <w:r>
        <w:rPr>
          <w:color w:val="000000"/>
          <w:sz w:val="20"/>
          <w:szCs w:val="20"/>
        </w:rPr>
        <w:t xml:space="preserve">O </w:t>
      </w:r>
      <w:sdt>
        <w:sdtPr>
          <w:tag w:val="goog_rdk_19"/>
          <w:id w:val="-1816480010"/>
        </w:sdtPr>
        <w:sdtEndPr/>
        <w:sdtContent>
          <w:hyperlink r:id="rId15" w:history="1">
            <w:r>
              <w:rPr>
                <w:color w:val="1155CC"/>
                <w:sz w:val="20"/>
                <w:szCs w:val="20"/>
                <w:u w:val="single"/>
              </w:rPr>
              <w:t>REDUNIQ Insights</w:t>
            </w:r>
          </w:hyperlink>
        </w:sdtContent>
      </w:sdt>
      <w:r>
        <w:rPr>
          <w:color w:val="000000"/>
          <w:sz w:val="20"/>
          <w:szCs w:val="20"/>
        </w:rPr>
        <w:t xml:space="preserve"> é uma solução de conhecimento que pretende disponibilizar informação analítica aos clientes da REDUNIQ, maior </w:t>
      </w:r>
      <w:proofErr w:type="spellStart"/>
      <w:r>
        <w:rPr>
          <w:color w:val="000000"/>
          <w:sz w:val="20"/>
          <w:szCs w:val="20"/>
        </w:rPr>
        <w:t>acquirer</w:t>
      </w:r>
      <w:proofErr w:type="spellEnd"/>
      <w:r>
        <w:rPr>
          <w:color w:val="000000"/>
          <w:sz w:val="20"/>
          <w:szCs w:val="20"/>
        </w:rPr>
        <w:t xml:space="preserve"> português e marca da UNICRE responsável por disponibilizar soluções de aceitação de pagamentos digitais em loja física e </w:t>
      </w:r>
      <w:r>
        <w:rPr>
          <w:i/>
          <w:iCs/>
          <w:color w:val="000000"/>
          <w:sz w:val="20"/>
          <w:szCs w:val="20"/>
        </w:rPr>
        <w:t>online</w:t>
      </w:r>
      <w:r>
        <w:rPr>
          <w:color w:val="000000"/>
          <w:sz w:val="20"/>
          <w:szCs w:val="20"/>
        </w:rPr>
        <w:t>. Através da divulgação de dados referentes à evolução da faturação e transações dos negócios com origem em cartões de pagamento nacionais e estrangeiros, a REDUNIQ objetiva apoiar as empresas do retalho nacional na geração de insights e na tomada de decisões de desenvolvimento de negócio.</w:t>
      </w:r>
    </w:p>
    <w:p w14:paraId="7826870A" w14:textId="77777777" w:rsidR="00576BAD" w:rsidRDefault="00576BAD" w:rsidP="00576BAD">
      <w:pPr>
        <w:pBdr>
          <w:top w:val="nil"/>
          <w:left w:val="nil"/>
          <w:bottom w:val="nil"/>
          <w:right w:val="nil"/>
          <w:between w:val="nil"/>
        </w:pBdr>
        <w:tabs>
          <w:tab w:val="center" w:pos="4252"/>
          <w:tab w:val="right" w:pos="8504"/>
          <w:tab w:val="right" w:pos="8478"/>
        </w:tabs>
        <w:spacing w:after="120" w:line="288" w:lineRule="auto"/>
        <w:rPr>
          <w:b/>
          <w:color w:val="000000"/>
          <w:sz w:val="20"/>
          <w:szCs w:val="20"/>
        </w:rPr>
      </w:pPr>
    </w:p>
    <w:p w14:paraId="636AF034" w14:textId="07FFB745" w:rsidR="00C14324" w:rsidRDefault="00157CD9" w:rsidP="00576BAD">
      <w:pPr>
        <w:pBdr>
          <w:top w:val="nil"/>
          <w:left w:val="nil"/>
          <w:bottom w:val="nil"/>
          <w:right w:val="nil"/>
          <w:between w:val="nil"/>
        </w:pBdr>
        <w:tabs>
          <w:tab w:val="center" w:pos="4252"/>
          <w:tab w:val="right" w:pos="8504"/>
          <w:tab w:val="right" w:pos="8478"/>
        </w:tabs>
        <w:spacing w:after="80" w:line="288" w:lineRule="auto"/>
        <w:rPr>
          <w:b/>
          <w:color w:val="000000"/>
          <w:sz w:val="20"/>
          <w:szCs w:val="20"/>
        </w:rPr>
      </w:pPr>
      <w:r>
        <w:rPr>
          <w:b/>
          <w:color w:val="000000"/>
          <w:sz w:val="20"/>
          <w:szCs w:val="20"/>
        </w:rPr>
        <w:t>Para mais informações, contacte:</w:t>
      </w:r>
    </w:p>
    <w:p w14:paraId="188DEDC2" w14:textId="77777777" w:rsidR="00C14324" w:rsidRDefault="00157CD9" w:rsidP="00576BAD">
      <w:pPr>
        <w:pBdr>
          <w:top w:val="nil"/>
          <w:left w:val="nil"/>
          <w:bottom w:val="nil"/>
          <w:right w:val="nil"/>
          <w:between w:val="nil"/>
        </w:pBdr>
        <w:tabs>
          <w:tab w:val="center" w:pos="4252"/>
          <w:tab w:val="right" w:pos="8504"/>
          <w:tab w:val="right" w:pos="8478"/>
        </w:tabs>
        <w:spacing w:after="40" w:line="288" w:lineRule="auto"/>
        <w:rPr>
          <w:color w:val="000000"/>
          <w:sz w:val="20"/>
          <w:szCs w:val="20"/>
          <w:u w:val="single"/>
        </w:rPr>
      </w:pPr>
      <w:proofErr w:type="spellStart"/>
      <w:r>
        <w:rPr>
          <w:color w:val="000000"/>
          <w:sz w:val="20"/>
          <w:szCs w:val="20"/>
          <w:u w:val="single"/>
        </w:rPr>
        <w:t>Lift</w:t>
      </w:r>
      <w:proofErr w:type="spellEnd"/>
      <w:r>
        <w:rPr>
          <w:color w:val="000000"/>
          <w:sz w:val="20"/>
          <w:szCs w:val="20"/>
          <w:u w:val="single"/>
        </w:rPr>
        <w:t xml:space="preserve"> </w:t>
      </w:r>
      <w:proofErr w:type="spellStart"/>
      <w:r>
        <w:rPr>
          <w:color w:val="000000"/>
          <w:sz w:val="20"/>
          <w:szCs w:val="20"/>
          <w:u w:val="single"/>
        </w:rPr>
        <w:t>Consulting</w:t>
      </w:r>
      <w:proofErr w:type="spellEnd"/>
    </w:p>
    <w:p w14:paraId="2646834B" w14:textId="77777777" w:rsidR="007E5B7B" w:rsidRPr="007E5B7B" w:rsidRDefault="00FC3851" w:rsidP="007E5B7B">
      <w:pPr>
        <w:widowControl w:val="0"/>
        <w:pBdr>
          <w:top w:val="nil"/>
          <w:left w:val="nil"/>
          <w:bottom w:val="nil"/>
          <w:right w:val="nil"/>
          <w:between w:val="nil"/>
        </w:pBdr>
        <w:tabs>
          <w:tab w:val="center" w:pos="4252"/>
          <w:tab w:val="right" w:pos="8504"/>
          <w:tab w:val="right" w:pos="8478"/>
        </w:tabs>
        <w:spacing w:line="288" w:lineRule="auto"/>
        <w:rPr>
          <w:color w:val="000000"/>
          <w:sz w:val="20"/>
          <w:szCs w:val="20"/>
        </w:rPr>
      </w:pPr>
      <w:r>
        <w:rPr>
          <w:color w:val="000000"/>
          <w:sz w:val="20"/>
          <w:szCs w:val="20"/>
        </w:rPr>
        <w:t>Patrícia Afonso</w:t>
      </w:r>
      <w:r w:rsidR="00157CD9">
        <w:rPr>
          <w:color w:val="000000"/>
          <w:sz w:val="20"/>
          <w:szCs w:val="20"/>
        </w:rPr>
        <w:t xml:space="preserve"> | </w:t>
      </w:r>
      <w:hyperlink r:id="rId16" w:history="1">
        <w:proofErr w:type="spellStart"/>
        <w:proofErr w:type="gramStart"/>
        <w:r w:rsidRPr="00FC3851">
          <w:rPr>
            <w:rStyle w:val="Hiperligao"/>
            <w:sz w:val="20"/>
            <w:szCs w:val="20"/>
          </w:rPr>
          <w:t>patricia.afonso</w:t>
        </w:r>
        <w:proofErr w:type="spellEnd"/>
        <w:proofErr w:type="gramEnd"/>
        <w:r w:rsidRPr="00FC3851">
          <w:rPr>
            <w:rStyle w:val="Hiperligao"/>
            <w:sz w:val="20"/>
            <w:szCs w:val="20"/>
          </w:rPr>
          <w:t xml:space="preserve"> </w:t>
        </w:r>
        <w:r w:rsidR="00157CD9" w:rsidRPr="00FC3851">
          <w:rPr>
            <w:rStyle w:val="Hiperligao"/>
            <w:sz w:val="20"/>
            <w:szCs w:val="20"/>
          </w:rPr>
          <w:t>@lift.com.pt</w:t>
        </w:r>
      </w:hyperlink>
      <w:r w:rsidR="00157CD9">
        <w:rPr>
          <w:color w:val="000000"/>
          <w:sz w:val="20"/>
          <w:szCs w:val="20"/>
        </w:rPr>
        <w:t xml:space="preserve"> | </w:t>
      </w:r>
      <w:r w:rsidR="007E5B7B" w:rsidRPr="007E5B7B">
        <w:rPr>
          <w:bCs/>
          <w:color w:val="000000"/>
          <w:sz w:val="20"/>
          <w:szCs w:val="20"/>
        </w:rPr>
        <w:t>913 385 935</w:t>
      </w:r>
    </w:p>
    <w:p w14:paraId="7A27A145" w14:textId="77777777" w:rsidR="007E5B7B" w:rsidRPr="007E5B7B" w:rsidRDefault="007E5B7B" w:rsidP="007E5B7B">
      <w:pPr>
        <w:widowControl w:val="0"/>
        <w:pBdr>
          <w:top w:val="nil"/>
          <w:left w:val="nil"/>
          <w:bottom w:val="nil"/>
          <w:right w:val="nil"/>
          <w:between w:val="nil"/>
        </w:pBdr>
        <w:tabs>
          <w:tab w:val="center" w:pos="4252"/>
          <w:tab w:val="right" w:pos="8504"/>
          <w:tab w:val="right" w:pos="8478"/>
        </w:tabs>
        <w:spacing w:after="0" w:line="288" w:lineRule="auto"/>
        <w:rPr>
          <w:color w:val="000000"/>
          <w:sz w:val="20"/>
          <w:szCs w:val="20"/>
        </w:rPr>
      </w:pPr>
      <w:r w:rsidRPr="007E5B7B">
        <w:rPr>
          <w:color w:val="000000"/>
          <w:sz w:val="20"/>
          <w:szCs w:val="20"/>
        </w:rPr>
        <w:t> </w:t>
      </w:r>
    </w:p>
    <w:p w14:paraId="11A1CA2F" w14:textId="5D62C9C7" w:rsidR="00C14324" w:rsidRPr="00982F98" w:rsidRDefault="00C14324" w:rsidP="00576BAD">
      <w:pPr>
        <w:widowControl w:val="0"/>
        <w:pBdr>
          <w:top w:val="nil"/>
          <w:left w:val="nil"/>
          <w:bottom w:val="nil"/>
          <w:right w:val="nil"/>
          <w:between w:val="nil"/>
        </w:pBdr>
        <w:tabs>
          <w:tab w:val="center" w:pos="4252"/>
          <w:tab w:val="right" w:pos="8504"/>
          <w:tab w:val="right" w:pos="8478"/>
        </w:tabs>
        <w:spacing w:after="0" w:line="288" w:lineRule="auto"/>
        <w:rPr>
          <w:color w:val="000000"/>
          <w:sz w:val="20"/>
          <w:szCs w:val="20"/>
        </w:rPr>
      </w:pPr>
    </w:p>
    <w:sectPr w:rsidR="00C14324" w:rsidRPr="00982F98" w:rsidSect="00C906F1">
      <w:headerReference w:type="default" r:id="rId17"/>
      <w:footerReference w:type="default" r:id="rId18"/>
      <w:pgSz w:w="11906" w:h="16838"/>
      <w:pgMar w:top="1560" w:right="1701"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E1267" w14:textId="77777777" w:rsidR="00954B80" w:rsidRDefault="00954B80">
      <w:pPr>
        <w:spacing w:after="0" w:line="240" w:lineRule="auto"/>
      </w:pPr>
      <w:r>
        <w:separator/>
      </w:r>
    </w:p>
  </w:endnote>
  <w:endnote w:type="continuationSeparator" w:id="0">
    <w:p w14:paraId="29A4851D" w14:textId="77777777" w:rsidR="00954B80" w:rsidRDefault="0095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embedRegular r:id="rId1" w:fontKey="{6725C8FE-7DB2-46BE-B294-52E5079BA259}"/>
  </w:font>
  <w:font w:name="Calibri">
    <w:panose1 w:val="020F0502020204030204"/>
    <w:charset w:val="00"/>
    <w:family w:val="swiss"/>
    <w:pitch w:val="variable"/>
    <w:sig w:usb0="E4002EFF" w:usb1="C200247B" w:usb2="00000009" w:usb3="00000000" w:csb0="000001FF" w:csb1="00000000"/>
    <w:embedRegular r:id="rId2" w:fontKey="{EFF904FB-4CFD-409E-9F6D-CB8421A2D899}"/>
    <w:embedBold r:id="rId3" w:fontKey="{5DE48EDE-ACF1-43EE-8A92-D59292D45E01}"/>
    <w:embedItalic r:id="rId4" w:fontKey="{2F4AA2C5-A88A-4CBA-B0C9-EADBAEC93A7C}"/>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5" w:fontKey="{CA4E1ADF-D09A-4813-8CE1-AEAA24745755}"/>
    <w:embedItalic r:id="rId6" w:fontKey="{310CC004-EF8B-46A8-B0F7-6A2F1EEF38CC}"/>
  </w:font>
  <w:font w:name="Aptos">
    <w:charset w:val="00"/>
    <w:family w:val="swiss"/>
    <w:pitch w:val="variable"/>
    <w:sig w:usb0="20000287" w:usb1="00000003" w:usb2="00000000" w:usb3="00000000" w:csb0="0000019F" w:csb1="00000000"/>
    <w:embedBold r:id="rId7" w:fontKey="{DF8BD67A-EB9E-4AA8-87B7-D98E1197527A}"/>
    <w:embedItalic r:id="rId8" w:fontKey="{05D4917F-F22C-4CDA-97DE-64FBD1EF7B12}"/>
  </w:font>
  <w:font w:name="Calibri Light">
    <w:panose1 w:val="020F0302020204030204"/>
    <w:charset w:val="00"/>
    <w:family w:val="swiss"/>
    <w:pitch w:val="variable"/>
    <w:sig w:usb0="E4002EFF" w:usb1="C200247B" w:usb2="00000009" w:usb3="00000000" w:csb0="000001FF" w:csb1="00000000"/>
    <w:embedRegular r:id="rId9" w:fontKey="{B67EBD7F-22F2-4CBA-9D2D-15DACCEDD6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795E" w14:textId="4F4BAA07" w:rsidR="00C14324" w:rsidRDefault="00F6427C" w:rsidP="00A613C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allowOverlap="1" wp14:anchorId="24C6AA08" wp14:editId="7824881E">
          <wp:simplePos x="0" y="0"/>
          <wp:positionH relativeFrom="margin">
            <wp:posOffset>4255770</wp:posOffset>
          </wp:positionH>
          <wp:positionV relativeFrom="margin">
            <wp:posOffset>8970010</wp:posOffset>
          </wp:positionV>
          <wp:extent cx="1144270" cy="453507"/>
          <wp:effectExtent l="0" t="0" r="0" b="3810"/>
          <wp:wrapSquare wrapText="bothSides"/>
          <wp:docPr id="777224547" name="Imagem 777224547" descr="Uma imagem com texto, Tipo de letra, logótipo, Gráfico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Tipo de letra, logótipo, Gráficos&#10;&#10;Os conteúdos gerados por IA poderão estar incorretos."/>
                  <pic:cNvPicPr/>
                </pic:nvPicPr>
                <pic:blipFill>
                  <a:blip r:embed="rId1">
                    <a:extLst>
                      <a:ext uri="{28A0092B-C50C-407E-A947-70E740481C1C}">
                        <a14:useLocalDpi xmlns:a14="http://schemas.microsoft.com/office/drawing/2010/main" val="0"/>
                      </a:ext>
                    </a:extLst>
                  </a:blip>
                  <a:stretch>
                    <a:fillRect/>
                  </a:stretch>
                </pic:blipFill>
                <pic:spPr>
                  <a:xfrm>
                    <a:off x="0" y="0"/>
                    <a:ext cx="1144270" cy="45350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04A27" w14:textId="77777777" w:rsidR="00954B80" w:rsidRDefault="00954B80">
      <w:pPr>
        <w:spacing w:after="0" w:line="240" w:lineRule="auto"/>
      </w:pPr>
      <w:r>
        <w:separator/>
      </w:r>
    </w:p>
  </w:footnote>
  <w:footnote w:type="continuationSeparator" w:id="0">
    <w:p w14:paraId="0F1BC975" w14:textId="77777777" w:rsidR="00954B80" w:rsidRDefault="00954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88DEE" w14:textId="6E5A10F6" w:rsidR="00C14324" w:rsidRDefault="00A613C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7215" behindDoc="0" locked="0" layoutInCell="1" allowOverlap="1" wp14:anchorId="5F690CB2" wp14:editId="4A093915">
          <wp:simplePos x="0" y="0"/>
          <wp:positionH relativeFrom="margin">
            <wp:posOffset>18415</wp:posOffset>
          </wp:positionH>
          <wp:positionV relativeFrom="margin">
            <wp:posOffset>-731520</wp:posOffset>
          </wp:positionV>
          <wp:extent cx="2501265" cy="556260"/>
          <wp:effectExtent l="0" t="0" r="0" b="0"/>
          <wp:wrapSquare wrapText="bothSides"/>
          <wp:docPr id="689229228" name="Imagem 689229228" descr="Uma imagem com texto, Tipo de letra, logótipo, Gráfico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Tipo de letra, logótipo, Gráficos&#10;&#10;Os conteúdos gerados por IA poderão estar incorretos."/>
                  <pic:cNvPicPr/>
                </pic:nvPicPr>
                <pic:blipFill rotWithShape="1">
                  <a:blip r:embed="rId1">
                    <a:extLst>
                      <a:ext uri="{28A0092B-C50C-407E-A947-70E740481C1C}">
                        <a14:useLocalDpi xmlns:a14="http://schemas.microsoft.com/office/drawing/2010/main" val="0"/>
                      </a:ext>
                    </a:extLst>
                  </a:blip>
                  <a:srcRect l="3611" r="4197"/>
                  <a:stretch/>
                </pic:blipFill>
                <pic:spPr bwMode="auto">
                  <a:xfrm>
                    <a:off x="0" y="0"/>
                    <a:ext cx="2501265" cy="55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CD9">
      <w:rPr>
        <w:color w:val="000000"/>
      </w:rPr>
      <w:t xml:space="preserve">                          </w:t>
    </w:r>
  </w:p>
  <w:p w14:paraId="5889BEA6" w14:textId="066CEC1A" w:rsidR="00C14324" w:rsidRDefault="00C14324">
    <w:pPr>
      <w:pBdr>
        <w:top w:val="nil"/>
        <w:left w:val="nil"/>
        <w:bottom w:val="nil"/>
        <w:right w:val="nil"/>
        <w:between w:val="nil"/>
      </w:pBdr>
      <w:tabs>
        <w:tab w:val="center" w:pos="4252"/>
        <w:tab w:val="right" w:pos="8504"/>
      </w:tabs>
      <w:spacing w:after="0" w:line="240" w:lineRule="auto"/>
      <w:rPr>
        <w:color w:val="000000"/>
      </w:rPr>
    </w:pPr>
  </w:p>
  <w:p w14:paraId="0C3BEE49" w14:textId="3323719D" w:rsidR="00A613C8" w:rsidRDefault="00A613C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3383A"/>
    <w:multiLevelType w:val="hybridMultilevel"/>
    <w:tmpl w:val="7902C6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BAB1F5D"/>
    <w:multiLevelType w:val="hybridMultilevel"/>
    <w:tmpl w:val="AF3E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5A5E92"/>
    <w:multiLevelType w:val="hybridMultilevel"/>
    <w:tmpl w:val="8CE8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E634C"/>
    <w:multiLevelType w:val="multilevel"/>
    <w:tmpl w:val="3286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6418E6"/>
    <w:multiLevelType w:val="hybridMultilevel"/>
    <w:tmpl w:val="ADF8B0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45005E74"/>
    <w:multiLevelType w:val="hybridMultilevel"/>
    <w:tmpl w:val="A29EEF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4F506B0F"/>
    <w:multiLevelType w:val="hybridMultilevel"/>
    <w:tmpl w:val="E2D4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FC339D"/>
    <w:multiLevelType w:val="multilevel"/>
    <w:tmpl w:val="327C0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E15C50"/>
    <w:multiLevelType w:val="multilevel"/>
    <w:tmpl w:val="85D48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F5278B"/>
    <w:multiLevelType w:val="hybridMultilevel"/>
    <w:tmpl w:val="52C604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642268407">
    <w:abstractNumId w:val="8"/>
  </w:num>
  <w:num w:numId="2" w16cid:durableId="1497913607">
    <w:abstractNumId w:val="2"/>
  </w:num>
  <w:num w:numId="3" w16cid:durableId="293339717">
    <w:abstractNumId w:val="6"/>
  </w:num>
  <w:num w:numId="4" w16cid:durableId="1773819669">
    <w:abstractNumId w:val="1"/>
  </w:num>
  <w:num w:numId="5" w16cid:durableId="1318150260">
    <w:abstractNumId w:val="7"/>
  </w:num>
  <w:num w:numId="6" w16cid:durableId="179242131">
    <w:abstractNumId w:val="3"/>
  </w:num>
  <w:num w:numId="7" w16cid:durableId="1661496645">
    <w:abstractNumId w:val="4"/>
  </w:num>
  <w:num w:numId="8" w16cid:durableId="490297816">
    <w:abstractNumId w:val="0"/>
  </w:num>
  <w:num w:numId="9" w16cid:durableId="1876231679">
    <w:abstractNumId w:val="5"/>
  </w:num>
  <w:num w:numId="10" w16cid:durableId="17379711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324"/>
    <w:rsid w:val="00000191"/>
    <w:rsid w:val="0000442C"/>
    <w:rsid w:val="00005777"/>
    <w:rsid w:val="00006105"/>
    <w:rsid w:val="00010E93"/>
    <w:rsid w:val="00014353"/>
    <w:rsid w:val="000165F0"/>
    <w:rsid w:val="0001754C"/>
    <w:rsid w:val="000213AE"/>
    <w:rsid w:val="0003035E"/>
    <w:rsid w:val="000311DB"/>
    <w:rsid w:val="00032048"/>
    <w:rsid w:val="000325C2"/>
    <w:rsid w:val="00033552"/>
    <w:rsid w:val="000350FB"/>
    <w:rsid w:val="000403A9"/>
    <w:rsid w:val="00045FF4"/>
    <w:rsid w:val="0005382D"/>
    <w:rsid w:val="0005430B"/>
    <w:rsid w:val="00057669"/>
    <w:rsid w:val="00061B6F"/>
    <w:rsid w:val="00065FAA"/>
    <w:rsid w:val="0006660F"/>
    <w:rsid w:val="000678CB"/>
    <w:rsid w:val="00070E3C"/>
    <w:rsid w:val="00073586"/>
    <w:rsid w:val="00073A5A"/>
    <w:rsid w:val="00073BF8"/>
    <w:rsid w:val="0007529B"/>
    <w:rsid w:val="0007573B"/>
    <w:rsid w:val="0007583E"/>
    <w:rsid w:val="000763D7"/>
    <w:rsid w:val="0008539D"/>
    <w:rsid w:val="0008592B"/>
    <w:rsid w:val="0009058A"/>
    <w:rsid w:val="00097A99"/>
    <w:rsid w:val="000A1F1A"/>
    <w:rsid w:val="000A5F48"/>
    <w:rsid w:val="000B5B3D"/>
    <w:rsid w:val="000B723C"/>
    <w:rsid w:val="000C05E3"/>
    <w:rsid w:val="000C2698"/>
    <w:rsid w:val="000C3E7B"/>
    <w:rsid w:val="000C42C4"/>
    <w:rsid w:val="000C63F8"/>
    <w:rsid w:val="000E284F"/>
    <w:rsid w:val="000E6828"/>
    <w:rsid w:val="000F0FD9"/>
    <w:rsid w:val="000F1FD7"/>
    <w:rsid w:val="000F2F6B"/>
    <w:rsid w:val="000F6709"/>
    <w:rsid w:val="000F7340"/>
    <w:rsid w:val="00101187"/>
    <w:rsid w:val="001012CA"/>
    <w:rsid w:val="0010262B"/>
    <w:rsid w:val="00103C1D"/>
    <w:rsid w:val="001045AA"/>
    <w:rsid w:val="0011161F"/>
    <w:rsid w:val="00114B05"/>
    <w:rsid w:val="00117604"/>
    <w:rsid w:val="001212F9"/>
    <w:rsid w:val="001215B2"/>
    <w:rsid w:val="00121F95"/>
    <w:rsid w:val="00122FF9"/>
    <w:rsid w:val="00123507"/>
    <w:rsid w:val="00125E0B"/>
    <w:rsid w:val="001262DC"/>
    <w:rsid w:val="00126785"/>
    <w:rsid w:val="00126809"/>
    <w:rsid w:val="00127560"/>
    <w:rsid w:val="00130DBD"/>
    <w:rsid w:val="001310CA"/>
    <w:rsid w:val="00133F53"/>
    <w:rsid w:val="0013569D"/>
    <w:rsid w:val="00135AC6"/>
    <w:rsid w:val="00136769"/>
    <w:rsid w:val="001416C9"/>
    <w:rsid w:val="001504BC"/>
    <w:rsid w:val="001507B2"/>
    <w:rsid w:val="00157CD9"/>
    <w:rsid w:val="0016469A"/>
    <w:rsid w:val="0017187D"/>
    <w:rsid w:val="001718FE"/>
    <w:rsid w:val="00172F11"/>
    <w:rsid w:val="0017429E"/>
    <w:rsid w:val="00177936"/>
    <w:rsid w:val="00181C5F"/>
    <w:rsid w:val="001823F6"/>
    <w:rsid w:val="001825CB"/>
    <w:rsid w:val="00192547"/>
    <w:rsid w:val="00196048"/>
    <w:rsid w:val="001A136F"/>
    <w:rsid w:val="001A1897"/>
    <w:rsid w:val="001A3C39"/>
    <w:rsid w:val="001A54FB"/>
    <w:rsid w:val="001A7134"/>
    <w:rsid w:val="001B531A"/>
    <w:rsid w:val="001B63B6"/>
    <w:rsid w:val="001B779D"/>
    <w:rsid w:val="001C2EE5"/>
    <w:rsid w:val="001C5D8F"/>
    <w:rsid w:val="001C5F44"/>
    <w:rsid w:val="001D1822"/>
    <w:rsid w:val="001D18AB"/>
    <w:rsid w:val="001D1DDE"/>
    <w:rsid w:val="001D29FA"/>
    <w:rsid w:val="001D5750"/>
    <w:rsid w:val="001D6552"/>
    <w:rsid w:val="001D70F1"/>
    <w:rsid w:val="001D715D"/>
    <w:rsid w:val="001D7E7A"/>
    <w:rsid w:val="001D7EB2"/>
    <w:rsid w:val="001E06A8"/>
    <w:rsid w:val="001E35CF"/>
    <w:rsid w:val="001F2450"/>
    <w:rsid w:val="001F4A88"/>
    <w:rsid w:val="001F4FFE"/>
    <w:rsid w:val="0020044C"/>
    <w:rsid w:val="00203AA2"/>
    <w:rsid w:val="00203CCC"/>
    <w:rsid w:val="00206010"/>
    <w:rsid w:val="00207DF8"/>
    <w:rsid w:val="002131EB"/>
    <w:rsid w:val="002225C6"/>
    <w:rsid w:val="00230867"/>
    <w:rsid w:val="00231DE1"/>
    <w:rsid w:val="00244C63"/>
    <w:rsid w:val="002464C8"/>
    <w:rsid w:val="002472FA"/>
    <w:rsid w:val="002578E8"/>
    <w:rsid w:val="00260109"/>
    <w:rsid w:val="00262DE6"/>
    <w:rsid w:val="00265BF3"/>
    <w:rsid w:val="0026733B"/>
    <w:rsid w:val="0027284B"/>
    <w:rsid w:val="0028142E"/>
    <w:rsid w:val="00282B50"/>
    <w:rsid w:val="002846F6"/>
    <w:rsid w:val="00285387"/>
    <w:rsid w:val="00287050"/>
    <w:rsid w:val="00287468"/>
    <w:rsid w:val="0029056E"/>
    <w:rsid w:val="00291823"/>
    <w:rsid w:val="002922E9"/>
    <w:rsid w:val="00295363"/>
    <w:rsid w:val="002969AB"/>
    <w:rsid w:val="002A5D75"/>
    <w:rsid w:val="002A782F"/>
    <w:rsid w:val="002B2D30"/>
    <w:rsid w:val="002B31FA"/>
    <w:rsid w:val="002B48E7"/>
    <w:rsid w:val="002B613B"/>
    <w:rsid w:val="002C2B56"/>
    <w:rsid w:val="002C46CE"/>
    <w:rsid w:val="002D2677"/>
    <w:rsid w:val="002D59A6"/>
    <w:rsid w:val="002D5B7B"/>
    <w:rsid w:val="002E5042"/>
    <w:rsid w:val="002E544E"/>
    <w:rsid w:val="002E7276"/>
    <w:rsid w:val="002F1BED"/>
    <w:rsid w:val="002F2DF8"/>
    <w:rsid w:val="002F52B3"/>
    <w:rsid w:val="002F5A7E"/>
    <w:rsid w:val="002F7171"/>
    <w:rsid w:val="002F7232"/>
    <w:rsid w:val="002F723B"/>
    <w:rsid w:val="00301BEB"/>
    <w:rsid w:val="003048F6"/>
    <w:rsid w:val="00305E17"/>
    <w:rsid w:val="00305F0F"/>
    <w:rsid w:val="003141BE"/>
    <w:rsid w:val="00315830"/>
    <w:rsid w:val="0031777B"/>
    <w:rsid w:val="00320D69"/>
    <w:rsid w:val="00322457"/>
    <w:rsid w:val="003237D7"/>
    <w:rsid w:val="00323AB5"/>
    <w:rsid w:val="00325125"/>
    <w:rsid w:val="0032570B"/>
    <w:rsid w:val="00326968"/>
    <w:rsid w:val="00327B64"/>
    <w:rsid w:val="00327FDB"/>
    <w:rsid w:val="003307A5"/>
    <w:rsid w:val="0033113E"/>
    <w:rsid w:val="003317AF"/>
    <w:rsid w:val="003334FD"/>
    <w:rsid w:val="00342126"/>
    <w:rsid w:val="0034280F"/>
    <w:rsid w:val="00345B06"/>
    <w:rsid w:val="0034640C"/>
    <w:rsid w:val="00352BFA"/>
    <w:rsid w:val="0035467E"/>
    <w:rsid w:val="00354FAE"/>
    <w:rsid w:val="00362287"/>
    <w:rsid w:val="00362945"/>
    <w:rsid w:val="00362A8D"/>
    <w:rsid w:val="0036391B"/>
    <w:rsid w:val="003734F8"/>
    <w:rsid w:val="0037595C"/>
    <w:rsid w:val="00377811"/>
    <w:rsid w:val="00377C2C"/>
    <w:rsid w:val="00381C43"/>
    <w:rsid w:val="00382CFA"/>
    <w:rsid w:val="00383883"/>
    <w:rsid w:val="003845FF"/>
    <w:rsid w:val="0038475A"/>
    <w:rsid w:val="003853D3"/>
    <w:rsid w:val="003862CF"/>
    <w:rsid w:val="00386ECD"/>
    <w:rsid w:val="003878EA"/>
    <w:rsid w:val="00387D26"/>
    <w:rsid w:val="00390B14"/>
    <w:rsid w:val="00390F47"/>
    <w:rsid w:val="0039505C"/>
    <w:rsid w:val="003A06B2"/>
    <w:rsid w:val="003A0904"/>
    <w:rsid w:val="003A454A"/>
    <w:rsid w:val="003B6C49"/>
    <w:rsid w:val="003B7396"/>
    <w:rsid w:val="003C2717"/>
    <w:rsid w:val="003C3570"/>
    <w:rsid w:val="003C6380"/>
    <w:rsid w:val="003C6941"/>
    <w:rsid w:val="003C794A"/>
    <w:rsid w:val="003D012C"/>
    <w:rsid w:val="003D4903"/>
    <w:rsid w:val="003D64FB"/>
    <w:rsid w:val="003E673B"/>
    <w:rsid w:val="003F33E8"/>
    <w:rsid w:val="003F376A"/>
    <w:rsid w:val="003F52B8"/>
    <w:rsid w:val="00401DAE"/>
    <w:rsid w:val="00401EC2"/>
    <w:rsid w:val="0040429E"/>
    <w:rsid w:val="00406B7C"/>
    <w:rsid w:val="00415BB1"/>
    <w:rsid w:val="0041603E"/>
    <w:rsid w:val="0041777E"/>
    <w:rsid w:val="00423B83"/>
    <w:rsid w:val="00423FF1"/>
    <w:rsid w:val="00424C81"/>
    <w:rsid w:val="00425B82"/>
    <w:rsid w:val="0043367F"/>
    <w:rsid w:val="0043468D"/>
    <w:rsid w:val="00464210"/>
    <w:rsid w:val="00464EEC"/>
    <w:rsid w:val="0047301B"/>
    <w:rsid w:val="004755AE"/>
    <w:rsid w:val="00480F51"/>
    <w:rsid w:val="004817A9"/>
    <w:rsid w:val="00484A1D"/>
    <w:rsid w:val="004869DD"/>
    <w:rsid w:val="004909B2"/>
    <w:rsid w:val="00491081"/>
    <w:rsid w:val="00491885"/>
    <w:rsid w:val="004934DE"/>
    <w:rsid w:val="00493CEF"/>
    <w:rsid w:val="004A0844"/>
    <w:rsid w:val="004A450A"/>
    <w:rsid w:val="004A567B"/>
    <w:rsid w:val="004A5FA4"/>
    <w:rsid w:val="004A6114"/>
    <w:rsid w:val="004A7A6C"/>
    <w:rsid w:val="004B34D8"/>
    <w:rsid w:val="004B3A30"/>
    <w:rsid w:val="004B6B50"/>
    <w:rsid w:val="004B6ECF"/>
    <w:rsid w:val="004C4282"/>
    <w:rsid w:val="004C7D7D"/>
    <w:rsid w:val="004D078E"/>
    <w:rsid w:val="004D0ABB"/>
    <w:rsid w:val="004D29DA"/>
    <w:rsid w:val="004D376E"/>
    <w:rsid w:val="004D4D5C"/>
    <w:rsid w:val="004D6872"/>
    <w:rsid w:val="004E21C5"/>
    <w:rsid w:val="004E2D42"/>
    <w:rsid w:val="004F1F50"/>
    <w:rsid w:val="004F2684"/>
    <w:rsid w:val="004F447B"/>
    <w:rsid w:val="004F4742"/>
    <w:rsid w:val="004F5A66"/>
    <w:rsid w:val="0050252A"/>
    <w:rsid w:val="0050622C"/>
    <w:rsid w:val="0051051E"/>
    <w:rsid w:val="005135EA"/>
    <w:rsid w:val="00517502"/>
    <w:rsid w:val="00517FA9"/>
    <w:rsid w:val="00521B63"/>
    <w:rsid w:val="00521DAE"/>
    <w:rsid w:val="00536954"/>
    <w:rsid w:val="00537E42"/>
    <w:rsid w:val="00540A6A"/>
    <w:rsid w:val="005421B0"/>
    <w:rsid w:val="00545E50"/>
    <w:rsid w:val="00546103"/>
    <w:rsid w:val="005478E2"/>
    <w:rsid w:val="005534AA"/>
    <w:rsid w:val="00553C76"/>
    <w:rsid w:val="00554415"/>
    <w:rsid w:val="00556822"/>
    <w:rsid w:val="0055689B"/>
    <w:rsid w:val="00557A88"/>
    <w:rsid w:val="00560413"/>
    <w:rsid w:val="00560D5E"/>
    <w:rsid w:val="00560E4D"/>
    <w:rsid w:val="005624C6"/>
    <w:rsid w:val="005641E8"/>
    <w:rsid w:val="00565BF8"/>
    <w:rsid w:val="00567A22"/>
    <w:rsid w:val="00572181"/>
    <w:rsid w:val="005739DA"/>
    <w:rsid w:val="0057446F"/>
    <w:rsid w:val="00576BAD"/>
    <w:rsid w:val="00577998"/>
    <w:rsid w:val="00583BE0"/>
    <w:rsid w:val="005850CE"/>
    <w:rsid w:val="00586A54"/>
    <w:rsid w:val="005903D9"/>
    <w:rsid w:val="00590A09"/>
    <w:rsid w:val="005914F3"/>
    <w:rsid w:val="00592823"/>
    <w:rsid w:val="005938CE"/>
    <w:rsid w:val="00595AE8"/>
    <w:rsid w:val="0059622E"/>
    <w:rsid w:val="00597ABB"/>
    <w:rsid w:val="005A03A5"/>
    <w:rsid w:val="005A0D65"/>
    <w:rsid w:val="005A15FF"/>
    <w:rsid w:val="005A1EE4"/>
    <w:rsid w:val="005A53AA"/>
    <w:rsid w:val="005B2C32"/>
    <w:rsid w:val="005B6426"/>
    <w:rsid w:val="005B6F87"/>
    <w:rsid w:val="005C417C"/>
    <w:rsid w:val="005D1547"/>
    <w:rsid w:val="005D1D42"/>
    <w:rsid w:val="005D2262"/>
    <w:rsid w:val="005D416B"/>
    <w:rsid w:val="005D7C8D"/>
    <w:rsid w:val="005E0FF7"/>
    <w:rsid w:val="005E2091"/>
    <w:rsid w:val="005E5B4C"/>
    <w:rsid w:val="005E7D99"/>
    <w:rsid w:val="005F1C25"/>
    <w:rsid w:val="005F2BB2"/>
    <w:rsid w:val="005F5D1F"/>
    <w:rsid w:val="005F5FB2"/>
    <w:rsid w:val="00600195"/>
    <w:rsid w:val="006155FE"/>
    <w:rsid w:val="0061687E"/>
    <w:rsid w:val="00616A28"/>
    <w:rsid w:val="00625FA4"/>
    <w:rsid w:val="00636C21"/>
    <w:rsid w:val="00640E1B"/>
    <w:rsid w:val="00641110"/>
    <w:rsid w:val="0064413B"/>
    <w:rsid w:val="00644C90"/>
    <w:rsid w:val="00646A49"/>
    <w:rsid w:val="006523A3"/>
    <w:rsid w:val="0065762D"/>
    <w:rsid w:val="00657902"/>
    <w:rsid w:val="00661FC3"/>
    <w:rsid w:val="00662C4D"/>
    <w:rsid w:val="006669DC"/>
    <w:rsid w:val="00674736"/>
    <w:rsid w:val="00674C90"/>
    <w:rsid w:val="00676203"/>
    <w:rsid w:val="0068075A"/>
    <w:rsid w:val="00682AD2"/>
    <w:rsid w:val="00684960"/>
    <w:rsid w:val="00691D57"/>
    <w:rsid w:val="00695DF0"/>
    <w:rsid w:val="006A6C56"/>
    <w:rsid w:val="006B18D4"/>
    <w:rsid w:val="006B3A76"/>
    <w:rsid w:val="006B5AE9"/>
    <w:rsid w:val="006B6F65"/>
    <w:rsid w:val="006B795F"/>
    <w:rsid w:val="006C1E58"/>
    <w:rsid w:val="006C1EBE"/>
    <w:rsid w:val="006C2C0C"/>
    <w:rsid w:val="006C3DA5"/>
    <w:rsid w:val="006C3F6D"/>
    <w:rsid w:val="006C4410"/>
    <w:rsid w:val="006C6AD2"/>
    <w:rsid w:val="006C7489"/>
    <w:rsid w:val="006D18B6"/>
    <w:rsid w:val="006D4FBD"/>
    <w:rsid w:val="006E39FB"/>
    <w:rsid w:val="006E402A"/>
    <w:rsid w:val="006E48F6"/>
    <w:rsid w:val="006E4E17"/>
    <w:rsid w:val="006E71FC"/>
    <w:rsid w:val="006F0089"/>
    <w:rsid w:val="006F0D6F"/>
    <w:rsid w:val="006F1B43"/>
    <w:rsid w:val="006F40BE"/>
    <w:rsid w:val="006F5DA8"/>
    <w:rsid w:val="00701A37"/>
    <w:rsid w:val="00703D35"/>
    <w:rsid w:val="00704E34"/>
    <w:rsid w:val="00706FE7"/>
    <w:rsid w:val="00710AB2"/>
    <w:rsid w:val="0071258F"/>
    <w:rsid w:val="00712F99"/>
    <w:rsid w:val="0071353E"/>
    <w:rsid w:val="00714358"/>
    <w:rsid w:val="0071598D"/>
    <w:rsid w:val="00720515"/>
    <w:rsid w:val="0073394E"/>
    <w:rsid w:val="00734466"/>
    <w:rsid w:val="00735FCD"/>
    <w:rsid w:val="0073678F"/>
    <w:rsid w:val="0073682E"/>
    <w:rsid w:val="0073785A"/>
    <w:rsid w:val="007409BB"/>
    <w:rsid w:val="00746A80"/>
    <w:rsid w:val="00752847"/>
    <w:rsid w:val="007553EE"/>
    <w:rsid w:val="00756325"/>
    <w:rsid w:val="00756F91"/>
    <w:rsid w:val="00757894"/>
    <w:rsid w:val="0076109E"/>
    <w:rsid w:val="00762857"/>
    <w:rsid w:val="0076388A"/>
    <w:rsid w:val="007657FA"/>
    <w:rsid w:val="00765A48"/>
    <w:rsid w:val="007666D5"/>
    <w:rsid w:val="00767F89"/>
    <w:rsid w:val="00771CB8"/>
    <w:rsid w:val="00773E07"/>
    <w:rsid w:val="007759C9"/>
    <w:rsid w:val="007769A5"/>
    <w:rsid w:val="00777310"/>
    <w:rsid w:val="007775C6"/>
    <w:rsid w:val="00780F37"/>
    <w:rsid w:val="007829DF"/>
    <w:rsid w:val="0078799E"/>
    <w:rsid w:val="0079009A"/>
    <w:rsid w:val="00790AEF"/>
    <w:rsid w:val="00790D30"/>
    <w:rsid w:val="0079102D"/>
    <w:rsid w:val="00791A27"/>
    <w:rsid w:val="007941D0"/>
    <w:rsid w:val="00796F72"/>
    <w:rsid w:val="00797223"/>
    <w:rsid w:val="007A0767"/>
    <w:rsid w:val="007A0B27"/>
    <w:rsid w:val="007A3DEC"/>
    <w:rsid w:val="007A5D89"/>
    <w:rsid w:val="007B22D3"/>
    <w:rsid w:val="007B28BE"/>
    <w:rsid w:val="007C365D"/>
    <w:rsid w:val="007C3AE1"/>
    <w:rsid w:val="007C4C8F"/>
    <w:rsid w:val="007C533E"/>
    <w:rsid w:val="007C6AF3"/>
    <w:rsid w:val="007C7801"/>
    <w:rsid w:val="007C7C1B"/>
    <w:rsid w:val="007D2BFD"/>
    <w:rsid w:val="007D43FA"/>
    <w:rsid w:val="007D4C56"/>
    <w:rsid w:val="007D5284"/>
    <w:rsid w:val="007D736E"/>
    <w:rsid w:val="007D7646"/>
    <w:rsid w:val="007E2503"/>
    <w:rsid w:val="007E4EE9"/>
    <w:rsid w:val="007E51B4"/>
    <w:rsid w:val="007E55D3"/>
    <w:rsid w:val="007E5810"/>
    <w:rsid w:val="007E5B7B"/>
    <w:rsid w:val="007E5CBC"/>
    <w:rsid w:val="007E5E3F"/>
    <w:rsid w:val="007E662B"/>
    <w:rsid w:val="007F2E7E"/>
    <w:rsid w:val="00801182"/>
    <w:rsid w:val="00801BD8"/>
    <w:rsid w:val="00801D2B"/>
    <w:rsid w:val="00803657"/>
    <w:rsid w:val="00814047"/>
    <w:rsid w:val="008145A1"/>
    <w:rsid w:val="00816D05"/>
    <w:rsid w:val="0081728E"/>
    <w:rsid w:val="00820D65"/>
    <w:rsid w:val="00822B4A"/>
    <w:rsid w:val="00824B41"/>
    <w:rsid w:val="00824C96"/>
    <w:rsid w:val="0082573B"/>
    <w:rsid w:val="00825F31"/>
    <w:rsid w:val="00827B8D"/>
    <w:rsid w:val="008308BF"/>
    <w:rsid w:val="008328AF"/>
    <w:rsid w:val="00834CE3"/>
    <w:rsid w:val="008365A9"/>
    <w:rsid w:val="00836BF9"/>
    <w:rsid w:val="008443F7"/>
    <w:rsid w:val="0084758A"/>
    <w:rsid w:val="00853FCC"/>
    <w:rsid w:val="008544C4"/>
    <w:rsid w:val="00854F80"/>
    <w:rsid w:val="00860D7C"/>
    <w:rsid w:val="008624CA"/>
    <w:rsid w:val="00864E9B"/>
    <w:rsid w:val="00867FEE"/>
    <w:rsid w:val="008700DD"/>
    <w:rsid w:val="00871AFB"/>
    <w:rsid w:val="0087551D"/>
    <w:rsid w:val="008767FE"/>
    <w:rsid w:val="00884870"/>
    <w:rsid w:val="00887A57"/>
    <w:rsid w:val="008906AC"/>
    <w:rsid w:val="0089142F"/>
    <w:rsid w:val="0089551E"/>
    <w:rsid w:val="00895635"/>
    <w:rsid w:val="008959D9"/>
    <w:rsid w:val="0089772B"/>
    <w:rsid w:val="008A06A8"/>
    <w:rsid w:val="008A0D87"/>
    <w:rsid w:val="008A1A4F"/>
    <w:rsid w:val="008A59AB"/>
    <w:rsid w:val="008A64E2"/>
    <w:rsid w:val="008B032A"/>
    <w:rsid w:val="008B1216"/>
    <w:rsid w:val="008B3597"/>
    <w:rsid w:val="008B5AC7"/>
    <w:rsid w:val="008B661C"/>
    <w:rsid w:val="008B7004"/>
    <w:rsid w:val="008B7F42"/>
    <w:rsid w:val="008C054B"/>
    <w:rsid w:val="008C5C1E"/>
    <w:rsid w:val="008C7D2A"/>
    <w:rsid w:val="008D0A29"/>
    <w:rsid w:val="008D0FC4"/>
    <w:rsid w:val="008D27FB"/>
    <w:rsid w:val="008D3233"/>
    <w:rsid w:val="008D73C7"/>
    <w:rsid w:val="008E1EBC"/>
    <w:rsid w:val="008E2DFD"/>
    <w:rsid w:val="008E4282"/>
    <w:rsid w:val="008F1177"/>
    <w:rsid w:val="008F1DC4"/>
    <w:rsid w:val="008F539F"/>
    <w:rsid w:val="008F60AD"/>
    <w:rsid w:val="00913422"/>
    <w:rsid w:val="00913F93"/>
    <w:rsid w:val="0091457B"/>
    <w:rsid w:val="009174D5"/>
    <w:rsid w:val="00920074"/>
    <w:rsid w:val="0092140E"/>
    <w:rsid w:val="0092543E"/>
    <w:rsid w:val="009328AB"/>
    <w:rsid w:val="00935EC0"/>
    <w:rsid w:val="00936C38"/>
    <w:rsid w:val="009375CD"/>
    <w:rsid w:val="0094223D"/>
    <w:rsid w:val="0094273C"/>
    <w:rsid w:val="00944C50"/>
    <w:rsid w:val="00945973"/>
    <w:rsid w:val="00947414"/>
    <w:rsid w:val="00951EAD"/>
    <w:rsid w:val="00953CE8"/>
    <w:rsid w:val="00954941"/>
    <w:rsid w:val="00954B80"/>
    <w:rsid w:val="009617E3"/>
    <w:rsid w:val="0096349C"/>
    <w:rsid w:val="00963694"/>
    <w:rsid w:val="0096412F"/>
    <w:rsid w:val="009645D5"/>
    <w:rsid w:val="00964CE8"/>
    <w:rsid w:val="009673B8"/>
    <w:rsid w:val="0098182A"/>
    <w:rsid w:val="00982F98"/>
    <w:rsid w:val="00983BDE"/>
    <w:rsid w:val="009847D6"/>
    <w:rsid w:val="00985C81"/>
    <w:rsid w:val="00987F50"/>
    <w:rsid w:val="0099448D"/>
    <w:rsid w:val="009A1391"/>
    <w:rsid w:val="009A1767"/>
    <w:rsid w:val="009A481A"/>
    <w:rsid w:val="009A7001"/>
    <w:rsid w:val="009A7078"/>
    <w:rsid w:val="009B0EAD"/>
    <w:rsid w:val="009B18B8"/>
    <w:rsid w:val="009B3872"/>
    <w:rsid w:val="009B6B8B"/>
    <w:rsid w:val="009C1B54"/>
    <w:rsid w:val="009C41A3"/>
    <w:rsid w:val="009C7CF6"/>
    <w:rsid w:val="009C7E8C"/>
    <w:rsid w:val="009D04C6"/>
    <w:rsid w:val="009D10FB"/>
    <w:rsid w:val="009D26C5"/>
    <w:rsid w:val="009D2FFC"/>
    <w:rsid w:val="009D3278"/>
    <w:rsid w:val="009D3FB5"/>
    <w:rsid w:val="009D4870"/>
    <w:rsid w:val="009D4B74"/>
    <w:rsid w:val="009D76CD"/>
    <w:rsid w:val="009D76FA"/>
    <w:rsid w:val="009E06D1"/>
    <w:rsid w:val="009E61DD"/>
    <w:rsid w:val="009E7019"/>
    <w:rsid w:val="009E72FF"/>
    <w:rsid w:val="009F1218"/>
    <w:rsid w:val="009F2ADA"/>
    <w:rsid w:val="009F3139"/>
    <w:rsid w:val="009F70BC"/>
    <w:rsid w:val="00A01B0C"/>
    <w:rsid w:val="00A05F61"/>
    <w:rsid w:val="00A06D85"/>
    <w:rsid w:val="00A12530"/>
    <w:rsid w:val="00A12C9D"/>
    <w:rsid w:val="00A14B34"/>
    <w:rsid w:val="00A172E8"/>
    <w:rsid w:val="00A1774A"/>
    <w:rsid w:val="00A20DEC"/>
    <w:rsid w:val="00A21247"/>
    <w:rsid w:val="00A22965"/>
    <w:rsid w:val="00A23339"/>
    <w:rsid w:val="00A23B19"/>
    <w:rsid w:val="00A25471"/>
    <w:rsid w:val="00A34A50"/>
    <w:rsid w:val="00A35E59"/>
    <w:rsid w:val="00A37D0E"/>
    <w:rsid w:val="00A453E4"/>
    <w:rsid w:val="00A46FE6"/>
    <w:rsid w:val="00A5015D"/>
    <w:rsid w:val="00A51AFD"/>
    <w:rsid w:val="00A53F49"/>
    <w:rsid w:val="00A57EE8"/>
    <w:rsid w:val="00A60287"/>
    <w:rsid w:val="00A613C8"/>
    <w:rsid w:val="00A61AEB"/>
    <w:rsid w:val="00A61CDE"/>
    <w:rsid w:val="00A65614"/>
    <w:rsid w:val="00A70349"/>
    <w:rsid w:val="00A7478C"/>
    <w:rsid w:val="00A82B76"/>
    <w:rsid w:val="00A84514"/>
    <w:rsid w:val="00A87F7A"/>
    <w:rsid w:val="00A909E7"/>
    <w:rsid w:val="00A94768"/>
    <w:rsid w:val="00A97225"/>
    <w:rsid w:val="00AA61CD"/>
    <w:rsid w:val="00AA73AD"/>
    <w:rsid w:val="00AB2B34"/>
    <w:rsid w:val="00AB3BBC"/>
    <w:rsid w:val="00AB5FF7"/>
    <w:rsid w:val="00AB6873"/>
    <w:rsid w:val="00AB6C99"/>
    <w:rsid w:val="00AB757F"/>
    <w:rsid w:val="00AC1075"/>
    <w:rsid w:val="00AC5BA3"/>
    <w:rsid w:val="00AC7BCB"/>
    <w:rsid w:val="00AD1413"/>
    <w:rsid w:val="00AD56FA"/>
    <w:rsid w:val="00AD5AA8"/>
    <w:rsid w:val="00AD5E24"/>
    <w:rsid w:val="00AD7C07"/>
    <w:rsid w:val="00AE4504"/>
    <w:rsid w:val="00AE5152"/>
    <w:rsid w:val="00AE641A"/>
    <w:rsid w:val="00AE65D8"/>
    <w:rsid w:val="00AF1F57"/>
    <w:rsid w:val="00AF4124"/>
    <w:rsid w:val="00AF77DB"/>
    <w:rsid w:val="00B03882"/>
    <w:rsid w:val="00B062F2"/>
    <w:rsid w:val="00B11161"/>
    <w:rsid w:val="00B11E9A"/>
    <w:rsid w:val="00B21262"/>
    <w:rsid w:val="00B224E9"/>
    <w:rsid w:val="00B25862"/>
    <w:rsid w:val="00B267C0"/>
    <w:rsid w:val="00B27B41"/>
    <w:rsid w:val="00B3025C"/>
    <w:rsid w:val="00B309A9"/>
    <w:rsid w:val="00B321A4"/>
    <w:rsid w:val="00B3264F"/>
    <w:rsid w:val="00B328B2"/>
    <w:rsid w:val="00B331AE"/>
    <w:rsid w:val="00B336F4"/>
    <w:rsid w:val="00B338F0"/>
    <w:rsid w:val="00B4157E"/>
    <w:rsid w:val="00B41875"/>
    <w:rsid w:val="00B50DDF"/>
    <w:rsid w:val="00B53138"/>
    <w:rsid w:val="00B56251"/>
    <w:rsid w:val="00B608E2"/>
    <w:rsid w:val="00B636CA"/>
    <w:rsid w:val="00B638D5"/>
    <w:rsid w:val="00B63F11"/>
    <w:rsid w:val="00B65EE8"/>
    <w:rsid w:val="00B70154"/>
    <w:rsid w:val="00B715F0"/>
    <w:rsid w:val="00B746B7"/>
    <w:rsid w:val="00B770D0"/>
    <w:rsid w:val="00B77EA3"/>
    <w:rsid w:val="00B82D17"/>
    <w:rsid w:val="00B82E29"/>
    <w:rsid w:val="00B82E3F"/>
    <w:rsid w:val="00B8512F"/>
    <w:rsid w:val="00B94C23"/>
    <w:rsid w:val="00B94FE8"/>
    <w:rsid w:val="00B96CE8"/>
    <w:rsid w:val="00BA2A07"/>
    <w:rsid w:val="00BA5212"/>
    <w:rsid w:val="00BA5287"/>
    <w:rsid w:val="00BA7A28"/>
    <w:rsid w:val="00BB2B84"/>
    <w:rsid w:val="00BB584A"/>
    <w:rsid w:val="00BB5DB2"/>
    <w:rsid w:val="00BC06CA"/>
    <w:rsid w:val="00BC08F8"/>
    <w:rsid w:val="00BC2139"/>
    <w:rsid w:val="00BC7523"/>
    <w:rsid w:val="00BD54F5"/>
    <w:rsid w:val="00BD711B"/>
    <w:rsid w:val="00BE1D3F"/>
    <w:rsid w:val="00BE2418"/>
    <w:rsid w:val="00BE4278"/>
    <w:rsid w:val="00BE4EFC"/>
    <w:rsid w:val="00BE6365"/>
    <w:rsid w:val="00BF40E5"/>
    <w:rsid w:val="00BF6F8B"/>
    <w:rsid w:val="00BF7806"/>
    <w:rsid w:val="00C0137C"/>
    <w:rsid w:val="00C0281A"/>
    <w:rsid w:val="00C03ACD"/>
    <w:rsid w:val="00C05152"/>
    <w:rsid w:val="00C14324"/>
    <w:rsid w:val="00C14504"/>
    <w:rsid w:val="00C15025"/>
    <w:rsid w:val="00C152E1"/>
    <w:rsid w:val="00C158D8"/>
    <w:rsid w:val="00C16AF4"/>
    <w:rsid w:val="00C2107A"/>
    <w:rsid w:val="00C213B9"/>
    <w:rsid w:val="00C23212"/>
    <w:rsid w:val="00C23528"/>
    <w:rsid w:val="00C238D9"/>
    <w:rsid w:val="00C30738"/>
    <w:rsid w:val="00C30945"/>
    <w:rsid w:val="00C30A9E"/>
    <w:rsid w:val="00C407DA"/>
    <w:rsid w:val="00C44EDA"/>
    <w:rsid w:val="00C5012D"/>
    <w:rsid w:val="00C51A83"/>
    <w:rsid w:val="00C51C31"/>
    <w:rsid w:val="00C51CC9"/>
    <w:rsid w:val="00C5451C"/>
    <w:rsid w:val="00C605B5"/>
    <w:rsid w:val="00C62386"/>
    <w:rsid w:val="00C62962"/>
    <w:rsid w:val="00C65932"/>
    <w:rsid w:val="00C66BBB"/>
    <w:rsid w:val="00C7023E"/>
    <w:rsid w:val="00C71993"/>
    <w:rsid w:val="00C72019"/>
    <w:rsid w:val="00C74D8F"/>
    <w:rsid w:val="00C772C6"/>
    <w:rsid w:val="00C80C27"/>
    <w:rsid w:val="00C843D5"/>
    <w:rsid w:val="00C906F1"/>
    <w:rsid w:val="00C90E27"/>
    <w:rsid w:val="00C9234E"/>
    <w:rsid w:val="00C975BE"/>
    <w:rsid w:val="00CA1019"/>
    <w:rsid w:val="00CA3239"/>
    <w:rsid w:val="00CA6A9F"/>
    <w:rsid w:val="00CA6F40"/>
    <w:rsid w:val="00CB2B64"/>
    <w:rsid w:val="00CB5E67"/>
    <w:rsid w:val="00CB6C4B"/>
    <w:rsid w:val="00CB781B"/>
    <w:rsid w:val="00CC0828"/>
    <w:rsid w:val="00CC1436"/>
    <w:rsid w:val="00CC2265"/>
    <w:rsid w:val="00CC2CE8"/>
    <w:rsid w:val="00CC3832"/>
    <w:rsid w:val="00CC5F57"/>
    <w:rsid w:val="00CE14FB"/>
    <w:rsid w:val="00CE243D"/>
    <w:rsid w:val="00CE49AE"/>
    <w:rsid w:val="00CE6C19"/>
    <w:rsid w:val="00CF0629"/>
    <w:rsid w:val="00CF0BC9"/>
    <w:rsid w:val="00CF42D9"/>
    <w:rsid w:val="00CF4A75"/>
    <w:rsid w:val="00CF58D5"/>
    <w:rsid w:val="00CF646C"/>
    <w:rsid w:val="00CF669B"/>
    <w:rsid w:val="00CF7594"/>
    <w:rsid w:val="00CF7D43"/>
    <w:rsid w:val="00D03612"/>
    <w:rsid w:val="00D05608"/>
    <w:rsid w:val="00D12371"/>
    <w:rsid w:val="00D142B7"/>
    <w:rsid w:val="00D20E6A"/>
    <w:rsid w:val="00D22688"/>
    <w:rsid w:val="00D23DD6"/>
    <w:rsid w:val="00D32940"/>
    <w:rsid w:val="00D343A1"/>
    <w:rsid w:val="00D35996"/>
    <w:rsid w:val="00D44D38"/>
    <w:rsid w:val="00D45D50"/>
    <w:rsid w:val="00D47F2E"/>
    <w:rsid w:val="00D5558B"/>
    <w:rsid w:val="00D61497"/>
    <w:rsid w:val="00D634D1"/>
    <w:rsid w:val="00D65F79"/>
    <w:rsid w:val="00D75502"/>
    <w:rsid w:val="00D77FC4"/>
    <w:rsid w:val="00D82C2E"/>
    <w:rsid w:val="00D83681"/>
    <w:rsid w:val="00D875F9"/>
    <w:rsid w:val="00D87E58"/>
    <w:rsid w:val="00D87F5D"/>
    <w:rsid w:val="00D908DE"/>
    <w:rsid w:val="00D91AC1"/>
    <w:rsid w:val="00D91DA7"/>
    <w:rsid w:val="00D96765"/>
    <w:rsid w:val="00D977CF"/>
    <w:rsid w:val="00D97E6D"/>
    <w:rsid w:val="00DA059E"/>
    <w:rsid w:val="00DA0786"/>
    <w:rsid w:val="00DA353B"/>
    <w:rsid w:val="00DA3CC7"/>
    <w:rsid w:val="00DA4FBB"/>
    <w:rsid w:val="00DA6145"/>
    <w:rsid w:val="00DA7897"/>
    <w:rsid w:val="00DB2CEB"/>
    <w:rsid w:val="00DB54A4"/>
    <w:rsid w:val="00DB6739"/>
    <w:rsid w:val="00DC074B"/>
    <w:rsid w:val="00DC34DF"/>
    <w:rsid w:val="00DC415B"/>
    <w:rsid w:val="00DC49E6"/>
    <w:rsid w:val="00DC505C"/>
    <w:rsid w:val="00DC5178"/>
    <w:rsid w:val="00DC6760"/>
    <w:rsid w:val="00DC7B80"/>
    <w:rsid w:val="00DD06BA"/>
    <w:rsid w:val="00DD3420"/>
    <w:rsid w:val="00DD3F74"/>
    <w:rsid w:val="00DD5E12"/>
    <w:rsid w:val="00DD6A52"/>
    <w:rsid w:val="00DE067B"/>
    <w:rsid w:val="00DE2EA6"/>
    <w:rsid w:val="00DE7219"/>
    <w:rsid w:val="00DF07F4"/>
    <w:rsid w:val="00DF161F"/>
    <w:rsid w:val="00DF1E01"/>
    <w:rsid w:val="00DF5109"/>
    <w:rsid w:val="00DF63DC"/>
    <w:rsid w:val="00E00F25"/>
    <w:rsid w:val="00E03C85"/>
    <w:rsid w:val="00E06B5F"/>
    <w:rsid w:val="00E06EC5"/>
    <w:rsid w:val="00E076F2"/>
    <w:rsid w:val="00E10296"/>
    <w:rsid w:val="00E10EE7"/>
    <w:rsid w:val="00E115E9"/>
    <w:rsid w:val="00E12794"/>
    <w:rsid w:val="00E14DD0"/>
    <w:rsid w:val="00E17CA2"/>
    <w:rsid w:val="00E22A79"/>
    <w:rsid w:val="00E23C54"/>
    <w:rsid w:val="00E36493"/>
    <w:rsid w:val="00E4180C"/>
    <w:rsid w:val="00E43A61"/>
    <w:rsid w:val="00E54437"/>
    <w:rsid w:val="00E5555A"/>
    <w:rsid w:val="00E56F03"/>
    <w:rsid w:val="00E60F4E"/>
    <w:rsid w:val="00E66B0C"/>
    <w:rsid w:val="00E71DC2"/>
    <w:rsid w:val="00E72251"/>
    <w:rsid w:val="00E81904"/>
    <w:rsid w:val="00E850EE"/>
    <w:rsid w:val="00E86E24"/>
    <w:rsid w:val="00E91FF5"/>
    <w:rsid w:val="00E949B5"/>
    <w:rsid w:val="00E9545E"/>
    <w:rsid w:val="00EA22FF"/>
    <w:rsid w:val="00EA23EC"/>
    <w:rsid w:val="00EA240F"/>
    <w:rsid w:val="00EA24B0"/>
    <w:rsid w:val="00EA736C"/>
    <w:rsid w:val="00EB179B"/>
    <w:rsid w:val="00EB40B3"/>
    <w:rsid w:val="00EB415F"/>
    <w:rsid w:val="00EB48CE"/>
    <w:rsid w:val="00EC1CD1"/>
    <w:rsid w:val="00EC31A3"/>
    <w:rsid w:val="00EC477C"/>
    <w:rsid w:val="00EC53F2"/>
    <w:rsid w:val="00EC6FEA"/>
    <w:rsid w:val="00EC70A4"/>
    <w:rsid w:val="00ED2109"/>
    <w:rsid w:val="00ED34CF"/>
    <w:rsid w:val="00ED3E13"/>
    <w:rsid w:val="00ED4309"/>
    <w:rsid w:val="00ED5A62"/>
    <w:rsid w:val="00EE1E53"/>
    <w:rsid w:val="00EE4701"/>
    <w:rsid w:val="00EE544C"/>
    <w:rsid w:val="00EF014B"/>
    <w:rsid w:val="00EF253F"/>
    <w:rsid w:val="00EF419B"/>
    <w:rsid w:val="00EF4BC6"/>
    <w:rsid w:val="00EF630E"/>
    <w:rsid w:val="00EF7CB8"/>
    <w:rsid w:val="00F02590"/>
    <w:rsid w:val="00F02972"/>
    <w:rsid w:val="00F03E9C"/>
    <w:rsid w:val="00F0427C"/>
    <w:rsid w:val="00F0665A"/>
    <w:rsid w:val="00F11257"/>
    <w:rsid w:val="00F11C06"/>
    <w:rsid w:val="00F13D05"/>
    <w:rsid w:val="00F14436"/>
    <w:rsid w:val="00F1559C"/>
    <w:rsid w:val="00F20956"/>
    <w:rsid w:val="00F25282"/>
    <w:rsid w:val="00F26DDA"/>
    <w:rsid w:val="00F27341"/>
    <w:rsid w:val="00F31B8D"/>
    <w:rsid w:val="00F31EE8"/>
    <w:rsid w:val="00F33CCB"/>
    <w:rsid w:val="00F34EC5"/>
    <w:rsid w:val="00F354FB"/>
    <w:rsid w:val="00F36E84"/>
    <w:rsid w:val="00F36ED7"/>
    <w:rsid w:val="00F415C4"/>
    <w:rsid w:val="00F41E14"/>
    <w:rsid w:val="00F4277A"/>
    <w:rsid w:val="00F448C1"/>
    <w:rsid w:val="00F45461"/>
    <w:rsid w:val="00F533C6"/>
    <w:rsid w:val="00F53966"/>
    <w:rsid w:val="00F61CD9"/>
    <w:rsid w:val="00F6427C"/>
    <w:rsid w:val="00F74FEE"/>
    <w:rsid w:val="00F77E7B"/>
    <w:rsid w:val="00F8071C"/>
    <w:rsid w:val="00F85277"/>
    <w:rsid w:val="00F8547F"/>
    <w:rsid w:val="00F8586F"/>
    <w:rsid w:val="00F951E8"/>
    <w:rsid w:val="00FA09BA"/>
    <w:rsid w:val="00FA1F5C"/>
    <w:rsid w:val="00FA201A"/>
    <w:rsid w:val="00FA2BFD"/>
    <w:rsid w:val="00FA5A12"/>
    <w:rsid w:val="00FA6230"/>
    <w:rsid w:val="00FA697E"/>
    <w:rsid w:val="00FB025E"/>
    <w:rsid w:val="00FB04BE"/>
    <w:rsid w:val="00FB051D"/>
    <w:rsid w:val="00FB1F45"/>
    <w:rsid w:val="00FB32F5"/>
    <w:rsid w:val="00FB3456"/>
    <w:rsid w:val="00FB3F7E"/>
    <w:rsid w:val="00FB593A"/>
    <w:rsid w:val="00FB5A1B"/>
    <w:rsid w:val="00FB6136"/>
    <w:rsid w:val="00FB6ACA"/>
    <w:rsid w:val="00FB70C7"/>
    <w:rsid w:val="00FB7184"/>
    <w:rsid w:val="00FC02A4"/>
    <w:rsid w:val="00FC2F97"/>
    <w:rsid w:val="00FC3851"/>
    <w:rsid w:val="00FC3E51"/>
    <w:rsid w:val="00FC406C"/>
    <w:rsid w:val="00FC7C77"/>
    <w:rsid w:val="00FD4BE6"/>
    <w:rsid w:val="00FD5D85"/>
    <w:rsid w:val="00FD70C0"/>
    <w:rsid w:val="00FE0689"/>
    <w:rsid w:val="00FE0C72"/>
    <w:rsid w:val="00FE508F"/>
    <w:rsid w:val="00FF249C"/>
    <w:rsid w:val="00FF38E6"/>
    <w:rsid w:val="00FF4178"/>
    <w:rsid w:val="00FF645C"/>
    <w:rsid w:val="04E35DEE"/>
    <w:rsid w:val="062D9678"/>
    <w:rsid w:val="068CBE7D"/>
    <w:rsid w:val="06A0604F"/>
    <w:rsid w:val="06BA3189"/>
    <w:rsid w:val="09EC977C"/>
    <w:rsid w:val="0A1FE4D7"/>
    <w:rsid w:val="0A893A76"/>
    <w:rsid w:val="0AAECBEE"/>
    <w:rsid w:val="0AB22A79"/>
    <w:rsid w:val="0B5D4C01"/>
    <w:rsid w:val="0C41C48C"/>
    <w:rsid w:val="0CC337AB"/>
    <w:rsid w:val="0EC3933D"/>
    <w:rsid w:val="0F059515"/>
    <w:rsid w:val="11756614"/>
    <w:rsid w:val="11BA82C9"/>
    <w:rsid w:val="122EDBA0"/>
    <w:rsid w:val="148E49E9"/>
    <w:rsid w:val="152F0EBB"/>
    <w:rsid w:val="16DCC575"/>
    <w:rsid w:val="18511E78"/>
    <w:rsid w:val="19BEB418"/>
    <w:rsid w:val="1B08A278"/>
    <w:rsid w:val="1B7D0DFE"/>
    <w:rsid w:val="1DA5AEA4"/>
    <w:rsid w:val="201187E7"/>
    <w:rsid w:val="2027A533"/>
    <w:rsid w:val="233DC845"/>
    <w:rsid w:val="239CEE47"/>
    <w:rsid w:val="243FE294"/>
    <w:rsid w:val="2495F762"/>
    <w:rsid w:val="264A133C"/>
    <w:rsid w:val="2708720A"/>
    <w:rsid w:val="272E0C92"/>
    <w:rsid w:val="2814F5A4"/>
    <w:rsid w:val="283A6790"/>
    <w:rsid w:val="29B86335"/>
    <w:rsid w:val="2D97957E"/>
    <w:rsid w:val="2E73EA63"/>
    <w:rsid w:val="30EAAE67"/>
    <w:rsid w:val="3115D296"/>
    <w:rsid w:val="31573CBD"/>
    <w:rsid w:val="32058BA1"/>
    <w:rsid w:val="3250BAF7"/>
    <w:rsid w:val="3393D4C3"/>
    <w:rsid w:val="33E16253"/>
    <w:rsid w:val="34503EE1"/>
    <w:rsid w:val="37AB7BA7"/>
    <w:rsid w:val="37FBF6A2"/>
    <w:rsid w:val="384A00BA"/>
    <w:rsid w:val="38A9CFED"/>
    <w:rsid w:val="3AD4E640"/>
    <w:rsid w:val="3CAAFE65"/>
    <w:rsid w:val="3D98D4AD"/>
    <w:rsid w:val="3E9DCFD2"/>
    <w:rsid w:val="3F4B08C4"/>
    <w:rsid w:val="40A20392"/>
    <w:rsid w:val="41B5A5D6"/>
    <w:rsid w:val="43127C44"/>
    <w:rsid w:val="4359C183"/>
    <w:rsid w:val="44B67BE8"/>
    <w:rsid w:val="45A09FA8"/>
    <w:rsid w:val="470ECE5C"/>
    <w:rsid w:val="47D34765"/>
    <w:rsid w:val="4ADBB562"/>
    <w:rsid w:val="4BAFA985"/>
    <w:rsid w:val="4C799FF9"/>
    <w:rsid w:val="4CE2A1CD"/>
    <w:rsid w:val="4D32137C"/>
    <w:rsid w:val="4D96317A"/>
    <w:rsid w:val="4ED2B487"/>
    <w:rsid w:val="4EE123AF"/>
    <w:rsid w:val="4F6CA8A6"/>
    <w:rsid w:val="5008BAF3"/>
    <w:rsid w:val="50B63414"/>
    <w:rsid w:val="50E426EF"/>
    <w:rsid w:val="5104748A"/>
    <w:rsid w:val="51BD95F4"/>
    <w:rsid w:val="53A3AE0C"/>
    <w:rsid w:val="562A8CDB"/>
    <w:rsid w:val="56BFD53A"/>
    <w:rsid w:val="59107EDD"/>
    <w:rsid w:val="59576F99"/>
    <w:rsid w:val="5A40728A"/>
    <w:rsid w:val="5A5A2B04"/>
    <w:rsid w:val="5D09EBA0"/>
    <w:rsid w:val="5D171D58"/>
    <w:rsid w:val="5DC2B4AD"/>
    <w:rsid w:val="5DE5AC10"/>
    <w:rsid w:val="5E8608E4"/>
    <w:rsid w:val="5E87F0A2"/>
    <w:rsid w:val="5F563F0D"/>
    <w:rsid w:val="61F36485"/>
    <w:rsid w:val="635A31CA"/>
    <w:rsid w:val="63A06429"/>
    <w:rsid w:val="6622A5D8"/>
    <w:rsid w:val="67F6713A"/>
    <w:rsid w:val="68128AE9"/>
    <w:rsid w:val="68C870F6"/>
    <w:rsid w:val="6BF54ED3"/>
    <w:rsid w:val="6C09E7D6"/>
    <w:rsid w:val="6D0D69DC"/>
    <w:rsid w:val="6D2E2FC9"/>
    <w:rsid w:val="6E5FC5E8"/>
    <w:rsid w:val="6F2171F5"/>
    <w:rsid w:val="7125B1E8"/>
    <w:rsid w:val="74902E92"/>
    <w:rsid w:val="75DF69C7"/>
    <w:rsid w:val="77D505CD"/>
    <w:rsid w:val="78DA2F39"/>
    <w:rsid w:val="793BE588"/>
    <w:rsid w:val="7B093C25"/>
    <w:rsid w:val="7B1829C3"/>
    <w:rsid w:val="7D171296"/>
    <w:rsid w:val="7D754BC7"/>
    <w:rsid w:val="7E88D85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64888"/>
  <w15:docId w15:val="{568C8363-AD0D-4034-B31D-DF9D4F68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rsid w:val="00723B01"/>
    <w:pPr>
      <w:ind w:left="720"/>
      <w:contextualSpacing/>
    </w:pPr>
  </w:style>
  <w:style w:type="paragraph" w:styleId="Cabealho">
    <w:name w:val="header"/>
    <w:basedOn w:val="Normal"/>
    <w:link w:val="CabealhoCarter"/>
    <w:uiPriority w:val="99"/>
    <w:unhideWhenUsed/>
    <w:rsid w:val="00F1580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15806"/>
  </w:style>
  <w:style w:type="paragraph" w:styleId="Rodap">
    <w:name w:val="footer"/>
    <w:basedOn w:val="Normal"/>
    <w:link w:val="RodapCarter"/>
    <w:unhideWhenUsed/>
    <w:rsid w:val="00F15806"/>
    <w:pPr>
      <w:tabs>
        <w:tab w:val="center" w:pos="4252"/>
        <w:tab w:val="right" w:pos="8504"/>
      </w:tabs>
      <w:spacing w:after="0" w:line="240" w:lineRule="auto"/>
    </w:pPr>
  </w:style>
  <w:style w:type="character" w:customStyle="1" w:styleId="RodapCarter">
    <w:name w:val="Rodapé Caráter"/>
    <w:basedOn w:val="Tipodeletrapredefinidodopargrafo"/>
    <w:link w:val="Rodap"/>
    <w:rsid w:val="00F15806"/>
  </w:style>
  <w:style w:type="paragraph" w:customStyle="1" w:styleId="paragraph">
    <w:name w:val="paragraph"/>
    <w:basedOn w:val="Normal"/>
    <w:rsid w:val="00AD595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Tipodeletrapredefinidodopargrafo"/>
    <w:rsid w:val="00AD5954"/>
  </w:style>
  <w:style w:type="character" w:customStyle="1" w:styleId="eop">
    <w:name w:val="eop"/>
    <w:basedOn w:val="Tipodeletrapredefinidodopargrafo"/>
    <w:rsid w:val="00AD5954"/>
  </w:style>
  <w:style w:type="character" w:styleId="Hiperligao">
    <w:name w:val="Hyperlink"/>
    <w:basedOn w:val="Tipodeletrapredefinidodopargrafo"/>
    <w:uiPriority w:val="99"/>
    <w:unhideWhenUsed/>
    <w:rsid w:val="00C75AF2"/>
    <w:rPr>
      <w:color w:val="0000FF"/>
      <w:u w:val="single"/>
    </w:rPr>
  </w:style>
  <w:style w:type="character" w:styleId="MenoNoResolvida">
    <w:name w:val="Unresolved Mention"/>
    <w:basedOn w:val="Tipodeletrapredefinidodopargrafo"/>
    <w:uiPriority w:val="99"/>
    <w:semiHidden/>
    <w:unhideWhenUsed/>
    <w:rsid w:val="00C75AF2"/>
    <w:rPr>
      <w:color w:val="605E5C"/>
      <w:shd w:val="clear" w:color="auto" w:fill="E1DFDD"/>
    </w:rPr>
  </w:style>
  <w:style w:type="character" w:customStyle="1" w:styleId="None">
    <w:name w:val="None"/>
    <w:rsid w:val="00B3608B"/>
  </w:style>
  <w:style w:type="paragraph" w:styleId="Reviso">
    <w:name w:val="Revision"/>
    <w:hidden/>
    <w:uiPriority w:val="99"/>
    <w:semiHidden/>
    <w:rsid w:val="001653E6"/>
    <w:pPr>
      <w:spacing w:after="0" w:line="240" w:lineRule="auto"/>
    </w:pPr>
  </w:style>
  <w:style w:type="paragraph" w:styleId="NormalWeb">
    <w:name w:val="Normal (Web)"/>
    <w:basedOn w:val="Normal"/>
    <w:uiPriority w:val="99"/>
    <w:semiHidden/>
    <w:unhideWhenUsed/>
    <w:rsid w:val="003743C5"/>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Tipodeletrapredefinidodopargrafo"/>
    <w:uiPriority w:val="22"/>
    <w:qFormat/>
    <w:rsid w:val="003743C5"/>
    <w:rPr>
      <w:b/>
      <w:bCs/>
    </w:rPr>
  </w:style>
  <w:style w:type="paragraph" w:customStyle="1" w:styleId="BodyA">
    <w:name w:val="Body A"/>
    <w:rsid w:val="00D107FD"/>
    <w:pPr>
      <w:pBdr>
        <w:top w:val="nil"/>
        <w:left w:val="nil"/>
        <w:bottom w:val="nil"/>
        <w:right w:val="nil"/>
        <w:between w:val="nil"/>
        <w:bar w:val="nil"/>
      </w:pBdr>
      <w:jc w:val="both"/>
    </w:pPr>
    <w:rPr>
      <w:rFonts w:eastAsia="Arial Unicode MS" w:cs="Arial Unicode MS"/>
      <w:color w:val="000000"/>
      <w:u w:color="000000"/>
      <w:bdr w:val="nil"/>
      <w14:textOutline w14:w="12700" w14:cap="flat" w14:cmpd="sng" w14:algn="ctr">
        <w14:noFill/>
        <w14:prstDash w14:val="solid"/>
        <w14:miter w14:lim="400000"/>
      </w14:textOutline>
    </w:rPr>
  </w:style>
  <w:style w:type="character" w:styleId="Refdecomentrio">
    <w:name w:val="annotation reference"/>
    <w:basedOn w:val="Tipodeletrapredefinidodopargrafo"/>
    <w:uiPriority w:val="99"/>
    <w:semiHidden/>
    <w:unhideWhenUsed/>
    <w:rsid w:val="00356F31"/>
    <w:rPr>
      <w:sz w:val="16"/>
      <w:szCs w:val="16"/>
    </w:rPr>
  </w:style>
  <w:style w:type="paragraph" w:styleId="Textodecomentrio">
    <w:name w:val="annotation text"/>
    <w:basedOn w:val="Normal"/>
    <w:link w:val="TextodecomentrioCarter"/>
    <w:uiPriority w:val="99"/>
    <w:unhideWhenUsed/>
    <w:rsid w:val="00356F31"/>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356F31"/>
    <w:rPr>
      <w:sz w:val="20"/>
      <w:szCs w:val="20"/>
    </w:rPr>
  </w:style>
  <w:style w:type="paragraph" w:styleId="Assuntodecomentrio">
    <w:name w:val="annotation subject"/>
    <w:basedOn w:val="Textodecomentrio"/>
    <w:next w:val="Textodecomentrio"/>
    <w:link w:val="AssuntodecomentrioCarter"/>
    <w:uiPriority w:val="99"/>
    <w:semiHidden/>
    <w:unhideWhenUsed/>
    <w:rsid w:val="00356F31"/>
    <w:rPr>
      <w:b/>
      <w:bCs/>
    </w:rPr>
  </w:style>
  <w:style w:type="character" w:customStyle="1" w:styleId="AssuntodecomentrioCarter">
    <w:name w:val="Assunto de comentário Caráter"/>
    <w:basedOn w:val="TextodecomentrioCarter"/>
    <w:link w:val="Assuntodecomentrio"/>
    <w:uiPriority w:val="99"/>
    <w:semiHidden/>
    <w:rsid w:val="00356F31"/>
    <w:rPr>
      <w:b/>
      <w:bCs/>
      <w:sz w:val="20"/>
      <w:szCs w:val="20"/>
    </w:rPr>
  </w:style>
  <w:style w:type="paragraph" w:styleId="Textodenotaderodap">
    <w:name w:val="footnote text"/>
    <w:basedOn w:val="Normal"/>
    <w:link w:val="TextodenotaderodapCarter"/>
    <w:uiPriority w:val="99"/>
    <w:semiHidden/>
    <w:unhideWhenUsed/>
    <w:rsid w:val="00CD3533"/>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CD3533"/>
    <w:rPr>
      <w:sz w:val="20"/>
      <w:szCs w:val="20"/>
    </w:rPr>
  </w:style>
  <w:style w:type="character" w:styleId="Refdenotaderodap">
    <w:name w:val="footnote reference"/>
    <w:basedOn w:val="Tipodeletrapredefinidodopargrafo"/>
    <w:uiPriority w:val="99"/>
    <w:semiHidden/>
    <w:unhideWhenUsed/>
    <w:rsid w:val="00CD3533"/>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elacomGrelha">
    <w:name w:val="Table Grid"/>
    <w:basedOn w:val="Tabelanormal"/>
    <w:uiPriority w:val="39"/>
    <w:rsid w:val="00F1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visitada">
    <w:name w:val="FollowedHyperlink"/>
    <w:basedOn w:val="Tipodeletrapredefinidodopargrafo"/>
    <w:uiPriority w:val="99"/>
    <w:semiHidden/>
    <w:unhideWhenUsed/>
    <w:rsid w:val="007A07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2839">
      <w:bodyDiv w:val="1"/>
      <w:marLeft w:val="0"/>
      <w:marRight w:val="0"/>
      <w:marTop w:val="0"/>
      <w:marBottom w:val="0"/>
      <w:divBdr>
        <w:top w:val="none" w:sz="0" w:space="0" w:color="auto"/>
        <w:left w:val="none" w:sz="0" w:space="0" w:color="auto"/>
        <w:bottom w:val="none" w:sz="0" w:space="0" w:color="auto"/>
        <w:right w:val="none" w:sz="0" w:space="0" w:color="auto"/>
      </w:divBdr>
    </w:div>
    <w:div w:id="58484879">
      <w:bodyDiv w:val="1"/>
      <w:marLeft w:val="0"/>
      <w:marRight w:val="0"/>
      <w:marTop w:val="0"/>
      <w:marBottom w:val="0"/>
      <w:divBdr>
        <w:top w:val="none" w:sz="0" w:space="0" w:color="auto"/>
        <w:left w:val="none" w:sz="0" w:space="0" w:color="auto"/>
        <w:bottom w:val="none" w:sz="0" w:space="0" w:color="auto"/>
        <w:right w:val="none" w:sz="0" w:space="0" w:color="auto"/>
      </w:divBdr>
    </w:div>
    <w:div w:id="79838448">
      <w:bodyDiv w:val="1"/>
      <w:marLeft w:val="0"/>
      <w:marRight w:val="0"/>
      <w:marTop w:val="0"/>
      <w:marBottom w:val="0"/>
      <w:divBdr>
        <w:top w:val="none" w:sz="0" w:space="0" w:color="auto"/>
        <w:left w:val="none" w:sz="0" w:space="0" w:color="auto"/>
        <w:bottom w:val="none" w:sz="0" w:space="0" w:color="auto"/>
        <w:right w:val="none" w:sz="0" w:space="0" w:color="auto"/>
      </w:divBdr>
    </w:div>
    <w:div w:id="119156889">
      <w:bodyDiv w:val="1"/>
      <w:marLeft w:val="0"/>
      <w:marRight w:val="0"/>
      <w:marTop w:val="0"/>
      <w:marBottom w:val="0"/>
      <w:divBdr>
        <w:top w:val="none" w:sz="0" w:space="0" w:color="auto"/>
        <w:left w:val="none" w:sz="0" w:space="0" w:color="auto"/>
        <w:bottom w:val="none" w:sz="0" w:space="0" w:color="auto"/>
        <w:right w:val="none" w:sz="0" w:space="0" w:color="auto"/>
      </w:divBdr>
    </w:div>
    <w:div w:id="163401774">
      <w:bodyDiv w:val="1"/>
      <w:marLeft w:val="0"/>
      <w:marRight w:val="0"/>
      <w:marTop w:val="0"/>
      <w:marBottom w:val="0"/>
      <w:divBdr>
        <w:top w:val="none" w:sz="0" w:space="0" w:color="auto"/>
        <w:left w:val="none" w:sz="0" w:space="0" w:color="auto"/>
        <w:bottom w:val="none" w:sz="0" w:space="0" w:color="auto"/>
        <w:right w:val="none" w:sz="0" w:space="0" w:color="auto"/>
      </w:divBdr>
    </w:div>
    <w:div w:id="211042972">
      <w:bodyDiv w:val="1"/>
      <w:marLeft w:val="0"/>
      <w:marRight w:val="0"/>
      <w:marTop w:val="0"/>
      <w:marBottom w:val="0"/>
      <w:divBdr>
        <w:top w:val="none" w:sz="0" w:space="0" w:color="auto"/>
        <w:left w:val="none" w:sz="0" w:space="0" w:color="auto"/>
        <w:bottom w:val="none" w:sz="0" w:space="0" w:color="auto"/>
        <w:right w:val="none" w:sz="0" w:space="0" w:color="auto"/>
      </w:divBdr>
    </w:div>
    <w:div w:id="219874756">
      <w:bodyDiv w:val="1"/>
      <w:marLeft w:val="0"/>
      <w:marRight w:val="0"/>
      <w:marTop w:val="0"/>
      <w:marBottom w:val="0"/>
      <w:divBdr>
        <w:top w:val="none" w:sz="0" w:space="0" w:color="auto"/>
        <w:left w:val="none" w:sz="0" w:space="0" w:color="auto"/>
        <w:bottom w:val="none" w:sz="0" w:space="0" w:color="auto"/>
        <w:right w:val="none" w:sz="0" w:space="0" w:color="auto"/>
      </w:divBdr>
    </w:div>
    <w:div w:id="221721598">
      <w:bodyDiv w:val="1"/>
      <w:marLeft w:val="0"/>
      <w:marRight w:val="0"/>
      <w:marTop w:val="0"/>
      <w:marBottom w:val="0"/>
      <w:divBdr>
        <w:top w:val="none" w:sz="0" w:space="0" w:color="auto"/>
        <w:left w:val="none" w:sz="0" w:space="0" w:color="auto"/>
        <w:bottom w:val="none" w:sz="0" w:space="0" w:color="auto"/>
        <w:right w:val="none" w:sz="0" w:space="0" w:color="auto"/>
      </w:divBdr>
    </w:div>
    <w:div w:id="250311026">
      <w:bodyDiv w:val="1"/>
      <w:marLeft w:val="0"/>
      <w:marRight w:val="0"/>
      <w:marTop w:val="0"/>
      <w:marBottom w:val="0"/>
      <w:divBdr>
        <w:top w:val="none" w:sz="0" w:space="0" w:color="auto"/>
        <w:left w:val="none" w:sz="0" w:space="0" w:color="auto"/>
        <w:bottom w:val="none" w:sz="0" w:space="0" w:color="auto"/>
        <w:right w:val="none" w:sz="0" w:space="0" w:color="auto"/>
      </w:divBdr>
    </w:div>
    <w:div w:id="272785649">
      <w:bodyDiv w:val="1"/>
      <w:marLeft w:val="0"/>
      <w:marRight w:val="0"/>
      <w:marTop w:val="0"/>
      <w:marBottom w:val="0"/>
      <w:divBdr>
        <w:top w:val="none" w:sz="0" w:space="0" w:color="auto"/>
        <w:left w:val="none" w:sz="0" w:space="0" w:color="auto"/>
        <w:bottom w:val="none" w:sz="0" w:space="0" w:color="auto"/>
        <w:right w:val="none" w:sz="0" w:space="0" w:color="auto"/>
      </w:divBdr>
    </w:div>
    <w:div w:id="295180587">
      <w:bodyDiv w:val="1"/>
      <w:marLeft w:val="0"/>
      <w:marRight w:val="0"/>
      <w:marTop w:val="0"/>
      <w:marBottom w:val="0"/>
      <w:divBdr>
        <w:top w:val="none" w:sz="0" w:space="0" w:color="auto"/>
        <w:left w:val="none" w:sz="0" w:space="0" w:color="auto"/>
        <w:bottom w:val="none" w:sz="0" w:space="0" w:color="auto"/>
        <w:right w:val="none" w:sz="0" w:space="0" w:color="auto"/>
      </w:divBdr>
    </w:div>
    <w:div w:id="317536219">
      <w:bodyDiv w:val="1"/>
      <w:marLeft w:val="0"/>
      <w:marRight w:val="0"/>
      <w:marTop w:val="0"/>
      <w:marBottom w:val="0"/>
      <w:divBdr>
        <w:top w:val="none" w:sz="0" w:space="0" w:color="auto"/>
        <w:left w:val="none" w:sz="0" w:space="0" w:color="auto"/>
        <w:bottom w:val="none" w:sz="0" w:space="0" w:color="auto"/>
        <w:right w:val="none" w:sz="0" w:space="0" w:color="auto"/>
      </w:divBdr>
    </w:div>
    <w:div w:id="347683300">
      <w:bodyDiv w:val="1"/>
      <w:marLeft w:val="0"/>
      <w:marRight w:val="0"/>
      <w:marTop w:val="0"/>
      <w:marBottom w:val="0"/>
      <w:divBdr>
        <w:top w:val="none" w:sz="0" w:space="0" w:color="auto"/>
        <w:left w:val="none" w:sz="0" w:space="0" w:color="auto"/>
        <w:bottom w:val="none" w:sz="0" w:space="0" w:color="auto"/>
        <w:right w:val="none" w:sz="0" w:space="0" w:color="auto"/>
      </w:divBdr>
    </w:div>
    <w:div w:id="454831941">
      <w:bodyDiv w:val="1"/>
      <w:marLeft w:val="0"/>
      <w:marRight w:val="0"/>
      <w:marTop w:val="0"/>
      <w:marBottom w:val="0"/>
      <w:divBdr>
        <w:top w:val="none" w:sz="0" w:space="0" w:color="auto"/>
        <w:left w:val="none" w:sz="0" w:space="0" w:color="auto"/>
        <w:bottom w:val="none" w:sz="0" w:space="0" w:color="auto"/>
        <w:right w:val="none" w:sz="0" w:space="0" w:color="auto"/>
      </w:divBdr>
    </w:div>
    <w:div w:id="457912809">
      <w:bodyDiv w:val="1"/>
      <w:marLeft w:val="0"/>
      <w:marRight w:val="0"/>
      <w:marTop w:val="0"/>
      <w:marBottom w:val="0"/>
      <w:divBdr>
        <w:top w:val="none" w:sz="0" w:space="0" w:color="auto"/>
        <w:left w:val="none" w:sz="0" w:space="0" w:color="auto"/>
        <w:bottom w:val="none" w:sz="0" w:space="0" w:color="auto"/>
        <w:right w:val="none" w:sz="0" w:space="0" w:color="auto"/>
      </w:divBdr>
    </w:div>
    <w:div w:id="470171249">
      <w:bodyDiv w:val="1"/>
      <w:marLeft w:val="0"/>
      <w:marRight w:val="0"/>
      <w:marTop w:val="0"/>
      <w:marBottom w:val="0"/>
      <w:divBdr>
        <w:top w:val="none" w:sz="0" w:space="0" w:color="auto"/>
        <w:left w:val="none" w:sz="0" w:space="0" w:color="auto"/>
        <w:bottom w:val="none" w:sz="0" w:space="0" w:color="auto"/>
        <w:right w:val="none" w:sz="0" w:space="0" w:color="auto"/>
      </w:divBdr>
    </w:div>
    <w:div w:id="478810694">
      <w:bodyDiv w:val="1"/>
      <w:marLeft w:val="0"/>
      <w:marRight w:val="0"/>
      <w:marTop w:val="0"/>
      <w:marBottom w:val="0"/>
      <w:divBdr>
        <w:top w:val="none" w:sz="0" w:space="0" w:color="auto"/>
        <w:left w:val="none" w:sz="0" w:space="0" w:color="auto"/>
        <w:bottom w:val="none" w:sz="0" w:space="0" w:color="auto"/>
        <w:right w:val="none" w:sz="0" w:space="0" w:color="auto"/>
      </w:divBdr>
    </w:div>
    <w:div w:id="563029248">
      <w:bodyDiv w:val="1"/>
      <w:marLeft w:val="0"/>
      <w:marRight w:val="0"/>
      <w:marTop w:val="0"/>
      <w:marBottom w:val="0"/>
      <w:divBdr>
        <w:top w:val="none" w:sz="0" w:space="0" w:color="auto"/>
        <w:left w:val="none" w:sz="0" w:space="0" w:color="auto"/>
        <w:bottom w:val="none" w:sz="0" w:space="0" w:color="auto"/>
        <w:right w:val="none" w:sz="0" w:space="0" w:color="auto"/>
      </w:divBdr>
    </w:div>
    <w:div w:id="588776727">
      <w:bodyDiv w:val="1"/>
      <w:marLeft w:val="0"/>
      <w:marRight w:val="0"/>
      <w:marTop w:val="0"/>
      <w:marBottom w:val="0"/>
      <w:divBdr>
        <w:top w:val="none" w:sz="0" w:space="0" w:color="auto"/>
        <w:left w:val="none" w:sz="0" w:space="0" w:color="auto"/>
        <w:bottom w:val="none" w:sz="0" w:space="0" w:color="auto"/>
        <w:right w:val="none" w:sz="0" w:space="0" w:color="auto"/>
      </w:divBdr>
    </w:div>
    <w:div w:id="609551909">
      <w:bodyDiv w:val="1"/>
      <w:marLeft w:val="0"/>
      <w:marRight w:val="0"/>
      <w:marTop w:val="0"/>
      <w:marBottom w:val="0"/>
      <w:divBdr>
        <w:top w:val="none" w:sz="0" w:space="0" w:color="auto"/>
        <w:left w:val="none" w:sz="0" w:space="0" w:color="auto"/>
        <w:bottom w:val="none" w:sz="0" w:space="0" w:color="auto"/>
        <w:right w:val="none" w:sz="0" w:space="0" w:color="auto"/>
      </w:divBdr>
      <w:divsChild>
        <w:div w:id="2069568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174817">
      <w:bodyDiv w:val="1"/>
      <w:marLeft w:val="0"/>
      <w:marRight w:val="0"/>
      <w:marTop w:val="0"/>
      <w:marBottom w:val="0"/>
      <w:divBdr>
        <w:top w:val="none" w:sz="0" w:space="0" w:color="auto"/>
        <w:left w:val="none" w:sz="0" w:space="0" w:color="auto"/>
        <w:bottom w:val="none" w:sz="0" w:space="0" w:color="auto"/>
        <w:right w:val="none" w:sz="0" w:space="0" w:color="auto"/>
      </w:divBdr>
    </w:div>
    <w:div w:id="686179547">
      <w:bodyDiv w:val="1"/>
      <w:marLeft w:val="0"/>
      <w:marRight w:val="0"/>
      <w:marTop w:val="0"/>
      <w:marBottom w:val="0"/>
      <w:divBdr>
        <w:top w:val="none" w:sz="0" w:space="0" w:color="auto"/>
        <w:left w:val="none" w:sz="0" w:space="0" w:color="auto"/>
        <w:bottom w:val="none" w:sz="0" w:space="0" w:color="auto"/>
        <w:right w:val="none" w:sz="0" w:space="0" w:color="auto"/>
      </w:divBdr>
    </w:div>
    <w:div w:id="745804834">
      <w:bodyDiv w:val="1"/>
      <w:marLeft w:val="0"/>
      <w:marRight w:val="0"/>
      <w:marTop w:val="0"/>
      <w:marBottom w:val="0"/>
      <w:divBdr>
        <w:top w:val="none" w:sz="0" w:space="0" w:color="auto"/>
        <w:left w:val="none" w:sz="0" w:space="0" w:color="auto"/>
        <w:bottom w:val="none" w:sz="0" w:space="0" w:color="auto"/>
        <w:right w:val="none" w:sz="0" w:space="0" w:color="auto"/>
      </w:divBdr>
      <w:divsChild>
        <w:div w:id="78715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4228714">
      <w:bodyDiv w:val="1"/>
      <w:marLeft w:val="0"/>
      <w:marRight w:val="0"/>
      <w:marTop w:val="0"/>
      <w:marBottom w:val="0"/>
      <w:divBdr>
        <w:top w:val="none" w:sz="0" w:space="0" w:color="auto"/>
        <w:left w:val="none" w:sz="0" w:space="0" w:color="auto"/>
        <w:bottom w:val="none" w:sz="0" w:space="0" w:color="auto"/>
        <w:right w:val="none" w:sz="0" w:space="0" w:color="auto"/>
      </w:divBdr>
    </w:div>
    <w:div w:id="792017398">
      <w:bodyDiv w:val="1"/>
      <w:marLeft w:val="0"/>
      <w:marRight w:val="0"/>
      <w:marTop w:val="0"/>
      <w:marBottom w:val="0"/>
      <w:divBdr>
        <w:top w:val="none" w:sz="0" w:space="0" w:color="auto"/>
        <w:left w:val="none" w:sz="0" w:space="0" w:color="auto"/>
        <w:bottom w:val="none" w:sz="0" w:space="0" w:color="auto"/>
        <w:right w:val="none" w:sz="0" w:space="0" w:color="auto"/>
      </w:divBdr>
    </w:div>
    <w:div w:id="818959424">
      <w:bodyDiv w:val="1"/>
      <w:marLeft w:val="0"/>
      <w:marRight w:val="0"/>
      <w:marTop w:val="0"/>
      <w:marBottom w:val="0"/>
      <w:divBdr>
        <w:top w:val="none" w:sz="0" w:space="0" w:color="auto"/>
        <w:left w:val="none" w:sz="0" w:space="0" w:color="auto"/>
        <w:bottom w:val="none" w:sz="0" w:space="0" w:color="auto"/>
        <w:right w:val="none" w:sz="0" w:space="0" w:color="auto"/>
      </w:divBdr>
    </w:div>
    <w:div w:id="855390136">
      <w:bodyDiv w:val="1"/>
      <w:marLeft w:val="0"/>
      <w:marRight w:val="0"/>
      <w:marTop w:val="0"/>
      <w:marBottom w:val="0"/>
      <w:divBdr>
        <w:top w:val="none" w:sz="0" w:space="0" w:color="auto"/>
        <w:left w:val="none" w:sz="0" w:space="0" w:color="auto"/>
        <w:bottom w:val="none" w:sz="0" w:space="0" w:color="auto"/>
        <w:right w:val="none" w:sz="0" w:space="0" w:color="auto"/>
      </w:divBdr>
    </w:div>
    <w:div w:id="879245437">
      <w:bodyDiv w:val="1"/>
      <w:marLeft w:val="0"/>
      <w:marRight w:val="0"/>
      <w:marTop w:val="0"/>
      <w:marBottom w:val="0"/>
      <w:divBdr>
        <w:top w:val="none" w:sz="0" w:space="0" w:color="auto"/>
        <w:left w:val="none" w:sz="0" w:space="0" w:color="auto"/>
        <w:bottom w:val="none" w:sz="0" w:space="0" w:color="auto"/>
        <w:right w:val="none" w:sz="0" w:space="0" w:color="auto"/>
      </w:divBdr>
    </w:div>
    <w:div w:id="948661223">
      <w:bodyDiv w:val="1"/>
      <w:marLeft w:val="0"/>
      <w:marRight w:val="0"/>
      <w:marTop w:val="0"/>
      <w:marBottom w:val="0"/>
      <w:divBdr>
        <w:top w:val="none" w:sz="0" w:space="0" w:color="auto"/>
        <w:left w:val="none" w:sz="0" w:space="0" w:color="auto"/>
        <w:bottom w:val="none" w:sz="0" w:space="0" w:color="auto"/>
        <w:right w:val="none" w:sz="0" w:space="0" w:color="auto"/>
      </w:divBdr>
    </w:div>
    <w:div w:id="950093007">
      <w:bodyDiv w:val="1"/>
      <w:marLeft w:val="0"/>
      <w:marRight w:val="0"/>
      <w:marTop w:val="0"/>
      <w:marBottom w:val="0"/>
      <w:divBdr>
        <w:top w:val="none" w:sz="0" w:space="0" w:color="auto"/>
        <w:left w:val="none" w:sz="0" w:space="0" w:color="auto"/>
        <w:bottom w:val="none" w:sz="0" w:space="0" w:color="auto"/>
        <w:right w:val="none" w:sz="0" w:space="0" w:color="auto"/>
      </w:divBdr>
    </w:div>
    <w:div w:id="958413081">
      <w:bodyDiv w:val="1"/>
      <w:marLeft w:val="0"/>
      <w:marRight w:val="0"/>
      <w:marTop w:val="0"/>
      <w:marBottom w:val="0"/>
      <w:divBdr>
        <w:top w:val="none" w:sz="0" w:space="0" w:color="auto"/>
        <w:left w:val="none" w:sz="0" w:space="0" w:color="auto"/>
        <w:bottom w:val="none" w:sz="0" w:space="0" w:color="auto"/>
        <w:right w:val="none" w:sz="0" w:space="0" w:color="auto"/>
      </w:divBdr>
    </w:div>
    <w:div w:id="1005400064">
      <w:bodyDiv w:val="1"/>
      <w:marLeft w:val="0"/>
      <w:marRight w:val="0"/>
      <w:marTop w:val="0"/>
      <w:marBottom w:val="0"/>
      <w:divBdr>
        <w:top w:val="none" w:sz="0" w:space="0" w:color="auto"/>
        <w:left w:val="none" w:sz="0" w:space="0" w:color="auto"/>
        <w:bottom w:val="none" w:sz="0" w:space="0" w:color="auto"/>
        <w:right w:val="none" w:sz="0" w:space="0" w:color="auto"/>
      </w:divBdr>
    </w:div>
    <w:div w:id="1049063281">
      <w:bodyDiv w:val="1"/>
      <w:marLeft w:val="0"/>
      <w:marRight w:val="0"/>
      <w:marTop w:val="0"/>
      <w:marBottom w:val="0"/>
      <w:divBdr>
        <w:top w:val="none" w:sz="0" w:space="0" w:color="auto"/>
        <w:left w:val="none" w:sz="0" w:space="0" w:color="auto"/>
        <w:bottom w:val="none" w:sz="0" w:space="0" w:color="auto"/>
        <w:right w:val="none" w:sz="0" w:space="0" w:color="auto"/>
      </w:divBdr>
    </w:div>
    <w:div w:id="1050614466">
      <w:bodyDiv w:val="1"/>
      <w:marLeft w:val="0"/>
      <w:marRight w:val="0"/>
      <w:marTop w:val="0"/>
      <w:marBottom w:val="0"/>
      <w:divBdr>
        <w:top w:val="none" w:sz="0" w:space="0" w:color="auto"/>
        <w:left w:val="none" w:sz="0" w:space="0" w:color="auto"/>
        <w:bottom w:val="none" w:sz="0" w:space="0" w:color="auto"/>
        <w:right w:val="none" w:sz="0" w:space="0" w:color="auto"/>
      </w:divBdr>
    </w:div>
    <w:div w:id="1069692657">
      <w:bodyDiv w:val="1"/>
      <w:marLeft w:val="0"/>
      <w:marRight w:val="0"/>
      <w:marTop w:val="0"/>
      <w:marBottom w:val="0"/>
      <w:divBdr>
        <w:top w:val="none" w:sz="0" w:space="0" w:color="auto"/>
        <w:left w:val="none" w:sz="0" w:space="0" w:color="auto"/>
        <w:bottom w:val="none" w:sz="0" w:space="0" w:color="auto"/>
        <w:right w:val="none" w:sz="0" w:space="0" w:color="auto"/>
      </w:divBdr>
    </w:div>
    <w:div w:id="1072921539">
      <w:bodyDiv w:val="1"/>
      <w:marLeft w:val="0"/>
      <w:marRight w:val="0"/>
      <w:marTop w:val="0"/>
      <w:marBottom w:val="0"/>
      <w:divBdr>
        <w:top w:val="none" w:sz="0" w:space="0" w:color="auto"/>
        <w:left w:val="none" w:sz="0" w:space="0" w:color="auto"/>
        <w:bottom w:val="none" w:sz="0" w:space="0" w:color="auto"/>
        <w:right w:val="none" w:sz="0" w:space="0" w:color="auto"/>
      </w:divBdr>
    </w:div>
    <w:div w:id="1131240977">
      <w:bodyDiv w:val="1"/>
      <w:marLeft w:val="0"/>
      <w:marRight w:val="0"/>
      <w:marTop w:val="0"/>
      <w:marBottom w:val="0"/>
      <w:divBdr>
        <w:top w:val="none" w:sz="0" w:space="0" w:color="auto"/>
        <w:left w:val="none" w:sz="0" w:space="0" w:color="auto"/>
        <w:bottom w:val="none" w:sz="0" w:space="0" w:color="auto"/>
        <w:right w:val="none" w:sz="0" w:space="0" w:color="auto"/>
      </w:divBdr>
    </w:div>
    <w:div w:id="1141507536">
      <w:bodyDiv w:val="1"/>
      <w:marLeft w:val="0"/>
      <w:marRight w:val="0"/>
      <w:marTop w:val="0"/>
      <w:marBottom w:val="0"/>
      <w:divBdr>
        <w:top w:val="none" w:sz="0" w:space="0" w:color="auto"/>
        <w:left w:val="none" w:sz="0" w:space="0" w:color="auto"/>
        <w:bottom w:val="none" w:sz="0" w:space="0" w:color="auto"/>
        <w:right w:val="none" w:sz="0" w:space="0" w:color="auto"/>
      </w:divBdr>
    </w:div>
    <w:div w:id="1181431173">
      <w:bodyDiv w:val="1"/>
      <w:marLeft w:val="0"/>
      <w:marRight w:val="0"/>
      <w:marTop w:val="0"/>
      <w:marBottom w:val="0"/>
      <w:divBdr>
        <w:top w:val="none" w:sz="0" w:space="0" w:color="auto"/>
        <w:left w:val="none" w:sz="0" w:space="0" w:color="auto"/>
        <w:bottom w:val="none" w:sz="0" w:space="0" w:color="auto"/>
        <w:right w:val="none" w:sz="0" w:space="0" w:color="auto"/>
      </w:divBdr>
    </w:div>
    <w:div w:id="1307592827">
      <w:bodyDiv w:val="1"/>
      <w:marLeft w:val="0"/>
      <w:marRight w:val="0"/>
      <w:marTop w:val="0"/>
      <w:marBottom w:val="0"/>
      <w:divBdr>
        <w:top w:val="none" w:sz="0" w:space="0" w:color="auto"/>
        <w:left w:val="none" w:sz="0" w:space="0" w:color="auto"/>
        <w:bottom w:val="none" w:sz="0" w:space="0" w:color="auto"/>
        <w:right w:val="none" w:sz="0" w:space="0" w:color="auto"/>
      </w:divBdr>
    </w:div>
    <w:div w:id="1347515609">
      <w:bodyDiv w:val="1"/>
      <w:marLeft w:val="0"/>
      <w:marRight w:val="0"/>
      <w:marTop w:val="0"/>
      <w:marBottom w:val="0"/>
      <w:divBdr>
        <w:top w:val="none" w:sz="0" w:space="0" w:color="auto"/>
        <w:left w:val="none" w:sz="0" w:space="0" w:color="auto"/>
        <w:bottom w:val="none" w:sz="0" w:space="0" w:color="auto"/>
        <w:right w:val="none" w:sz="0" w:space="0" w:color="auto"/>
      </w:divBdr>
    </w:div>
    <w:div w:id="1394933763">
      <w:bodyDiv w:val="1"/>
      <w:marLeft w:val="0"/>
      <w:marRight w:val="0"/>
      <w:marTop w:val="0"/>
      <w:marBottom w:val="0"/>
      <w:divBdr>
        <w:top w:val="none" w:sz="0" w:space="0" w:color="auto"/>
        <w:left w:val="none" w:sz="0" w:space="0" w:color="auto"/>
        <w:bottom w:val="none" w:sz="0" w:space="0" w:color="auto"/>
        <w:right w:val="none" w:sz="0" w:space="0" w:color="auto"/>
      </w:divBdr>
    </w:div>
    <w:div w:id="1499228879">
      <w:bodyDiv w:val="1"/>
      <w:marLeft w:val="0"/>
      <w:marRight w:val="0"/>
      <w:marTop w:val="0"/>
      <w:marBottom w:val="0"/>
      <w:divBdr>
        <w:top w:val="none" w:sz="0" w:space="0" w:color="auto"/>
        <w:left w:val="none" w:sz="0" w:space="0" w:color="auto"/>
        <w:bottom w:val="none" w:sz="0" w:space="0" w:color="auto"/>
        <w:right w:val="none" w:sz="0" w:space="0" w:color="auto"/>
      </w:divBdr>
    </w:div>
    <w:div w:id="1511260832">
      <w:bodyDiv w:val="1"/>
      <w:marLeft w:val="0"/>
      <w:marRight w:val="0"/>
      <w:marTop w:val="0"/>
      <w:marBottom w:val="0"/>
      <w:divBdr>
        <w:top w:val="none" w:sz="0" w:space="0" w:color="auto"/>
        <w:left w:val="none" w:sz="0" w:space="0" w:color="auto"/>
        <w:bottom w:val="none" w:sz="0" w:space="0" w:color="auto"/>
        <w:right w:val="none" w:sz="0" w:space="0" w:color="auto"/>
      </w:divBdr>
    </w:div>
    <w:div w:id="1542936051">
      <w:bodyDiv w:val="1"/>
      <w:marLeft w:val="0"/>
      <w:marRight w:val="0"/>
      <w:marTop w:val="0"/>
      <w:marBottom w:val="0"/>
      <w:divBdr>
        <w:top w:val="none" w:sz="0" w:space="0" w:color="auto"/>
        <w:left w:val="none" w:sz="0" w:space="0" w:color="auto"/>
        <w:bottom w:val="none" w:sz="0" w:space="0" w:color="auto"/>
        <w:right w:val="none" w:sz="0" w:space="0" w:color="auto"/>
      </w:divBdr>
    </w:div>
    <w:div w:id="1586837264">
      <w:bodyDiv w:val="1"/>
      <w:marLeft w:val="0"/>
      <w:marRight w:val="0"/>
      <w:marTop w:val="0"/>
      <w:marBottom w:val="0"/>
      <w:divBdr>
        <w:top w:val="none" w:sz="0" w:space="0" w:color="auto"/>
        <w:left w:val="none" w:sz="0" w:space="0" w:color="auto"/>
        <w:bottom w:val="none" w:sz="0" w:space="0" w:color="auto"/>
        <w:right w:val="none" w:sz="0" w:space="0" w:color="auto"/>
      </w:divBdr>
    </w:div>
    <w:div w:id="1597010803">
      <w:bodyDiv w:val="1"/>
      <w:marLeft w:val="0"/>
      <w:marRight w:val="0"/>
      <w:marTop w:val="0"/>
      <w:marBottom w:val="0"/>
      <w:divBdr>
        <w:top w:val="none" w:sz="0" w:space="0" w:color="auto"/>
        <w:left w:val="none" w:sz="0" w:space="0" w:color="auto"/>
        <w:bottom w:val="none" w:sz="0" w:space="0" w:color="auto"/>
        <w:right w:val="none" w:sz="0" w:space="0" w:color="auto"/>
      </w:divBdr>
    </w:div>
    <w:div w:id="1639799114">
      <w:bodyDiv w:val="1"/>
      <w:marLeft w:val="0"/>
      <w:marRight w:val="0"/>
      <w:marTop w:val="0"/>
      <w:marBottom w:val="0"/>
      <w:divBdr>
        <w:top w:val="none" w:sz="0" w:space="0" w:color="auto"/>
        <w:left w:val="none" w:sz="0" w:space="0" w:color="auto"/>
        <w:bottom w:val="none" w:sz="0" w:space="0" w:color="auto"/>
        <w:right w:val="none" w:sz="0" w:space="0" w:color="auto"/>
      </w:divBdr>
    </w:div>
    <w:div w:id="1661155674">
      <w:bodyDiv w:val="1"/>
      <w:marLeft w:val="0"/>
      <w:marRight w:val="0"/>
      <w:marTop w:val="0"/>
      <w:marBottom w:val="0"/>
      <w:divBdr>
        <w:top w:val="none" w:sz="0" w:space="0" w:color="auto"/>
        <w:left w:val="none" w:sz="0" w:space="0" w:color="auto"/>
        <w:bottom w:val="none" w:sz="0" w:space="0" w:color="auto"/>
        <w:right w:val="none" w:sz="0" w:space="0" w:color="auto"/>
      </w:divBdr>
    </w:div>
    <w:div w:id="1667513600">
      <w:bodyDiv w:val="1"/>
      <w:marLeft w:val="0"/>
      <w:marRight w:val="0"/>
      <w:marTop w:val="0"/>
      <w:marBottom w:val="0"/>
      <w:divBdr>
        <w:top w:val="none" w:sz="0" w:space="0" w:color="auto"/>
        <w:left w:val="none" w:sz="0" w:space="0" w:color="auto"/>
        <w:bottom w:val="none" w:sz="0" w:space="0" w:color="auto"/>
        <w:right w:val="none" w:sz="0" w:space="0" w:color="auto"/>
      </w:divBdr>
    </w:div>
    <w:div w:id="1696930597">
      <w:bodyDiv w:val="1"/>
      <w:marLeft w:val="0"/>
      <w:marRight w:val="0"/>
      <w:marTop w:val="0"/>
      <w:marBottom w:val="0"/>
      <w:divBdr>
        <w:top w:val="none" w:sz="0" w:space="0" w:color="auto"/>
        <w:left w:val="none" w:sz="0" w:space="0" w:color="auto"/>
        <w:bottom w:val="none" w:sz="0" w:space="0" w:color="auto"/>
        <w:right w:val="none" w:sz="0" w:space="0" w:color="auto"/>
      </w:divBdr>
    </w:div>
    <w:div w:id="1728188192">
      <w:bodyDiv w:val="1"/>
      <w:marLeft w:val="0"/>
      <w:marRight w:val="0"/>
      <w:marTop w:val="0"/>
      <w:marBottom w:val="0"/>
      <w:divBdr>
        <w:top w:val="none" w:sz="0" w:space="0" w:color="auto"/>
        <w:left w:val="none" w:sz="0" w:space="0" w:color="auto"/>
        <w:bottom w:val="none" w:sz="0" w:space="0" w:color="auto"/>
        <w:right w:val="none" w:sz="0" w:space="0" w:color="auto"/>
      </w:divBdr>
    </w:div>
    <w:div w:id="1827743507">
      <w:bodyDiv w:val="1"/>
      <w:marLeft w:val="0"/>
      <w:marRight w:val="0"/>
      <w:marTop w:val="0"/>
      <w:marBottom w:val="0"/>
      <w:divBdr>
        <w:top w:val="none" w:sz="0" w:space="0" w:color="auto"/>
        <w:left w:val="none" w:sz="0" w:space="0" w:color="auto"/>
        <w:bottom w:val="none" w:sz="0" w:space="0" w:color="auto"/>
        <w:right w:val="none" w:sz="0" w:space="0" w:color="auto"/>
      </w:divBdr>
    </w:div>
    <w:div w:id="1902249271">
      <w:bodyDiv w:val="1"/>
      <w:marLeft w:val="0"/>
      <w:marRight w:val="0"/>
      <w:marTop w:val="0"/>
      <w:marBottom w:val="0"/>
      <w:divBdr>
        <w:top w:val="none" w:sz="0" w:space="0" w:color="auto"/>
        <w:left w:val="none" w:sz="0" w:space="0" w:color="auto"/>
        <w:bottom w:val="none" w:sz="0" w:space="0" w:color="auto"/>
        <w:right w:val="none" w:sz="0" w:space="0" w:color="auto"/>
      </w:divBdr>
    </w:div>
    <w:div w:id="1914272447">
      <w:bodyDiv w:val="1"/>
      <w:marLeft w:val="0"/>
      <w:marRight w:val="0"/>
      <w:marTop w:val="0"/>
      <w:marBottom w:val="0"/>
      <w:divBdr>
        <w:top w:val="none" w:sz="0" w:space="0" w:color="auto"/>
        <w:left w:val="none" w:sz="0" w:space="0" w:color="auto"/>
        <w:bottom w:val="none" w:sz="0" w:space="0" w:color="auto"/>
        <w:right w:val="none" w:sz="0" w:space="0" w:color="auto"/>
      </w:divBdr>
    </w:div>
    <w:div w:id="207508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duniq.pt/insight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duniq.pt/insigh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atricia.afonso%20@lift.com.p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re.pt/media/2026/03/UNICRE_Relatorio-Sustentabilidade-25.pdf" TargetMode="External"/><Relationship Id="rId5" Type="http://schemas.openxmlformats.org/officeDocument/2006/relationships/numbering" Target="numbering.xml"/><Relationship Id="rId15" Type="http://schemas.openxmlformats.org/officeDocument/2006/relationships/hyperlink" Target="https://www.reduniq.pt/reduniq-insight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cre.pt/empresa/governacao/relatorios-de-sustentabilida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52e8a7b-555f-4dec-9de3-54ba0f47f5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BIoeaRjJD1te0+aXKxwiXdfUxw==">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AwoLQUFBQlotYng3M00S5wIKC0FBQUJaLWJ4NzNNEgtBQUFCWi1ieDczTRoNCgl0ZXh0L2h0bWwSACIOCgp0ZXh0L3BsYWluEgAqRgoNRsOhYmlvIER1YXJ0ZRo1Ly9zc2wuZ3N0YXRpYy5jb20vZG9jcy9jb21tb24vYmx1ZV9zaWxob3VldHRlOTYtMC5wbmcwoJDUwLgyOKCQ1MC4Mko/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+6wLgyIIC/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E1E1887D5848FF4783ABB472AD564C08" ma:contentTypeVersion="11" ma:contentTypeDescription="Criar um novo documento." ma:contentTypeScope="" ma:versionID="1835005980ce0093415aca5a2c6795ad">
  <xsd:schema xmlns:xsd="http://www.w3.org/2001/XMLSchema" xmlns:xs="http://www.w3.org/2001/XMLSchema" xmlns:p="http://schemas.microsoft.com/office/2006/metadata/properties" xmlns:ns3="252e8a7b-555f-4dec-9de3-54ba0f47f55a" targetNamespace="http://schemas.microsoft.com/office/2006/metadata/properties" ma:root="true" ma:fieldsID="d3887f8db72612fd43c6f32af97a3d4f" ns3:_="">
    <xsd:import namespace="252e8a7b-555f-4dec-9de3-54ba0f47f55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e8a7b-555f-4dec-9de3-54ba0f47f5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DC7A25-74A2-4DF7-8215-6C0AC91AC5EE}">
  <ds:schemaRefs>
    <ds:schemaRef ds:uri="http://purl.org/dc/dcmitype/"/>
    <ds:schemaRef ds:uri="http://purl.org/dc/elements/1.1/"/>
    <ds:schemaRef ds:uri="http://purl.org/dc/terms/"/>
    <ds:schemaRef ds:uri="http://schemas.microsoft.com/office/2006/metadata/properties"/>
    <ds:schemaRef ds:uri="252e8a7b-555f-4dec-9de3-54ba0f47f55a"/>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04BBDEC0-AC6C-41CB-B176-53F2DCD4D52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CD0B4B6-4EE3-426E-9BAF-5DD6A07A1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2e8a7b-555f-4dec-9de3-54ba0f47f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1106</Words>
  <Characters>5973</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Rosado</dc:creator>
  <cp:lastModifiedBy>Patrícia Afonso</cp:lastModifiedBy>
  <cp:revision>2</cp:revision>
  <dcterms:created xsi:type="dcterms:W3CDTF">2026-04-14T11:10:00Z</dcterms:created>
  <dcterms:modified xsi:type="dcterms:W3CDTF">2026-04-14T11:10:00Z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0x010100E1E1887D5848FF4783ABB472AD564C08</vt:lpwstr>
  </property>
  <property fmtid="{D5CDD505-2E9C-101B-9397-08002B2CF9AE}" pid="3" name="MediaServiceImageTags">
    <vt:lpwstr/>
  </property>
  <property fmtid="{D5CDD505-2E9C-101B-9397-08002B2CF9AE}" pid="4" name="MSIP_Label_a0f89cb5-682d-4be4-b0e0-739c9b4a93d4_Enabled">
    <vt:lpwstr>true</vt:lpwstr>
  </property>
  <property fmtid="{D5CDD505-2E9C-101B-9397-08002B2CF9AE}" pid="5" name="MSIP_Label_a0f89cb5-682d-4be4-b0e0-739c9b4a93d4_SetDate">
    <vt:lpwstr>2023-02-08T15:33:18Z</vt:lpwstr>
  </property>
  <property fmtid="{D5CDD505-2E9C-101B-9397-08002B2CF9AE}" pid="6" name="MSIP_Label_a0f89cb5-682d-4be4-b0e0-739c9b4a93d4_Method">
    <vt:lpwstr>Standard</vt:lpwstr>
  </property>
  <property fmtid="{D5CDD505-2E9C-101B-9397-08002B2CF9AE}" pid="7" name="MSIP_Label_a0f89cb5-682d-4be4-b0e0-739c9b4a93d4_Name">
    <vt:lpwstr>Not Classified</vt:lpwstr>
  </property>
  <property fmtid="{D5CDD505-2E9C-101B-9397-08002B2CF9AE}" pid="8" name="MSIP_Label_a0f89cb5-682d-4be4-b0e0-739c9b4a93d4_SiteId">
    <vt:lpwstr>38305e12-e15d-4ee8-88b9-c4db1c477d76</vt:lpwstr>
  </property>
  <property fmtid="{D5CDD505-2E9C-101B-9397-08002B2CF9AE}" pid="9" name="MSIP_Label_a0f89cb5-682d-4be4-b0e0-739c9b4a93d4_ActionId">
    <vt:lpwstr>57545fd6-a959-4e01-be7f-d9d1a572951a</vt:lpwstr>
  </property>
  <property fmtid="{D5CDD505-2E9C-101B-9397-08002B2CF9AE}" pid="10" name="MSIP_Label_a0f89cb5-682d-4be4-b0e0-739c9b4a93d4_ContentBits">
    <vt:lpwstr>0</vt:lpwstr>
  </property>
  <property fmtid="{D5CDD505-2E9C-101B-9397-08002B2CF9AE}" pid="11" name="lcf76f155ced4ddcb4097134ff3c332f">
    <vt:lpwstr/>
  </property>
</Properties>
</file>