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before="480" w:line="276" w:lineRule="auto"/>
        <w:jc w:val="center"/>
        <w:rPr>
          <w:rFonts w:ascii="Arial" w:cs="Arial" w:eastAsia="Arial" w:hAnsi="Arial"/>
          <w:b w:val="1"/>
          <w:bCs w:val="1"/>
          <w:sz w:val="20"/>
          <w:szCs w:val="20"/>
        </w:rPr>
      </w:pPr>
      <w:bookmarkStart w:colFirst="0" w:colLast="0" w:name="_heading=h.lyge0rm77d5t" w:id="0"/>
      <w:bookmarkEnd w:id="0"/>
      <w:r w:rsidDel="00000000" w:rsidR="00000000" w:rsidRPr="00000000">
        <w:rPr>
          <w:rFonts w:ascii="Arial" w:cs="Arial" w:eastAsia="Arial" w:hAnsi="Arial"/>
          <w:b w:val="1"/>
          <w:bCs w:val="1"/>
          <w:color w:val="000000"/>
          <w:sz w:val="22"/>
          <w:szCs w:val="22"/>
          <w:rtl w:val="0"/>
        </w:rPr>
        <w:t xml:space="preserve">Pod Warszawą powstało DAF Used Trucks Center o powierzchni blisko 34 000 mkw. Cushman &amp; Wakefield wspierał inwestycję</w:t>
      </w:r>
      <w:r w:rsidDel="00000000" w:rsidR="00000000" w:rsidRPr="00000000">
        <w:rPr>
          <w:rtl w:val="0"/>
        </w:rPr>
      </w:r>
    </w:p>
    <w:p w:rsidR="00000000" w:rsidDel="00000000" w:rsidP="00000000" w:rsidRDefault="00000000" w:rsidRPr="00000000" w14:paraId="00000002">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Obszerny plac parkingowy dla kilkuset pojazdów ciężarowych, warsztat przygotowujący je do sprzedaży i biura dla pracowników obsługujących klientów z Polski i Azji Centralnej. Tak w skrócie można opisać DAF Used Trucks Center Warsaw, które powstało w Urzucie pod Warszawą przy trasie S8. Za kompleksowe wsparcie inwestora – firmy </w:t>
      </w:r>
      <w:r w:rsidDel="00000000" w:rsidR="00000000" w:rsidRPr="00000000">
        <w:rPr>
          <w:rFonts w:ascii="Roboto" w:cs="Roboto" w:eastAsia="Roboto" w:hAnsi="Roboto"/>
          <w:b w:val="1"/>
          <w:bCs w:val="1"/>
          <w:color w:val="444746"/>
          <w:sz w:val="21"/>
          <w:szCs w:val="21"/>
          <w:rtl w:val="0"/>
        </w:rPr>
        <w:t xml:space="preserve">PACCAR Financial Polska Sp. z o.o.</w:t>
      </w:r>
      <w:r w:rsidDel="00000000" w:rsidR="00000000" w:rsidRPr="00000000">
        <w:rPr>
          <w:rFonts w:ascii="Arial" w:cs="Arial" w:eastAsia="Arial" w:hAnsi="Arial"/>
          <w:b w:val="1"/>
          <w:bCs w:val="1"/>
          <w:sz w:val="20"/>
          <w:szCs w:val="20"/>
          <w:rtl w:val="0"/>
        </w:rPr>
        <w:t xml:space="preserve"> – od wyboru działki, przez jej zakup, aż po zarządzanie realizacją inwestycji odpowiadały zespoły międzynarodowej agencji doradczej Cushman &amp; Wakefield z działów Industrial &amp; Logistics oraz Project &amp; Development Services (PDS), które połączyły kompetencje doradcze i projektowe przy realizacji inwestycji.</w:t>
      </w:r>
      <w:r w:rsidDel="00000000" w:rsidR="00000000" w:rsidRPr="00000000">
        <w:rPr>
          <w:rtl w:val="0"/>
        </w:rPr>
      </w:r>
    </w:p>
    <w:p w:rsidR="00000000" w:rsidDel="00000000" w:rsidP="00000000" w:rsidRDefault="00000000" w:rsidRPr="00000000" w14:paraId="00000004">
      <w:pPr>
        <w:spacing w:after="240" w:before="240" w:line="276" w:lineRule="auto"/>
        <w:jc w:val="both"/>
        <w:rPr>
          <w:rFonts w:ascii="Arial" w:cs="Arial" w:eastAsia="Arial" w:hAnsi="Arial"/>
          <w:sz w:val="26"/>
          <w:szCs w:val="26"/>
          <w:highlight w:val="white"/>
        </w:rPr>
      </w:pPr>
      <w:r w:rsidDel="00000000" w:rsidR="00000000" w:rsidRPr="00000000">
        <w:rPr>
          <w:rFonts w:ascii="Arial" w:cs="Arial" w:eastAsia="Arial" w:hAnsi="Arial"/>
          <w:sz w:val="20"/>
          <w:szCs w:val="20"/>
          <w:rtl w:val="0"/>
        </w:rPr>
        <w:t xml:space="preserve">DAF Trucks Polska działa na polskim rynku od 1995 roku, dostarczając pojazdy ciężarowe dla firm transportowych. Dziesięć lat później firma uruchomiła również dział pojazdów używanych, który systematycznie zwiększa skalę swojej działalności.</w:t>
      </w:r>
      <w:r w:rsidDel="00000000" w:rsidR="00000000" w:rsidRPr="00000000">
        <w:rPr>
          <w:rFonts w:ascii="Arial" w:cs="Arial" w:eastAsia="Arial" w:hAnsi="Arial"/>
          <w:sz w:val="26"/>
          <w:szCs w:val="26"/>
          <w:highlight w:val="white"/>
          <w:rtl w:val="0"/>
        </w:rPr>
        <w:t xml:space="preserve"> </w:t>
      </w:r>
    </w:p>
    <w:p w:rsidR="00000000" w:rsidDel="00000000" w:rsidP="00000000" w:rsidRDefault="00000000" w:rsidRPr="00000000" w14:paraId="00000005">
      <w:pPr>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Nowe centrum obejmuje plac parkingowy o powierzchni około 33 000 mkw., który pomieści ponad 500 pojazdów ciężarowych, a także nowoczesną część warsztatową z myjnią (500 mkw.) oraz biura i zaplecze socjalne (400 mkw.). Z obiektu obsługiwane będą zarówno transakcje na rynku polskim, jak i sprzedaż pojazdów do krajów takich jak Kazachstan czy Uzbekistan.</w:t>
      </w:r>
    </w:p>
    <w:p w:rsidR="00000000" w:rsidDel="00000000" w:rsidP="00000000" w:rsidRDefault="00000000" w:rsidRPr="00000000" w14:paraId="00000006">
      <w:pPr>
        <w:spacing w:after="240" w:before="240" w:line="276" w:lineRule="auto"/>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Dla nas to inwestycja o strategicznym znaczeniu dla naszej działalności. Centrum w Urzucie będzie największym ośrodkiem sprzedaży pojazdów używanych DAF w Europie i jednocześnie zapleczem operacyjnym obsługującym klientów na wielu rynkach. Dlatego od początku zależało nam na </w:t>
      </w:r>
      <w:r w:rsidDel="00000000" w:rsidR="00000000" w:rsidRPr="00000000">
        <w:rPr>
          <w:rFonts w:ascii="Arial" w:cs="Arial" w:eastAsia="Arial" w:hAnsi="Arial"/>
          <w:sz w:val="20"/>
          <w:szCs w:val="20"/>
          <w:rtl w:val="0"/>
        </w:rPr>
        <w:t xml:space="preserve">partnerze, który wesprze nas w całym procesie” – mówi </w:t>
      </w:r>
      <w:r w:rsidDel="00000000" w:rsidR="00000000" w:rsidRPr="00000000">
        <w:rPr>
          <w:rFonts w:ascii="Arial" w:cs="Arial" w:eastAsia="Arial" w:hAnsi="Arial"/>
          <w:b w:val="1"/>
          <w:bCs w:val="1"/>
          <w:sz w:val="20"/>
          <w:szCs w:val="20"/>
          <w:rtl w:val="0"/>
        </w:rPr>
        <w:t xml:space="preserve">Pepijn van Buren,</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20"/>
          <w:szCs w:val="20"/>
          <w:rtl w:val="0"/>
        </w:rPr>
        <w:t xml:space="preserve">Marketing and Sales Director, PACCAR Financial Europe.</w:t>
      </w:r>
      <w:r w:rsidDel="00000000" w:rsidR="00000000" w:rsidRPr="00000000">
        <w:rPr>
          <w:rtl w:val="0"/>
        </w:rPr>
      </w:r>
    </w:p>
    <w:p w:rsidR="00000000" w:rsidDel="00000000" w:rsidP="00000000" w:rsidRDefault="00000000" w:rsidRPr="00000000" w14:paraId="00000007">
      <w:pPr>
        <w:pStyle w:val="Heading2"/>
        <w:keepNext w:val="0"/>
        <w:keepLines w:val="0"/>
        <w:spacing w:after="80" w:before="360" w:line="276" w:lineRule="auto"/>
        <w:jc w:val="both"/>
        <w:rPr>
          <w:rFonts w:ascii="Arial" w:cs="Arial" w:eastAsia="Arial" w:hAnsi="Arial"/>
          <w:smallCaps w:val="0"/>
          <w:color w:val="000000"/>
          <w:sz w:val="20"/>
          <w:szCs w:val="20"/>
        </w:rPr>
      </w:pPr>
      <w:bookmarkStart w:colFirst="0" w:colLast="0" w:name="_heading=h.uu1d7mefzcqp" w:id="1"/>
      <w:bookmarkEnd w:id="1"/>
      <w:r w:rsidDel="00000000" w:rsidR="00000000" w:rsidRPr="00000000">
        <w:rPr>
          <w:rFonts w:ascii="Arial" w:cs="Arial" w:eastAsia="Arial" w:hAnsi="Arial"/>
          <w:smallCaps w:val="0"/>
          <w:color w:val="000000"/>
          <w:sz w:val="20"/>
          <w:szCs w:val="20"/>
          <w:rtl w:val="0"/>
        </w:rPr>
        <w:t xml:space="preserve">Najpierw lokalizacja</w:t>
      </w:r>
    </w:p>
    <w:p w:rsidR="00000000" w:rsidDel="00000000" w:rsidP="00000000" w:rsidRDefault="00000000" w:rsidRPr="00000000" w14:paraId="00000008">
      <w:pPr>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Jednym z pierwszych wyzwań projektu było znalezienie działki w okolicach Warszawy, w bezpośrednim sąsiedztwie trasy szybkiego ruchu, która zapewni dobrą widoczność inwestycji i pozwoli zrealizować projekt w zakładanej skali.</w:t>
      </w:r>
    </w:p>
    <w:p w:rsidR="00000000" w:rsidDel="00000000" w:rsidP="00000000" w:rsidRDefault="00000000" w:rsidRPr="00000000" w14:paraId="00000009">
      <w:pPr>
        <w:spacing w:after="240" w:before="240" w:line="276" w:lineRule="auto"/>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W przypadku inwestycji związanych z rynkiem pojazdów ciężarowych lokalizacja musi spełniać dwa warunki jednocześnie – zapewniać dostępność logistyczną i być widoczna dla klientów. To nie jest klasyczny magazyn ukryty w głębi parku logistycznego. Tutaj sama ekspozycja pojazdów jest częścią modelu biznesowego. Przy analizie dostępnych gruntów w aglomeracji warszawskiej braliśmy pod uwagę ich potencjał inwestycyjny, uwarunkowania planistyczne oraz możliwości techniczne realizacji projektu</w:t>
      </w:r>
      <w:r w:rsidDel="00000000" w:rsidR="00000000" w:rsidRPr="00000000">
        <w:rPr>
          <w:rFonts w:ascii="Arial" w:cs="Arial" w:eastAsia="Arial" w:hAnsi="Arial"/>
          <w:sz w:val="20"/>
          <w:szCs w:val="20"/>
          <w:rtl w:val="0"/>
        </w:rPr>
        <w:t xml:space="preserve">” – mówi </w:t>
      </w:r>
      <w:r w:rsidDel="00000000" w:rsidR="00000000" w:rsidRPr="00000000">
        <w:rPr>
          <w:rFonts w:ascii="Arial" w:cs="Arial" w:eastAsia="Arial" w:hAnsi="Arial"/>
          <w:b w:val="1"/>
          <w:bCs w:val="1"/>
          <w:sz w:val="20"/>
          <w:szCs w:val="20"/>
          <w:rtl w:val="0"/>
        </w:rPr>
        <w:t xml:space="preserve">Paulina Zdeb, Land Specialist, Industrial &amp; Logistics Agency, Cushman &amp; Wakefield.</w:t>
      </w:r>
    </w:p>
    <w:p w:rsidR="00000000" w:rsidDel="00000000" w:rsidP="00000000" w:rsidRDefault="00000000" w:rsidRPr="00000000" w14:paraId="0000000A">
      <w:pPr>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Ostatecznie wybrano sześciohektarową działkę w Urzucie. Położona tuż przy drodze ekspresowej S8, zapewnia doskonałą widoczność obiektu z obu kierunków jazdy oraz odpowiednią powierzchnię dla planowanej infrastruktury.</w:t>
      </w:r>
    </w:p>
    <w:p w:rsidR="00000000" w:rsidDel="00000000" w:rsidP="00000000" w:rsidRDefault="00000000" w:rsidRPr="00000000" w14:paraId="0000000B">
      <w:pPr>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Zespół Cushman &amp; Wakefield koordynował również proces zakupu działki – od negocjacji warunków transakcji po współpracę z doradcami prawnymi i technicznymi. Równolegle, we współpracy z zespołem Project &amp; Development Services, przeprowadzono szczegółowe due diligence potwierdzające możliwości realizacji inwestycji i minimalizujące ryzyka projektowe.</w:t>
      </w:r>
    </w:p>
    <w:p w:rsidR="00000000" w:rsidDel="00000000" w:rsidP="00000000" w:rsidRDefault="00000000" w:rsidRPr="00000000" w14:paraId="0000000C">
      <w:pPr>
        <w:pStyle w:val="Heading2"/>
        <w:keepNext w:val="0"/>
        <w:keepLines w:val="0"/>
        <w:spacing w:after="80" w:before="360" w:line="276" w:lineRule="auto"/>
        <w:jc w:val="both"/>
        <w:rPr>
          <w:rFonts w:ascii="Arial" w:cs="Arial" w:eastAsia="Arial" w:hAnsi="Arial"/>
          <w:smallCaps w:val="0"/>
          <w:color w:val="000000"/>
          <w:sz w:val="20"/>
          <w:szCs w:val="20"/>
        </w:rPr>
      </w:pPr>
      <w:bookmarkStart w:colFirst="0" w:colLast="0" w:name="_heading=h.f0yxp9lns0py" w:id="2"/>
      <w:bookmarkEnd w:id="2"/>
      <w:r w:rsidDel="00000000" w:rsidR="00000000" w:rsidRPr="00000000">
        <w:rPr>
          <w:rFonts w:ascii="Arial" w:cs="Arial" w:eastAsia="Arial" w:hAnsi="Arial"/>
          <w:smallCaps w:val="0"/>
          <w:color w:val="000000"/>
          <w:sz w:val="20"/>
          <w:szCs w:val="20"/>
          <w:rtl w:val="0"/>
        </w:rPr>
        <w:t xml:space="preserve">Gdy zakup działki jest tylko początkiem</w:t>
      </w:r>
    </w:p>
    <w:p w:rsidR="00000000" w:rsidDel="00000000" w:rsidP="00000000" w:rsidRDefault="00000000" w:rsidRPr="00000000" w14:paraId="0000000D">
      <w:pPr>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 sfinalizowaniu transakcji projekt wszedł w fazę inwestycyjną, prowadzoną przez dział Project &amp; Development Services. Zespół odpowiadał za zarządzanie projektem oraz kontrolę kosztów – od zapewnienia mediów i włączenia nieruchomości do układu drogowego, przez wyłonienie projektanta i koordynację projektowania odpowiednio do potrzeb inwestora, wyłonienie generalnego wykonawcy i nadzór nad realizacją inwestycji, po odbiory końcowe i przekazanie nieruchomości do użytkowania.</w:t>
      </w:r>
    </w:p>
    <w:p w:rsidR="00000000" w:rsidDel="00000000" w:rsidP="00000000" w:rsidRDefault="00000000" w:rsidRPr="00000000" w14:paraId="0000000E">
      <w:pPr>
        <w:spacing w:after="240" w:before="240" w:line="276" w:lineRule="auto"/>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Musieliśmy zmierzyć się z warunkami gruntowymi na rozległym terenie inwestycji oraz koniecznością zaprojektowania systemu odprowadzania wód opadowych z dużej powierzchni utwardzonej. Przy projektach o tak dużej powierzchni utwardzonej kluczowe jest bardzo dobre przygotowanie techniczne już na początku. Jeśli koncepcja nie uwzględnia kwestii geotechnicznych czy odwodnienia, problemy pojawiają się na etapie budowy. Dlatego tak duży nacisk położyliśmy na dopracowanie założeń projektowych i realistyczne oszacowanie budżetu</w:t>
      </w:r>
      <w:r w:rsidDel="00000000" w:rsidR="00000000" w:rsidRPr="00000000">
        <w:rPr>
          <w:rFonts w:ascii="Arial" w:cs="Arial" w:eastAsia="Arial" w:hAnsi="Arial"/>
          <w:sz w:val="20"/>
          <w:szCs w:val="20"/>
          <w:rtl w:val="0"/>
        </w:rPr>
        <w:t xml:space="preserve">” – mówi </w:t>
      </w:r>
      <w:r w:rsidDel="00000000" w:rsidR="00000000" w:rsidRPr="00000000">
        <w:rPr>
          <w:rFonts w:ascii="Arial" w:cs="Arial" w:eastAsia="Arial" w:hAnsi="Arial"/>
          <w:b w:val="1"/>
          <w:bCs w:val="1"/>
          <w:sz w:val="20"/>
          <w:szCs w:val="20"/>
          <w:rtl w:val="0"/>
        </w:rPr>
        <w:t xml:space="preserve">Roman Litwin, Senior Project Manager, Project &amp; Development Services,</w:t>
      </w:r>
      <w:r w:rsidDel="00000000" w:rsidR="00000000" w:rsidRPr="00000000">
        <w:rPr>
          <w:rFonts w:ascii="Arial" w:cs="Arial" w:eastAsia="Arial" w:hAnsi="Arial"/>
          <w:b w:val="1"/>
          <w:bCs w:val="1"/>
          <w:sz w:val="20"/>
          <w:szCs w:val="20"/>
          <w:rtl w:val="0"/>
        </w:rPr>
        <w:t xml:space="preserve"> Cushman &amp; Wakefield.</w:t>
      </w:r>
    </w:p>
    <w:p w:rsidR="00000000" w:rsidDel="00000000" w:rsidP="00000000" w:rsidRDefault="00000000" w:rsidRPr="00000000" w14:paraId="0000000F">
      <w:pPr>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 efekcie pod Warszawą powstało największe </w:t>
      </w:r>
      <w:r w:rsidDel="00000000" w:rsidR="00000000" w:rsidRPr="00000000">
        <w:rPr>
          <w:rFonts w:ascii="Arial" w:cs="Arial" w:eastAsia="Arial" w:hAnsi="Arial"/>
          <w:sz w:val="20"/>
          <w:szCs w:val="20"/>
          <w:rtl w:val="0"/>
        </w:rPr>
        <w:t xml:space="preserve">DAF Used Trucks Center w Europie</w:t>
      </w:r>
      <w:r w:rsidDel="00000000" w:rsidR="00000000" w:rsidRPr="00000000">
        <w:rPr>
          <w:rFonts w:ascii="Arial" w:cs="Arial" w:eastAsia="Arial" w:hAnsi="Arial"/>
          <w:sz w:val="20"/>
          <w:szCs w:val="20"/>
          <w:rtl w:val="0"/>
        </w:rPr>
        <w:t xml:space="preserve">. Będzie czymś więcej niż miejscem sprzedaży – to także zaplecze oferujące klientom doradztwo, obsługę serwisową oraz wsparcie techniczne przy przygotowaniu pojazdów do dalszej eksploatacji.</w:t>
      </w:r>
    </w:p>
    <w:p w:rsidR="00000000" w:rsidDel="00000000" w:rsidP="00000000" w:rsidRDefault="00000000" w:rsidRPr="00000000" w14:paraId="00000010">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line="240"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-KONIEC-</w:t>
      </w:r>
    </w:p>
    <w:p w:rsidR="00000000" w:rsidDel="00000000" w:rsidP="00000000" w:rsidRDefault="00000000" w:rsidRPr="00000000" w14:paraId="00000012">
      <w:pP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b w:val="1"/>
          <w:bCs w:val="1"/>
          <w:color w:val="000000"/>
          <w:sz w:val="18"/>
          <w:szCs w:val="18"/>
          <w:highlight w:val="whit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b w:val="1"/>
          <w:bCs w:val="1"/>
          <w:color w:val="000000"/>
          <w:sz w:val="18"/>
          <w:szCs w:val="18"/>
          <w:highlight w:val="white"/>
        </w:rPr>
      </w:pPr>
      <w:r w:rsidDel="00000000" w:rsidR="00000000" w:rsidRPr="00000000">
        <w:rPr>
          <w:rFonts w:ascii="Arial" w:cs="Arial" w:eastAsia="Arial" w:hAnsi="Arial"/>
          <w:b w:val="1"/>
          <w:bCs w:val="1"/>
          <w:color w:val="000000"/>
          <w:sz w:val="18"/>
          <w:szCs w:val="18"/>
          <w:highlight w:val="white"/>
          <w:rtl w:val="0"/>
        </w:rPr>
        <w:t xml:space="preserve">O Cushman &amp; Wakefield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sz w:val="18"/>
          <w:szCs w:val="18"/>
          <w:highlight w:val="yellow"/>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Cushman &amp; Wakefield (NYSE: CWK) jest wiodącą na świecie firmą świadczącą usługi na rzecz właścicieli i najemców nieruchomości komercyjnych. Zatrudnia ok. 5</w:t>
      </w:r>
      <w:r w:rsidDel="00000000" w:rsidR="00000000" w:rsidRPr="00000000">
        <w:rPr>
          <w:rFonts w:ascii="Arial" w:cs="Arial" w:eastAsia="Arial" w:hAnsi="Arial"/>
          <w:sz w:val="18"/>
          <w:szCs w:val="18"/>
          <w:rtl w:val="0"/>
        </w:rPr>
        <w:t xml:space="preserve">3</w:t>
      </w:r>
      <w:r w:rsidDel="00000000" w:rsidR="00000000" w:rsidRPr="00000000">
        <w:rPr>
          <w:rFonts w:ascii="Arial" w:cs="Arial" w:eastAsia="Arial" w:hAnsi="Arial"/>
          <w:color w:val="000000"/>
          <w:sz w:val="18"/>
          <w:szCs w:val="18"/>
          <w:rtl w:val="0"/>
        </w:rPr>
        <w:t xml:space="preserve"> tys. pracowników w </w:t>
      </w:r>
      <w:r w:rsidDel="00000000" w:rsidR="00000000" w:rsidRPr="00000000">
        <w:rPr>
          <w:rFonts w:ascii="Arial" w:cs="Arial" w:eastAsia="Arial" w:hAnsi="Arial"/>
          <w:sz w:val="18"/>
          <w:szCs w:val="18"/>
          <w:rtl w:val="0"/>
        </w:rPr>
        <w:t xml:space="preserve">ponad 350</w:t>
      </w:r>
      <w:r w:rsidDel="00000000" w:rsidR="00000000" w:rsidRPr="00000000">
        <w:rPr>
          <w:rFonts w:ascii="Arial" w:cs="Arial" w:eastAsia="Arial" w:hAnsi="Arial"/>
          <w:color w:val="000000"/>
          <w:sz w:val="18"/>
          <w:szCs w:val="18"/>
          <w:rtl w:val="0"/>
        </w:rPr>
        <w:t xml:space="preserve"> biurach,</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w blisko 60 krajach na całym świecie. W 202</w:t>
      </w:r>
      <w:r w:rsidDel="00000000" w:rsidR="00000000" w:rsidRPr="00000000">
        <w:rPr>
          <w:rFonts w:ascii="Arial" w:cs="Arial" w:eastAsia="Arial" w:hAnsi="Arial"/>
          <w:sz w:val="18"/>
          <w:szCs w:val="18"/>
          <w:rtl w:val="0"/>
        </w:rPr>
        <w:t xml:space="preserve">5</w:t>
      </w:r>
      <w:r w:rsidDel="00000000" w:rsidR="00000000" w:rsidRPr="00000000">
        <w:rPr>
          <w:rFonts w:ascii="Arial" w:cs="Arial" w:eastAsia="Arial" w:hAnsi="Arial"/>
          <w:color w:val="000000"/>
          <w:sz w:val="18"/>
          <w:szCs w:val="18"/>
          <w:rtl w:val="0"/>
        </w:rPr>
        <w:t xml:space="preserve"> roku jej przychody wyniosły </w:t>
      </w:r>
      <w:r w:rsidDel="00000000" w:rsidR="00000000" w:rsidRPr="00000000">
        <w:rPr>
          <w:rFonts w:ascii="Arial" w:cs="Arial" w:eastAsia="Arial" w:hAnsi="Arial"/>
          <w:sz w:val="18"/>
          <w:szCs w:val="18"/>
          <w:rtl w:val="0"/>
        </w:rPr>
        <w:t xml:space="preserve">10,3</w:t>
      </w:r>
      <w:r w:rsidDel="00000000" w:rsidR="00000000" w:rsidRPr="00000000">
        <w:rPr>
          <w:rFonts w:ascii="Arial" w:cs="Arial" w:eastAsia="Arial" w:hAnsi="Arial"/>
          <w:color w:val="000000"/>
          <w:sz w:val="18"/>
          <w:szCs w:val="18"/>
          <w:rtl w:val="0"/>
        </w:rPr>
        <w:t xml:space="preserve"> mld USD. Do najważniejszych usług świadczonych przez firmę należą m.in. zarządzanie nieruchomościami, obiektami i projektami, pośrednictwo w wynajmie powierzchni, obsługa transakcji na rynkach kapitałowych oraz wyceny. Za nieustanne dążenie do doskonałości zgodnie z zasadą </w:t>
      </w:r>
      <w:r w:rsidDel="00000000" w:rsidR="00000000" w:rsidRPr="00000000">
        <w:rPr>
          <w:rFonts w:ascii="Arial" w:cs="Arial" w:eastAsia="Arial" w:hAnsi="Arial"/>
          <w:i w:val="1"/>
          <w:iCs w:val="1"/>
          <w:color w:val="000000"/>
          <w:sz w:val="18"/>
          <w:szCs w:val="18"/>
          <w:rtl w:val="0"/>
        </w:rPr>
        <w:t xml:space="preserve">Better never settles</w:t>
      </w:r>
      <w:r w:rsidDel="00000000" w:rsidR="00000000" w:rsidRPr="00000000">
        <w:rPr>
          <w:rFonts w:ascii="Arial" w:cs="Arial" w:eastAsia="Arial" w:hAnsi="Arial"/>
          <w:color w:val="000000"/>
          <w:sz w:val="18"/>
          <w:szCs w:val="18"/>
          <w:rtl w:val="0"/>
        </w:rPr>
        <w:t xml:space="preserve"> Cushman &amp; Wakefield otrzymuje wiele wyróżnień oraz nagród w konkursach branżowych i biznesowych, a kultura organizacyjna firmy jest doceniana.. Dodatkowe informacje na stronie</w:t>
      </w:r>
      <w:r w:rsidDel="00000000" w:rsidR="00000000" w:rsidRPr="00000000">
        <w:rPr>
          <w:rFonts w:ascii="Times New Roman" w:cs="Times New Roman" w:eastAsia="Times New Roman" w:hAnsi="Times New Roman"/>
          <w:color w:val="000000"/>
          <w:sz w:val="16"/>
          <w:szCs w:val="16"/>
          <w:rtl w:val="0"/>
        </w:rPr>
        <w:t xml:space="preserve"> </w:t>
      </w:r>
      <w:hyperlink r:id="rId7">
        <w:r w:rsidDel="00000000" w:rsidR="00000000" w:rsidRPr="00000000">
          <w:rPr>
            <w:rFonts w:ascii="Arial" w:cs="Arial" w:eastAsia="Arial" w:hAnsi="Arial"/>
            <w:color w:val="1155cc"/>
            <w:sz w:val="18"/>
            <w:szCs w:val="18"/>
            <w:u w:val="single"/>
            <w:rtl w:val="0"/>
          </w:rPr>
          <w:t xml:space="preserve">www.cushmanwakefield.com</w:t>
        </w:r>
      </w:hyperlink>
      <w:r w:rsidDel="00000000" w:rsidR="00000000" w:rsidRPr="00000000">
        <w:rPr>
          <w:rFonts w:ascii="Arial" w:cs="Arial" w:eastAsia="Arial" w:hAnsi="Arial"/>
          <w:color w:val="000000"/>
          <w:sz w:val="18"/>
          <w:szCs w:val="18"/>
          <w:rtl w:val="0"/>
        </w:rPr>
        <w:t xml:space="preserv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sz w:val="18"/>
          <w:szCs w:val="1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1"/>
      <w:tblW w:w="9072.0" w:type="dxa"/>
      <w:jc w:val="left"/>
      <w:tblLayout w:type="fixed"/>
      <w:tblLook w:val="0400"/>
    </w:tblPr>
    <w:tblGrid>
      <w:gridCol w:w="9072"/>
      <w:tblGridChange w:id="0">
        <w:tblGrid>
          <w:gridCol w:w="9072"/>
        </w:tblGrid>
      </w:tblGridChange>
    </w:tblGrid>
    <w:tr>
      <w:trPr>
        <w:cantSplit w:val="0"/>
        <w:trHeight w:val="630" w:hRule="atLeast"/>
        <w:tblHeader w:val="0"/>
      </w:trPr>
      <w:tc>
        <w:tcPr>
          <w:vAlign w:val="bottom"/>
        </w:tcPr>
        <w:p w:rsidR="00000000" w:rsidDel="00000000" w:rsidP="00000000" w:rsidRDefault="00000000" w:rsidRPr="00000000" w14:paraId="0000001E">
          <w:pPr>
            <w:pStyle w:val="Heading2"/>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Dodatkowe informacje:</w:t>
          </w:r>
        </w:p>
        <w:tbl>
          <w:tblPr>
            <w:tblStyle w:val="Table2"/>
            <w:tblW w:w="906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0"/>
            <w:gridCol w:w="283"/>
            <w:gridCol w:w="4389"/>
            <w:tblGridChange w:id="0">
              <w:tblGrid>
                <w:gridCol w:w="4390"/>
                <w:gridCol w:w="283"/>
                <w:gridCol w:w="4389"/>
              </w:tblGrid>
            </w:tblGridChange>
          </w:tblGrid>
          <w:tr>
            <w:trPr>
              <w:cantSplit w:val="0"/>
              <w:tblHeader w:val="0"/>
            </w:trPr>
            <w:tc>
              <w:tcPr/>
              <w:p w:rsidR="00000000" w:rsidDel="00000000" w:rsidP="00000000" w:rsidRDefault="00000000" w:rsidRPr="00000000" w14:paraId="0000001F">
                <w:pPr>
                  <w:rPr>
                    <w:rFonts w:ascii="Arial" w:cs="Arial" w:eastAsia="Arial" w:hAnsi="Arial"/>
                    <w:sz w:val="18"/>
                    <w:szCs w:val="18"/>
                  </w:rPr>
                </w:pPr>
                <w:r w:rsidDel="00000000" w:rsidR="00000000" w:rsidRPr="00000000">
                  <w:rPr>
                    <w:rFonts w:ascii="Arial" w:cs="Arial" w:eastAsia="Arial" w:hAnsi="Arial"/>
                    <w:sz w:val="18"/>
                    <w:szCs w:val="18"/>
                    <w:rtl w:val="0"/>
                  </w:rPr>
                  <w:t xml:space="preserve">Karolina Samczyńska</w:t>
                </w:r>
              </w:p>
              <w:p w:rsidR="00000000" w:rsidDel="00000000" w:rsidP="00000000" w:rsidRDefault="00000000" w:rsidRPr="00000000" w14:paraId="00000020">
                <w:pPr>
                  <w:rPr>
                    <w:rFonts w:ascii="Arial" w:cs="Arial" w:eastAsia="Arial" w:hAnsi="Arial"/>
                    <w:sz w:val="18"/>
                    <w:szCs w:val="18"/>
                  </w:rPr>
                </w:pPr>
                <w:r w:rsidDel="00000000" w:rsidR="00000000" w:rsidRPr="00000000">
                  <w:rPr>
                    <w:rFonts w:ascii="Arial" w:cs="Arial" w:eastAsia="Arial" w:hAnsi="Arial"/>
                    <w:sz w:val="18"/>
                    <w:szCs w:val="18"/>
                    <w:rtl w:val="0"/>
                  </w:rPr>
                  <w:t xml:space="preserve">Cushman &amp; Wakefield</w:t>
                </w:r>
              </w:p>
              <w:p w:rsidR="00000000" w:rsidDel="00000000" w:rsidP="00000000" w:rsidRDefault="00000000" w:rsidRPr="00000000" w14:paraId="00000021">
                <w:pPr>
                  <w:rPr>
                    <w:rFonts w:ascii="Arial" w:cs="Arial" w:eastAsia="Arial" w:hAnsi="Arial"/>
                    <w:sz w:val="18"/>
                    <w:szCs w:val="18"/>
                  </w:rPr>
                </w:pPr>
                <w:r w:rsidDel="00000000" w:rsidR="00000000" w:rsidRPr="00000000">
                  <w:rPr>
                    <w:rFonts w:ascii="Arial" w:cs="Arial" w:eastAsia="Arial" w:hAnsi="Arial"/>
                    <w:sz w:val="18"/>
                    <w:szCs w:val="18"/>
                    <w:rtl w:val="0"/>
                  </w:rPr>
                  <w:t xml:space="preserve">Karolina.samczynska@cushwake.com</w:t>
                </w:r>
              </w:p>
            </w:tc>
            <w:tc>
              <w:tcPr/>
              <w:p w:rsidR="00000000" w:rsidDel="00000000" w:rsidP="00000000" w:rsidRDefault="00000000" w:rsidRPr="00000000" w14:paraId="00000022">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23">
                <w:pPr>
                  <w:rPr>
                    <w:rFonts w:ascii="Arial" w:cs="Arial" w:eastAsia="Arial" w:hAnsi="Arial"/>
                    <w:sz w:val="18"/>
                    <w:szCs w:val="18"/>
                  </w:rPr>
                </w:pPr>
                <w:r w:rsidDel="00000000" w:rsidR="00000000" w:rsidRPr="00000000">
                  <w:rPr>
                    <w:rFonts w:ascii="Arial" w:cs="Arial" w:eastAsia="Arial" w:hAnsi="Arial"/>
                    <w:sz w:val="18"/>
                    <w:szCs w:val="18"/>
                    <w:rtl w:val="0"/>
                  </w:rPr>
                  <w:t xml:space="preserve">Magdalena Znyk-Ossowska</w:t>
                </w:r>
              </w:p>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Linkleaders</w:t>
                </w:r>
              </w:p>
              <w:p w:rsidR="00000000" w:rsidDel="00000000" w:rsidP="00000000" w:rsidRDefault="00000000" w:rsidRPr="00000000" w14:paraId="00000025">
                <w:pPr>
                  <w:rPr>
                    <w:rFonts w:ascii="Arial" w:cs="Arial" w:eastAsia="Arial" w:hAnsi="Arial"/>
                    <w:sz w:val="18"/>
                    <w:szCs w:val="18"/>
                  </w:rPr>
                </w:pPr>
                <w:hyperlink r:id="rId1">
                  <w:r w:rsidDel="00000000" w:rsidR="00000000" w:rsidRPr="00000000">
                    <w:rPr>
                      <w:rFonts w:ascii="Arial" w:cs="Arial" w:eastAsia="Arial" w:hAnsi="Arial"/>
                      <w:color w:val="0563c1"/>
                      <w:sz w:val="18"/>
                      <w:szCs w:val="18"/>
                      <w:u w:val="single"/>
                      <w:rtl w:val="0"/>
                    </w:rPr>
                    <w:t xml:space="preserve">Magdalena.ossowska@linkleaders.pl</w:t>
                  </w:r>
                </w:hyperlink>
                <w:r w:rsidDel="00000000" w:rsidR="00000000" w:rsidRPr="00000000">
                  <w:rPr>
                    <w:rtl w:val="0"/>
                  </w:rPr>
                </w:r>
              </w:p>
              <w:p w:rsidR="00000000" w:rsidDel="00000000" w:rsidP="00000000" w:rsidRDefault="00000000" w:rsidRPr="00000000" w14:paraId="00000026">
                <w:pPr>
                  <w:rPr>
                    <w:rFonts w:ascii="Arial" w:cs="Arial" w:eastAsia="Arial" w:hAnsi="Arial"/>
                    <w:sz w:val="18"/>
                    <w:szCs w:val="18"/>
                  </w:rPr>
                </w:pPr>
                <w:r w:rsidDel="00000000" w:rsidR="00000000" w:rsidRPr="00000000">
                  <w:rPr>
                    <w:rFonts w:ascii="Arial" w:cs="Arial" w:eastAsia="Arial" w:hAnsi="Arial"/>
                    <w:sz w:val="18"/>
                    <w:szCs w:val="18"/>
                    <w:rtl w:val="0"/>
                  </w:rPr>
                  <w:t xml:space="preserve">+48 502 556 846</w:t>
                </w:r>
              </w:p>
            </w:tc>
          </w:tr>
        </w:tbl>
        <w:p w:rsidR="00000000" w:rsidDel="00000000" w:rsidP="00000000" w:rsidRDefault="00000000" w:rsidRPr="00000000" w14:paraId="00000027">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inline distB="0" distT="0" distL="0" distR="0">
          <wp:extent cx="2303780" cy="484505"/>
          <wp:effectExtent b="0" l="0" r="0" t="0"/>
          <wp:docPr descr="E:\CW REBRAND\Assets\CW Logo Suite\Cushman &amp; Wakefield\CW_Logo_PMS.emf" id="1" name="image1.png"/>
          <a:graphic>
            <a:graphicData uri="http://schemas.openxmlformats.org/drawingml/2006/picture">
              <pic:pic>
                <pic:nvPicPr>
                  <pic:cNvPr descr="E:\CW REBRAND\Assets\CW Logo Suite\Cushman &amp; Wakefield\CW_Logo_PMS.emf" id="0" name="image1.png"/>
                  <pic:cNvPicPr preferRelativeResize="0"/>
                </pic:nvPicPr>
                <pic:blipFill>
                  <a:blip r:embed="rId1"/>
                  <a:srcRect b="0" l="0" r="0" t="0"/>
                  <a:stretch>
                    <a:fillRect/>
                  </a:stretch>
                </pic:blipFill>
                <pic:spPr>
                  <a:xfrm>
                    <a:off x="0" y="0"/>
                    <a:ext cx="2303780" cy="48450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swald" w:cs="Oswald" w:eastAsia="Oswald" w:hAnsi="Oswald"/>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100" w:lineRule="auto"/>
    </w:pPr>
    <w:rPr>
      <w:rFonts w:ascii="Calibri" w:cs="Calibri" w:eastAsia="Calibri" w:hAnsi="Calibri"/>
      <w:b w:val="1"/>
      <w:bCs w:val="1"/>
      <w:smallCaps w:val="1"/>
      <w:color w:val="008b98"/>
      <w:sz w:val="18"/>
      <w:szCs w:val="18"/>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ushmanwakefield.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swald-regular.ttf"/><Relationship Id="rId6"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hyperlink" Target="mailto:Magdalena.ossowska@linkleaders.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vkwpqz40/prLrznQSVtwIQbILg==">CgMxLjAyDmgubHlnZTBybTc3ZDV0Mg5oLnV1MWQ3bWVmemNxcDIOaC5mMHl4cDlsbnMwcHk4AHIhMVpiNVRSdVBHT3B5SDFOanp3WE1hX0M1TzJOTVZPZWRS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b086f961-1d3e-4cfe-b1e9-19b9bcf12554_Enabled">
    <vt:lpwstr>true</vt:lpwstr>
  </property>
  <property fmtid="{D5CDD505-2E9C-101B-9397-08002B2CF9AE}" pid="3" name="MSIP_Label_b086f961-1d3e-4cfe-b1e9-19b9bcf12554_SetDate">
    <vt:lpwstr>2023-10-11T16:45:55Z</vt:lpwstr>
  </property>
  <property fmtid="{D5CDD505-2E9C-101B-9397-08002B2CF9AE}" pid="4" name="MSIP_Label_b086f961-1d3e-4cfe-b1e9-19b9bcf12554_Method">
    <vt:lpwstr>Standard</vt:lpwstr>
  </property>
  <property fmtid="{D5CDD505-2E9C-101B-9397-08002B2CF9AE}" pid="5" name="MSIP_Label_b086f961-1d3e-4cfe-b1e9-19b9bcf12554_Name">
    <vt:lpwstr>Private</vt:lpwstr>
  </property>
  <property fmtid="{D5CDD505-2E9C-101B-9397-08002B2CF9AE}" pid="6" name="MSIP_Label_b086f961-1d3e-4cfe-b1e9-19b9bcf12554_SiteId">
    <vt:lpwstr>6facebd9-e318-4ea6-a98b-e892ee55070f</vt:lpwstr>
  </property>
  <property fmtid="{D5CDD505-2E9C-101B-9397-08002B2CF9AE}" pid="7" name="MSIP_Label_b086f961-1d3e-4cfe-b1e9-19b9bcf12554_ActionId">
    <vt:lpwstr>6a415784-dea8-4208-8d57-b4e4b2533bc0</vt:lpwstr>
  </property>
  <property fmtid="{D5CDD505-2E9C-101B-9397-08002B2CF9AE}" pid="8" name="MSIP_Label_b086f961-1d3e-4cfe-b1e9-19b9bcf12554_ContentBits">
    <vt:lpwstr>0</vt:lpwstr>
  </property>
  <property fmtid="{D5CDD505-2E9C-101B-9397-08002B2CF9AE}" pid="9" name="GrammarlyDocumentId">
    <vt:lpwstr>31ba37b54f0d3e143930a0619014cf697fbff079f683d56c7add9a11d8f1cbec</vt:lpwstr>
  </property>
  <property fmtid="{D5CDD505-2E9C-101B-9397-08002B2CF9AE}" pid="10" name="ContentTypeId">
    <vt:lpwstr>0x0101007E41DEE5BD419542BD91A75385DF92AE</vt:lpwstr>
  </property>
  <property fmtid="{D5CDD505-2E9C-101B-9397-08002B2CF9AE}" pid="11" name="MediaServiceImageTags">
    <vt:lpwstr>MediaServiceImageTags</vt:lpwstr>
  </property>
</Properties>
</file>