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6AF40" w14:textId="139B78D0" w:rsidR="00DD176C" w:rsidRPr="00B818D2" w:rsidRDefault="00CB3EDF">
      <w:pPr>
        <w:tabs>
          <w:tab w:val="left" w:pos="5630"/>
        </w:tabs>
        <w:jc w:val="center"/>
        <w:rPr>
          <w:rFonts w:ascii="Arial" w:eastAsia="Arial" w:hAnsi="Arial" w:cs="Arial"/>
          <w:sz w:val="20"/>
          <w:szCs w:val="20"/>
          <w:lang w:val="en-GB"/>
        </w:rPr>
      </w:pPr>
      <w:bookmarkStart w:id="0" w:name="_heading=h.d7z7f3tqwbew" w:colFirst="0" w:colLast="0"/>
      <w:bookmarkEnd w:id="0"/>
      <w:r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>EMEA data centre market accelerates</w:t>
      </w:r>
      <w:r w:rsidR="00B818D2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. Warsaw </w:t>
      </w:r>
      <w:r w:rsidR="00D32055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joins the ranks of </w:t>
      </w:r>
      <w:r w:rsidR="00A93ACE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>established markets</w:t>
      </w:r>
    </w:p>
    <w:p w14:paraId="6AE6AF41" w14:textId="6628A070" w:rsidR="00DD176C" w:rsidRPr="00B818D2" w:rsidRDefault="00CD357F">
      <w:pPr>
        <w:tabs>
          <w:tab w:val="left" w:pos="5630"/>
        </w:tabs>
        <w:spacing w:line="240" w:lineRule="auto"/>
        <w:jc w:val="both"/>
        <w:rPr>
          <w:rFonts w:ascii="Arial" w:eastAsia="Arial" w:hAnsi="Arial" w:cs="Arial"/>
          <w:b/>
          <w:bCs/>
          <w:sz w:val="20"/>
          <w:szCs w:val="20"/>
          <w:lang w:val="en-GB"/>
        </w:rPr>
      </w:pPr>
      <w:r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According to </w:t>
      </w:r>
      <w:r w:rsidRPr="00B818D2">
        <w:rPr>
          <w:rFonts w:ascii="Arial" w:eastAsia="Arial" w:hAnsi="Arial" w:cs="Arial"/>
          <w:b/>
          <w:bCs/>
          <w:i/>
          <w:iCs/>
          <w:sz w:val="20"/>
          <w:szCs w:val="20"/>
          <w:lang w:val="en-GB"/>
        </w:rPr>
        <w:t xml:space="preserve">EMEA Data Centre </w:t>
      </w:r>
      <w:proofErr w:type="spellStart"/>
      <w:r w:rsidRPr="00B818D2">
        <w:rPr>
          <w:rFonts w:ascii="Arial" w:eastAsia="Arial" w:hAnsi="Arial" w:cs="Arial"/>
          <w:b/>
          <w:bCs/>
          <w:i/>
          <w:iCs/>
          <w:sz w:val="20"/>
          <w:szCs w:val="20"/>
          <w:lang w:val="en-GB"/>
        </w:rPr>
        <w:t>MarketBeat</w:t>
      </w:r>
      <w:proofErr w:type="spellEnd"/>
      <w:r w:rsidRPr="00B818D2">
        <w:rPr>
          <w:rFonts w:ascii="Arial" w:eastAsia="Arial" w:hAnsi="Arial" w:cs="Arial"/>
          <w:b/>
          <w:bCs/>
          <w:i/>
          <w:iCs/>
          <w:sz w:val="20"/>
          <w:szCs w:val="20"/>
          <w:lang w:val="en-GB"/>
        </w:rPr>
        <w:t xml:space="preserve"> H2 2025</w:t>
      </w:r>
      <w:r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, the latest report from global real estate services firm </w:t>
      </w:r>
      <w:r w:rsidR="00B818D2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>Cushman &amp; Wakefield</w:t>
      </w:r>
      <w:r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, </w:t>
      </w:r>
      <w:r w:rsidR="00E431F8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>the EMEA data centre market has entered a phase of accelerated but more selective growth.</w:t>
      </w:r>
      <w:r w:rsidR="00B818D2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 </w:t>
      </w:r>
      <w:r w:rsidR="0066721D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By the end of 2025, </w:t>
      </w:r>
      <w:r w:rsidR="00B059F0">
        <w:rPr>
          <w:rFonts w:ascii="Arial" w:eastAsia="Arial" w:hAnsi="Arial" w:cs="Arial"/>
          <w:b/>
          <w:bCs/>
          <w:sz w:val="20"/>
          <w:szCs w:val="20"/>
          <w:lang w:val="en-GB"/>
        </w:rPr>
        <w:t>live</w:t>
      </w:r>
      <w:r w:rsidR="00F12F67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 data centre capacity </w:t>
      </w:r>
      <w:r w:rsidR="00CB052B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had </w:t>
      </w:r>
      <w:r w:rsidR="00F12F67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>exceeded 11.4</w:t>
      </w:r>
      <w:r w:rsidR="0033681A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 </w:t>
      </w:r>
      <w:r w:rsidR="00F12F67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>GW</w:t>
      </w:r>
      <w:r w:rsidR="00010D4D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, representing a 19% increase year-on-year. </w:t>
      </w:r>
      <w:r w:rsidR="008452C9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>Capacity under construction</w:t>
      </w:r>
      <w:r w:rsidR="009B0D80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 </w:t>
      </w:r>
      <w:r w:rsidR="005F30FE">
        <w:rPr>
          <w:rFonts w:ascii="Arial" w:eastAsia="Arial" w:hAnsi="Arial" w:cs="Arial"/>
          <w:b/>
          <w:bCs/>
          <w:sz w:val="20"/>
          <w:szCs w:val="20"/>
          <w:lang w:val="en-GB"/>
        </w:rPr>
        <w:t>reached</w:t>
      </w:r>
      <w:r w:rsidR="009B0D80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 2.7 GW</w:t>
      </w:r>
      <w:r w:rsidR="00F40E64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, with </w:t>
      </w:r>
      <w:r w:rsidR="00F86474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a further </w:t>
      </w:r>
      <w:r w:rsidR="00F40E64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>12.1</w:t>
      </w:r>
      <w:r w:rsidR="0033681A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 </w:t>
      </w:r>
      <w:r w:rsidR="00F40E64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GW in </w:t>
      </w:r>
      <w:r w:rsidR="00C93DBE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the </w:t>
      </w:r>
      <w:r w:rsidR="00F40E64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>plann</w:t>
      </w:r>
      <w:r w:rsidR="00A42B2B">
        <w:rPr>
          <w:rFonts w:ascii="Arial" w:eastAsia="Arial" w:hAnsi="Arial" w:cs="Arial"/>
          <w:b/>
          <w:bCs/>
          <w:sz w:val="20"/>
          <w:szCs w:val="20"/>
          <w:lang w:val="en-GB"/>
        </w:rPr>
        <w:t>ing</w:t>
      </w:r>
      <w:r w:rsidR="00F40E64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 stage, bringing the region’s </w:t>
      </w:r>
      <w:r w:rsidR="00DA6E33">
        <w:rPr>
          <w:rFonts w:ascii="Arial" w:eastAsia="Arial" w:hAnsi="Arial" w:cs="Arial"/>
          <w:b/>
          <w:bCs/>
          <w:sz w:val="20"/>
          <w:szCs w:val="20"/>
          <w:lang w:val="en-GB"/>
        </w:rPr>
        <w:t>total projected capacity</w:t>
      </w:r>
      <w:r w:rsidR="00F40E64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 to</w:t>
      </w:r>
      <w:r w:rsidR="00B818D2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 26</w:t>
      </w:r>
      <w:r w:rsidR="00F40E64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>.</w:t>
      </w:r>
      <w:r w:rsidR="00B818D2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>2</w:t>
      </w:r>
      <w:r w:rsidR="0033681A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 </w:t>
      </w:r>
      <w:r w:rsidR="00B818D2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 xml:space="preserve">GW. </w:t>
      </w:r>
    </w:p>
    <w:p w14:paraId="6AE6AF42" w14:textId="7C5E0061" w:rsidR="00DD176C" w:rsidRPr="00B818D2" w:rsidRDefault="00E431F8">
      <w:pPr>
        <w:tabs>
          <w:tab w:val="left" w:pos="5630"/>
        </w:tabs>
        <w:spacing w:line="240" w:lineRule="auto"/>
        <w:jc w:val="both"/>
        <w:rPr>
          <w:rFonts w:ascii="Arial" w:eastAsia="Arial" w:hAnsi="Arial" w:cs="Arial"/>
          <w:sz w:val="20"/>
          <w:szCs w:val="20"/>
          <w:lang w:val="en-GB"/>
        </w:rPr>
      </w:pPr>
      <w:r w:rsidRPr="00B818D2">
        <w:rPr>
          <w:rFonts w:ascii="Arial" w:eastAsia="Arial" w:hAnsi="Arial" w:cs="Arial"/>
          <w:sz w:val="20"/>
          <w:szCs w:val="20"/>
          <w:lang w:val="en-GB"/>
        </w:rPr>
        <w:t>The market’s continued growth is</w:t>
      </w:r>
      <w:r w:rsidR="00C66485">
        <w:rPr>
          <w:rFonts w:ascii="Arial" w:eastAsia="Arial" w:hAnsi="Arial" w:cs="Arial"/>
          <w:sz w:val="20"/>
          <w:szCs w:val="20"/>
          <w:lang w:val="en-GB"/>
        </w:rPr>
        <w:t xml:space="preserve"> primarily</w:t>
      </w:r>
      <w:r w:rsidRPr="00B818D2">
        <w:rPr>
          <w:rFonts w:ascii="Arial" w:eastAsia="Arial" w:hAnsi="Arial" w:cs="Arial"/>
          <w:sz w:val="20"/>
          <w:szCs w:val="20"/>
          <w:lang w:val="en-GB"/>
        </w:rPr>
        <w:t xml:space="preserve"> driven by </w:t>
      </w:r>
      <w:r w:rsidR="00F050DA">
        <w:rPr>
          <w:rFonts w:ascii="Arial" w:eastAsia="Arial" w:hAnsi="Arial" w:cs="Arial"/>
          <w:sz w:val="20"/>
          <w:szCs w:val="20"/>
          <w:lang w:val="en-GB"/>
        </w:rPr>
        <w:t xml:space="preserve">the </w:t>
      </w:r>
      <w:r w:rsidR="00160C64">
        <w:rPr>
          <w:rFonts w:ascii="Arial" w:eastAsia="Arial" w:hAnsi="Arial" w:cs="Arial"/>
          <w:sz w:val="20"/>
          <w:szCs w:val="20"/>
          <w:lang w:val="en-GB"/>
        </w:rPr>
        <w:t>increasing</w:t>
      </w:r>
      <w:r w:rsidR="00F050DA">
        <w:rPr>
          <w:rFonts w:ascii="Arial" w:eastAsia="Arial" w:hAnsi="Arial" w:cs="Arial"/>
          <w:sz w:val="20"/>
          <w:szCs w:val="20"/>
          <w:lang w:val="en-GB"/>
        </w:rPr>
        <w:t xml:space="preserve"> adoption of </w:t>
      </w:r>
      <w:r w:rsidR="00463060" w:rsidRPr="00B818D2">
        <w:rPr>
          <w:rFonts w:ascii="Arial" w:eastAsia="Arial" w:hAnsi="Arial" w:cs="Arial"/>
          <w:sz w:val="20"/>
          <w:szCs w:val="20"/>
          <w:lang w:val="en-GB"/>
        </w:rPr>
        <w:t xml:space="preserve">cloud </w:t>
      </w:r>
      <w:r w:rsidR="00F050DA">
        <w:rPr>
          <w:rFonts w:ascii="Arial" w:eastAsia="Arial" w:hAnsi="Arial" w:cs="Arial"/>
          <w:sz w:val="20"/>
          <w:szCs w:val="20"/>
          <w:lang w:val="en-GB"/>
        </w:rPr>
        <w:t>computing</w:t>
      </w:r>
      <w:r w:rsidR="00727BB9" w:rsidRPr="00B818D2">
        <w:rPr>
          <w:rFonts w:ascii="Arial" w:eastAsia="Arial" w:hAnsi="Arial" w:cs="Arial"/>
          <w:sz w:val="20"/>
          <w:szCs w:val="20"/>
          <w:lang w:val="en-GB"/>
        </w:rPr>
        <w:t>, sovereign digital strategies</w:t>
      </w:r>
      <w:r w:rsidR="00DA69DF" w:rsidRPr="00B818D2">
        <w:rPr>
          <w:rFonts w:ascii="Arial" w:eastAsia="Arial" w:hAnsi="Arial" w:cs="Arial"/>
          <w:sz w:val="20"/>
          <w:szCs w:val="20"/>
          <w:lang w:val="en-GB"/>
        </w:rPr>
        <w:t xml:space="preserve"> and the global race </w:t>
      </w:r>
      <w:r w:rsidR="002E7ECA">
        <w:rPr>
          <w:rFonts w:ascii="Arial" w:eastAsia="Arial" w:hAnsi="Arial" w:cs="Arial"/>
          <w:sz w:val="20"/>
          <w:szCs w:val="20"/>
          <w:lang w:val="en-GB"/>
        </w:rPr>
        <w:t xml:space="preserve">to provide </w:t>
      </w:r>
      <w:r w:rsidR="00DA69DF" w:rsidRPr="00B818D2">
        <w:rPr>
          <w:rFonts w:ascii="Arial" w:eastAsia="Arial" w:hAnsi="Arial" w:cs="Arial"/>
          <w:sz w:val="20"/>
          <w:szCs w:val="20"/>
          <w:lang w:val="en-GB"/>
        </w:rPr>
        <w:t xml:space="preserve">infrastructure </w:t>
      </w:r>
      <w:r w:rsidR="004431B3">
        <w:rPr>
          <w:rFonts w:ascii="Arial" w:eastAsia="Arial" w:hAnsi="Arial" w:cs="Arial"/>
          <w:sz w:val="20"/>
          <w:szCs w:val="20"/>
          <w:lang w:val="en-GB"/>
        </w:rPr>
        <w:t xml:space="preserve">for AI </w:t>
      </w:r>
      <w:r w:rsidR="00DA69DF" w:rsidRPr="00B818D2">
        <w:rPr>
          <w:rFonts w:ascii="Arial" w:eastAsia="Arial" w:hAnsi="Arial" w:cs="Arial"/>
          <w:sz w:val="20"/>
          <w:szCs w:val="20"/>
          <w:lang w:val="en-GB"/>
        </w:rPr>
        <w:t xml:space="preserve">and </w:t>
      </w:r>
      <w:r w:rsidR="0074723F" w:rsidRPr="00B818D2">
        <w:rPr>
          <w:rFonts w:ascii="Arial" w:eastAsia="Arial" w:hAnsi="Arial" w:cs="Arial"/>
          <w:sz w:val="20"/>
          <w:szCs w:val="20"/>
          <w:lang w:val="en-GB"/>
        </w:rPr>
        <w:t xml:space="preserve">high-performance computing. </w:t>
      </w:r>
      <w:r w:rsidR="00B818D2" w:rsidRPr="00B818D2">
        <w:rPr>
          <w:rFonts w:ascii="Arial" w:eastAsia="Arial" w:hAnsi="Arial" w:cs="Arial"/>
          <w:sz w:val="20"/>
          <w:szCs w:val="20"/>
          <w:lang w:val="en-GB"/>
        </w:rPr>
        <w:t>Cushman &amp; Wakefield</w:t>
      </w:r>
      <w:r w:rsidR="000D0F83" w:rsidRPr="00B818D2">
        <w:rPr>
          <w:rFonts w:ascii="Arial" w:eastAsia="Arial" w:hAnsi="Arial" w:cs="Arial"/>
          <w:sz w:val="20"/>
          <w:szCs w:val="20"/>
          <w:lang w:val="en-GB"/>
        </w:rPr>
        <w:t xml:space="preserve"> notes that </w:t>
      </w:r>
      <w:r w:rsidR="00F73BB2">
        <w:rPr>
          <w:rFonts w:ascii="Arial" w:eastAsia="Arial" w:hAnsi="Arial" w:cs="Arial"/>
          <w:sz w:val="20"/>
          <w:szCs w:val="20"/>
          <w:lang w:val="en-GB"/>
        </w:rPr>
        <w:t xml:space="preserve">the </w:t>
      </w:r>
      <w:r w:rsidR="00F73BB2" w:rsidRPr="00B818D2">
        <w:rPr>
          <w:rFonts w:ascii="Arial" w:eastAsia="Arial" w:hAnsi="Arial" w:cs="Arial"/>
          <w:sz w:val="20"/>
          <w:szCs w:val="20"/>
          <w:lang w:val="en-GB"/>
        </w:rPr>
        <w:t>sector’s growth</w:t>
      </w:r>
      <w:r w:rsidR="00F73BB2" w:rsidRPr="00B818D2">
        <w:rPr>
          <w:rFonts w:ascii="Arial" w:eastAsia="Arial" w:hAnsi="Arial" w:cs="Arial"/>
          <w:sz w:val="20"/>
          <w:szCs w:val="20"/>
          <w:lang w:val="en-GB"/>
        </w:rPr>
        <w:t xml:space="preserve"> </w:t>
      </w:r>
      <w:r w:rsidR="00BA1DE5">
        <w:rPr>
          <w:rFonts w:ascii="Arial" w:eastAsia="Arial" w:hAnsi="Arial" w:cs="Arial"/>
          <w:sz w:val="20"/>
          <w:szCs w:val="20"/>
          <w:lang w:val="en-GB"/>
        </w:rPr>
        <w:t>trajectory is</w:t>
      </w:r>
      <w:r w:rsidR="00F73BB2">
        <w:rPr>
          <w:rFonts w:ascii="Arial" w:eastAsia="Arial" w:hAnsi="Arial" w:cs="Arial"/>
          <w:sz w:val="20"/>
          <w:szCs w:val="20"/>
          <w:lang w:val="en-GB"/>
        </w:rPr>
        <w:t xml:space="preserve"> increasingly determined by </w:t>
      </w:r>
      <w:r w:rsidR="00F33F93" w:rsidRPr="00B818D2">
        <w:rPr>
          <w:rFonts w:ascii="Arial" w:eastAsia="Arial" w:hAnsi="Arial" w:cs="Arial"/>
          <w:sz w:val="20"/>
          <w:szCs w:val="20"/>
          <w:lang w:val="en-GB"/>
        </w:rPr>
        <w:t>power availability</w:t>
      </w:r>
      <w:r w:rsidR="00D16B92" w:rsidRPr="00B818D2">
        <w:rPr>
          <w:rFonts w:ascii="Arial" w:eastAsia="Arial" w:hAnsi="Arial" w:cs="Arial"/>
          <w:sz w:val="20"/>
          <w:szCs w:val="20"/>
          <w:lang w:val="en-GB"/>
        </w:rPr>
        <w:t xml:space="preserve">, grid access, </w:t>
      </w:r>
      <w:r w:rsidR="00775E9A" w:rsidRPr="00B818D2">
        <w:rPr>
          <w:rFonts w:ascii="Arial" w:eastAsia="Arial" w:hAnsi="Arial" w:cs="Arial"/>
          <w:sz w:val="20"/>
          <w:szCs w:val="20"/>
          <w:lang w:val="en-GB"/>
        </w:rPr>
        <w:t xml:space="preserve">the </w:t>
      </w:r>
      <w:r w:rsidR="00F44664" w:rsidRPr="00B818D2">
        <w:rPr>
          <w:rFonts w:ascii="Arial" w:eastAsia="Arial" w:hAnsi="Arial" w:cs="Arial"/>
          <w:sz w:val="20"/>
          <w:szCs w:val="20"/>
          <w:lang w:val="en-GB"/>
        </w:rPr>
        <w:t>ca</w:t>
      </w:r>
      <w:r w:rsidR="00775E9A" w:rsidRPr="00B818D2">
        <w:rPr>
          <w:rFonts w:ascii="Arial" w:eastAsia="Arial" w:hAnsi="Arial" w:cs="Arial"/>
          <w:sz w:val="20"/>
          <w:szCs w:val="20"/>
          <w:lang w:val="en-GB"/>
        </w:rPr>
        <w:t xml:space="preserve">rbon intensity of </w:t>
      </w:r>
      <w:r w:rsidR="00D16B92" w:rsidRPr="00B818D2">
        <w:rPr>
          <w:rFonts w:ascii="Arial" w:eastAsia="Arial" w:hAnsi="Arial" w:cs="Arial"/>
          <w:sz w:val="20"/>
          <w:szCs w:val="20"/>
          <w:lang w:val="en-GB"/>
        </w:rPr>
        <w:t xml:space="preserve">the </w:t>
      </w:r>
      <w:r w:rsidR="00A658DC">
        <w:rPr>
          <w:rFonts w:ascii="Arial" w:eastAsia="Arial" w:hAnsi="Arial" w:cs="Arial"/>
          <w:sz w:val="20"/>
          <w:szCs w:val="20"/>
          <w:lang w:val="en-GB"/>
        </w:rPr>
        <w:t>energy</w:t>
      </w:r>
      <w:r w:rsidR="00775E9A" w:rsidRPr="00B818D2">
        <w:rPr>
          <w:rFonts w:ascii="Arial" w:eastAsia="Arial" w:hAnsi="Arial" w:cs="Arial"/>
          <w:sz w:val="20"/>
          <w:szCs w:val="20"/>
          <w:lang w:val="en-GB"/>
        </w:rPr>
        <w:t xml:space="preserve"> mix</w:t>
      </w:r>
      <w:r w:rsidR="00D16B92" w:rsidRPr="00B818D2">
        <w:rPr>
          <w:rFonts w:ascii="Arial" w:eastAsia="Arial" w:hAnsi="Arial" w:cs="Arial"/>
          <w:sz w:val="20"/>
          <w:szCs w:val="20"/>
          <w:lang w:val="en-GB"/>
        </w:rPr>
        <w:t>,</w:t>
      </w:r>
      <w:r w:rsidR="00775E9A" w:rsidRPr="00B818D2">
        <w:rPr>
          <w:rFonts w:ascii="Arial" w:eastAsia="Arial" w:hAnsi="Arial" w:cs="Arial"/>
          <w:sz w:val="20"/>
          <w:szCs w:val="20"/>
          <w:lang w:val="en-GB"/>
        </w:rPr>
        <w:t xml:space="preserve"> and </w:t>
      </w:r>
      <w:r w:rsidR="005C0E24" w:rsidRPr="00B818D2">
        <w:rPr>
          <w:rFonts w:ascii="Arial" w:eastAsia="Arial" w:hAnsi="Arial" w:cs="Arial"/>
          <w:sz w:val="20"/>
          <w:szCs w:val="20"/>
          <w:lang w:val="en-GB"/>
        </w:rPr>
        <w:t>regulatory certainty</w:t>
      </w:r>
      <w:r w:rsidR="00B818D2" w:rsidRPr="00B818D2">
        <w:rPr>
          <w:rFonts w:ascii="Arial" w:eastAsia="Arial" w:hAnsi="Arial" w:cs="Arial"/>
          <w:sz w:val="20"/>
          <w:szCs w:val="20"/>
          <w:lang w:val="en-GB"/>
        </w:rPr>
        <w:t xml:space="preserve">. </w:t>
      </w:r>
    </w:p>
    <w:p w14:paraId="6AE6AF43" w14:textId="355C1249" w:rsidR="00DD176C" w:rsidRPr="00B818D2" w:rsidRDefault="00EA10FB">
      <w:pPr>
        <w:tabs>
          <w:tab w:val="left" w:pos="5630"/>
        </w:tabs>
        <w:spacing w:line="240" w:lineRule="auto"/>
        <w:jc w:val="both"/>
        <w:rPr>
          <w:rFonts w:ascii="Arial" w:eastAsia="Arial" w:hAnsi="Arial" w:cs="Arial"/>
          <w:sz w:val="20"/>
          <w:szCs w:val="20"/>
          <w:lang w:val="en-GB"/>
        </w:rPr>
      </w:pPr>
      <w:r w:rsidRPr="00B818D2">
        <w:rPr>
          <w:rFonts w:ascii="Arial" w:eastAsia="Arial" w:hAnsi="Arial" w:cs="Arial"/>
          <w:sz w:val="20"/>
          <w:szCs w:val="20"/>
          <w:lang w:val="en-GB"/>
        </w:rPr>
        <w:t>That sa</w:t>
      </w:r>
      <w:r w:rsidR="006646AF" w:rsidRPr="00B818D2">
        <w:rPr>
          <w:rFonts w:ascii="Arial" w:eastAsia="Arial" w:hAnsi="Arial" w:cs="Arial"/>
          <w:sz w:val="20"/>
          <w:szCs w:val="20"/>
          <w:lang w:val="en-GB"/>
        </w:rPr>
        <w:t>i</w:t>
      </w:r>
      <w:r w:rsidRPr="00B818D2">
        <w:rPr>
          <w:rFonts w:ascii="Arial" w:eastAsia="Arial" w:hAnsi="Arial" w:cs="Arial"/>
          <w:sz w:val="20"/>
          <w:szCs w:val="20"/>
          <w:lang w:val="en-GB"/>
        </w:rPr>
        <w:t xml:space="preserve">d, </w:t>
      </w:r>
      <w:r w:rsidR="006646AF" w:rsidRPr="00B818D2">
        <w:rPr>
          <w:rFonts w:ascii="Arial" w:eastAsia="Arial" w:hAnsi="Arial" w:cs="Arial"/>
          <w:sz w:val="20"/>
          <w:szCs w:val="20"/>
          <w:lang w:val="en-GB"/>
        </w:rPr>
        <w:t>the Powerhouse markets – Frankfurt, Lond</w:t>
      </w:r>
      <w:r w:rsidR="00C5495E" w:rsidRPr="00B818D2">
        <w:rPr>
          <w:rFonts w:ascii="Arial" w:eastAsia="Arial" w:hAnsi="Arial" w:cs="Arial"/>
          <w:sz w:val="20"/>
          <w:szCs w:val="20"/>
          <w:lang w:val="en-GB"/>
        </w:rPr>
        <w:t>o</w:t>
      </w:r>
      <w:r w:rsidR="006646AF" w:rsidRPr="00B818D2">
        <w:rPr>
          <w:rFonts w:ascii="Arial" w:eastAsia="Arial" w:hAnsi="Arial" w:cs="Arial"/>
          <w:sz w:val="20"/>
          <w:szCs w:val="20"/>
          <w:lang w:val="en-GB"/>
        </w:rPr>
        <w:t>n, Amsterdam, Par</w:t>
      </w:r>
      <w:r w:rsidR="00C5495E" w:rsidRPr="00B818D2">
        <w:rPr>
          <w:rFonts w:ascii="Arial" w:eastAsia="Arial" w:hAnsi="Arial" w:cs="Arial"/>
          <w:sz w:val="20"/>
          <w:szCs w:val="20"/>
          <w:lang w:val="en-GB"/>
        </w:rPr>
        <w:t>is</w:t>
      </w:r>
      <w:r w:rsidR="006646AF" w:rsidRPr="00B818D2">
        <w:rPr>
          <w:rFonts w:ascii="Arial" w:eastAsia="Arial" w:hAnsi="Arial" w:cs="Arial"/>
          <w:sz w:val="20"/>
          <w:szCs w:val="20"/>
          <w:lang w:val="en-GB"/>
        </w:rPr>
        <w:t>, Dublin</w:t>
      </w:r>
      <w:r w:rsidR="003474B5">
        <w:rPr>
          <w:rFonts w:ascii="Arial" w:eastAsia="Arial" w:hAnsi="Arial" w:cs="Arial"/>
          <w:sz w:val="20"/>
          <w:szCs w:val="20"/>
          <w:lang w:val="en-GB"/>
        </w:rPr>
        <w:t>,</w:t>
      </w:r>
      <w:r w:rsidR="006646AF" w:rsidRPr="00B818D2">
        <w:rPr>
          <w:rFonts w:ascii="Arial" w:eastAsia="Arial" w:hAnsi="Arial" w:cs="Arial"/>
          <w:sz w:val="20"/>
          <w:szCs w:val="20"/>
          <w:lang w:val="en-GB"/>
        </w:rPr>
        <w:t xml:space="preserve"> </w:t>
      </w:r>
      <w:r w:rsidR="00C5495E" w:rsidRPr="00B818D2">
        <w:rPr>
          <w:rFonts w:ascii="Arial" w:eastAsia="Arial" w:hAnsi="Arial" w:cs="Arial"/>
          <w:sz w:val="20"/>
          <w:szCs w:val="20"/>
          <w:lang w:val="en-GB"/>
        </w:rPr>
        <w:t>and</w:t>
      </w:r>
      <w:r w:rsidR="006646AF" w:rsidRPr="00B818D2">
        <w:rPr>
          <w:rFonts w:ascii="Arial" w:eastAsia="Arial" w:hAnsi="Arial" w:cs="Arial"/>
          <w:sz w:val="20"/>
          <w:szCs w:val="20"/>
          <w:lang w:val="en-GB"/>
        </w:rPr>
        <w:t xml:space="preserve"> M</w:t>
      </w:r>
      <w:r w:rsidR="00C5495E" w:rsidRPr="00B818D2">
        <w:rPr>
          <w:rFonts w:ascii="Arial" w:eastAsia="Arial" w:hAnsi="Arial" w:cs="Arial"/>
          <w:sz w:val="20"/>
          <w:szCs w:val="20"/>
          <w:lang w:val="en-GB"/>
        </w:rPr>
        <w:t>i</w:t>
      </w:r>
      <w:r w:rsidR="006646AF" w:rsidRPr="00B818D2">
        <w:rPr>
          <w:rFonts w:ascii="Arial" w:eastAsia="Arial" w:hAnsi="Arial" w:cs="Arial"/>
          <w:sz w:val="20"/>
          <w:szCs w:val="20"/>
          <w:lang w:val="en-GB"/>
        </w:rPr>
        <w:t>lan</w:t>
      </w:r>
      <w:r w:rsidR="00015428" w:rsidRPr="00B818D2">
        <w:rPr>
          <w:rFonts w:ascii="Arial" w:eastAsia="Arial" w:hAnsi="Arial" w:cs="Arial"/>
          <w:sz w:val="20"/>
          <w:szCs w:val="20"/>
          <w:lang w:val="en-GB"/>
        </w:rPr>
        <w:t xml:space="preserve">, which has joined this group </w:t>
      </w:r>
      <w:r w:rsidR="006E7F9C">
        <w:rPr>
          <w:rFonts w:ascii="Arial" w:eastAsia="Arial" w:hAnsi="Arial" w:cs="Arial"/>
          <w:sz w:val="20"/>
          <w:szCs w:val="20"/>
          <w:lang w:val="en-GB"/>
        </w:rPr>
        <w:t>after</w:t>
      </w:r>
      <w:r w:rsidR="00B41CBC" w:rsidRPr="00B818D2">
        <w:rPr>
          <w:rFonts w:ascii="Arial" w:eastAsia="Arial" w:hAnsi="Arial" w:cs="Arial"/>
          <w:sz w:val="20"/>
          <w:szCs w:val="20"/>
          <w:lang w:val="en-GB"/>
        </w:rPr>
        <w:t xml:space="preserve"> surpassing 1</w:t>
      </w:r>
      <w:r w:rsidR="0033681A">
        <w:rPr>
          <w:rFonts w:ascii="Arial" w:eastAsia="Arial" w:hAnsi="Arial" w:cs="Arial"/>
          <w:sz w:val="20"/>
          <w:szCs w:val="20"/>
          <w:lang w:val="en-GB"/>
        </w:rPr>
        <w:t xml:space="preserve"> </w:t>
      </w:r>
      <w:r w:rsidR="00B41CBC" w:rsidRPr="00B818D2">
        <w:rPr>
          <w:rFonts w:ascii="Arial" w:eastAsia="Arial" w:hAnsi="Arial" w:cs="Arial"/>
          <w:sz w:val="20"/>
          <w:szCs w:val="20"/>
          <w:lang w:val="en-GB"/>
        </w:rPr>
        <w:t>GW of total live and pipeline capacity</w:t>
      </w:r>
      <w:r w:rsidR="003474B5">
        <w:rPr>
          <w:rFonts w:ascii="Arial" w:eastAsia="Arial" w:hAnsi="Arial" w:cs="Arial"/>
          <w:sz w:val="20"/>
          <w:szCs w:val="20"/>
          <w:lang w:val="en-GB"/>
        </w:rPr>
        <w:t xml:space="preserve"> – </w:t>
      </w:r>
      <w:r w:rsidR="00C422F6" w:rsidRPr="00B818D2">
        <w:rPr>
          <w:rFonts w:ascii="Arial" w:eastAsia="Arial" w:hAnsi="Arial" w:cs="Arial"/>
          <w:sz w:val="20"/>
          <w:szCs w:val="20"/>
          <w:lang w:val="en-GB"/>
        </w:rPr>
        <w:t xml:space="preserve">remain the </w:t>
      </w:r>
      <w:r w:rsidR="000F4E35">
        <w:rPr>
          <w:rFonts w:ascii="Arial" w:eastAsia="Arial" w:hAnsi="Arial" w:cs="Arial"/>
          <w:sz w:val="20"/>
          <w:szCs w:val="20"/>
          <w:lang w:val="en-GB"/>
        </w:rPr>
        <w:t>largest in the region</w:t>
      </w:r>
      <w:r w:rsidR="00B41CBC" w:rsidRPr="00B818D2">
        <w:rPr>
          <w:rFonts w:ascii="Arial" w:eastAsia="Arial" w:hAnsi="Arial" w:cs="Arial"/>
          <w:sz w:val="20"/>
          <w:szCs w:val="20"/>
          <w:lang w:val="en-GB"/>
        </w:rPr>
        <w:t>.</w:t>
      </w:r>
      <w:r w:rsidR="00975EBC" w:rsidRPr="00B818D2">
        <w:rPr>
          <w:rFonts w:ascii="Arial" w:eastAsia="Arial" w:hAnsi="Arial" w:cs="Arial"/>
          <w:sz w:val="20"/>
          <w:szCs w:val="20"/>
          <w:lang w:val="en-GB"/>
        </w:rPr>
        <w:t xml:space="preserve"> Together, these six hubs represent around</w:t>
      </w:r>
      <w:r w:rsidR="00B818D2" w:rsidRPr="00B818D2">
        <w:rPr>
          <w:rFonts w:ascii="Arial" w:eastAsia="Arial" w:hAnsi="Arial" w:cs="Arial"/>
          <w:sz w:val="20"/>
          <w:szCs w:val="20"/>
          <w:lang w:val="en-GB"/>
        </w:rPr>
        <w:t xml:space="preserve"> 45% </w:t>
      </w:r>
      <w:r w:rsidR="00975EBC" w:rsidRPr="00B818D2">
        <w:rPr>
          <w:rFonts w:ascii="Arial" w:eastAsia="Arial" w:hAnsi="Arial" w:cs="Arial"/>
          <w:sz w:val="20"/>
          <w:szCs w:val="20"/>
          <w:lang w:val="en-GB"/>
        </w:rPr>
        <w:t xml:space="preserve">of </w:t>
      </w:r>
      <w:r w:rsidR="002624B5" w:rsidRPr="00B818D2">
        <w:rPr>
          <w:rFonts w:ascii="Arial" w:eastAsia="Arial" w:hAnsi="Arial" w:cs="Arial"/>
          <w:sz w:val="20"/>
          <w:szCs w:val="20"/>
          <w:lang w:val="en-GB"/>
        </w:rPr>
        <w:t xml:space="preserve">EMEA’s operational capacity and over </w:t>
      </w:r>
      <w:r w:rsidR="00B818D2" w:rsidRPr="00B818D2">
        <w:rPr>
          <w:rFonts w:ascii="Arial" w:eastAsia="Arial" w:hAnsi="Arial" w:cs="Arial"/>
          <w:sz w:val="20"/>
          <w:szCs w:val="20"/>
          <w:lang w:val="en-GB"/>
        </w:rPr>
        <w:t xml:space="preserve">40% </w:t>
      </w:r>
      <w:r w:rsidR="002624B5" w:rsidRPr="00B818D2">
        <w:rPr>
          <w:rFonts w:ascii="Arial" w:eastAsia="Arial" w:hAnsi="Arial" w:cs="Arial"/>
          <w:sz w:val="20"/>
          <w:szCs w:val="20"/>
          <w:lang w:val="en-GB"/>
        </w:rPr>
        <w:t>of future supply</w:t>
      </w:r>
      <w:r w:rsidR="00B818D2" w:rsidRPr="00B818D2">
        <w:rPr>
          <w:rFonts w:ascii="Arial" w:eastAsia="Arial" w:hAnsi="Arial" w:cs="Arial"/>
          <w:sz w:val="20"/>
          <w:szCs w:val="20"/>
          <w:lang w:val="en-GB"/>
        </w:rPr>
        <w:t>.</w:t>
      </w:r>
      <w:r w:rsidR="002624B5" w:rsidRPr="00B818D2">
        <w:rPr>
          <w:rFonts w:ascii="Arial" w:eastAsia="Arial" w:hAnsi="Arial" w:cs="Arial"/>
          <w:sz w:val="20"/>
          <w:szCs w:val="20"/>
          <w:lang w:val="en-GB"/>
        </w:rPr>
        <w:t xml:space="preserve"> </w:t>
      </w:r>
      <w:r w:rsidR="00FE3F85" w:rsidRPr="00B818D2">
        <w:rPr>
          <w:rFonts w:ascii="Arial" w:eastAsia="Arial" w:hAnsi="Arial" w:cs="Arial"/>
          <w:sz w:val="20"/>
          <w:szCs w:val="20"/>
          <w:lang w:val="en-GB"/>
        </w:rPr>
        <w:t xml:space="preserve">However, these markets face </w:t>
      </w:r>
      <w:r w:rsidR="00484E5A" w:rsidRPr="00B818D2">
        <w:rPr>
          <w:rFonts w:ascii="Arial" w:eastAsia="Arial" w:hAnsi="Arial" w:cs="Arial"/>
          <w:sz w:val="20"/>
          <w:szCs w:val="20"/>
          <w:lang w:val="en-GB"/>
        </w:rPr>
        <w:t xml:space="preserve">growing structural </w:t>
      </w:r>
      <w:r w:rsidR="00F71DF8">
        <w:rPr>
          <w:rFonts w:ascii="Arial" w:eastAsia="Arial" w:hAnsi="Arial" w:cs="Arial"/>
          <w:sz w:val="20"/>
          <w:szCs w:val="20"/>
          <w:lang w:val="en-GB"/>
        </w:rPr>
        <w:t>constraints</w:t>
      </w:r>
      <w:r w:rsidR="00484E5A" w:rsidRPr="00B818D2">
        <w:rPr>
          <w:rFonts w:ascii="Arial" w:eastAsia="Arial" w:hAnsi="Arial" w:cs="Arial"/>
          <w:sz w:val="20"/>
          <w:szCs w:val="20"/>
          <w:lang w:val="en-GB"/>
        </w:rPr>
        <w:t xml:space="preserve"> such as land </w:t>
      </w:r>
      <w:r w:rsidR="006213A3">
        <w:rPr>
          <w:rFonts w:ascii="Arial" w:eastAsia="Arial" w:hAnsi="Arial" w:cs="Arial"/>
          <w:sz w:val="20"/>
          <w:szCs w:val="20"/>
          <w:lang w:val="en-GB"/>
        </w:rPr>
        <w:t>shortages, limited</w:t>
      </w:r>
      <w:r w:rsidR="00484E5A" w:rsidRPr="00B818D2">
        <w:rPr>
          <w:rFonts w:ascii="Arial" w:eastAsia="Arial" w:hAnsi="Arial" w:cs="Arial"/>
          <w:sz w:val="20"/>
          <w:szCs w:val="20"/>
          <w:lang w:val="en-GB"/>
        </w:rPr>
        <w:t xml:space="preserve"> power a</w:t>
      </w:r>
      <w:r w:rsidR="007215A3" w:rsidRPr="00B818D2">
        <w:rPr>
          <w:rFonts w:ascii="Arial" w:eastAsia="Arial" w:hAnsi="Arial" w:cs="Arial"/>
          <w:sz w:val="20"/>
          <w:szCs w:val="20"/>
          <w:lang w:val="en-GB"/>
        </w:rPr>
        <w:t>vailability,</w:t>
      </w:r>
      <w:r w:rsidR="008E5D9A" w:rsidRPr="00B818D2">
        <w:rPr>
          <w:rFonts w:ascii="Arial" w:eastAsia="Arial" w:hAnsi="Arial" w:cs="Arial"/>
          <w:sz w:val="20"/>
          <w:szCs w:val="20"/>
          <w:lang w:val="en-GB"/>
        </w:rPr>
        <w:t xml:space="preserve"> grid </w:t>
      </w:r>
      <w:r w:rsidR="006213A3">
        <w:rPr>
          <w:rFonts w:ascii="Arial" w:eastAsia="Arial" w:hAnsi="Arial" w:cs="Arial"/>
          <w:sz w:val="20"/>
          <w:szCs w:val="20"/>
          <w:lang w:val="en-GB"/>
        </w:rPr>
        <w:t>congestion</w:t>
      </w:r>
      <w:r w:rsidR="008E5D9A" w:rsidRPr="00B818D2">
        <w:rPr>
          <w:rFonts w:ascii="Arial" w:eastAsia="Arial" w:hAnsi="Arial" w:cs="Arial"/>
          <w:sz w:val="20"/>
          <w:szCs w:val="20"/>
          <w:lang w:val="en-GB"/>
        </w:rPr>
        <w:t xml:space="preserve"> and </w:t>
      </w:r>
      <w:r w:rsidR="00273322" w:rsidRPr="00B818D2">
        <w:rPr>
          <w:rFonts w:ascii="Arial" w:eastAsia="Arial" w:hAnsi="Arial" w:cs="Arial"/>
          <w:sz w:val="20"/>
          <w:szCs w:val="20"/>
          <w:lang w:val="en-GB"/>
        </w:rPr>
        <w:t>regulatory complexity.</w:t>
      </w:r>
      <w:r w:rsidR="00962E6D" w:rsidRPr="00B818D2">
        <w:rPr>
          <w:rFonts w:ascii="Arial" w:eastAsia="Arial" w:hAnsi="Arial" w:cs="Arial"/>
          <w:sz w:val="20"/>
          <w:szCs w:val="20"/>
          <w:lang w:val="en-GB"/>
        </w:rPr>
        <w:t xml:space="preserve"> </w:t>
      </w:r>
      <w:r w:rsidR="00212419" w:rsidRPr="00B818D2">
        <w:rPr>
          <w:rFonts w:ascii="Arial" w:eastAsia="Arial" w:hAnsi="Arial" w:cs="Arial"/>
          <w:sz w:val="20"/>
          <w:szCs w:val="20"/>
          <w:lang w:val="en-GB"/>
        </w:rPr>
        <w:t xml:space="preserve">As a result, </w:t>
      </w:r>
      <w:r w:rsidR="003D7CD2" w:rsidRPr="00B818D2">
        <w:rPr>
          <w:rFonts w:ascii="Arial" w:eastAsia="Arial" w:hAnsi="Arial" w:cs="Arial"/>
          <w:sz w:val="20"/>
          <w:szCs w:val="20"/>
          <w:lang w:val="en-GB"/>
        </w:rPr>
        <w:t xml:space="preserve">there is a notable shift </w:t>
      </w:r>
      <w:r w:rsidR="00F227DB">
        <w:rPr>
          <w:rFonts w:ascii="Arial" w:eastAsia="Arial" w:hAnsi="Arial" w:cs="Arial"/>
          <w:sz w:val="20"/>
          <w:szCs w:val="20"/>
          <w:lang w:val="en-GB"/>
        </w:rPr>
        <w:t>of</w:t>
      </w:r>
      <w:r w:rsidR="003D7CD2" w:rsidRPr="00B818D2">
        <w:rPr>
          <w:rFonts w:ascii="Arial" w:eastAsia="Arial" w:hAnsi="Arial" w:cs="Arial"/>
          <w:sz w:val="20"/>
          <w:szCs w:val="20"/>
          <w:lang w:val="en-GB"/>
        </w:rPr>
        <w:t xml:space="preserve"> large projects, including hyperscale campuses, toward regional </w:t>
      </w:r>
      <w:r w:rsidR="00611163" w:rsidRPr="00B818D2">
        <w:rPr>
          <w:rFonts w:ascii="Arial" w:eastAsia="Arial" w:hAnsi="Arial" w:cs="Arial"/>
          <w:sz w:val="20"/>
          <w:szCs w:val="20"/>
          <w:lang w:val="en-GB"/>
        </w:rPr>
        <w:t>and emerging markets.</w:t>
      </w:r>
      <w:r w:rsidR="00B818D2" w:rsidRPr="00B818D2">
        <w:rPr>
          <w:rFonts w:ascii="Arial" w:eastAsia="Arial" w:hAnsi="Arial" w:cs="Arial"/>
          <w:sz w:val="20"/>
          <w:szCs w:val="20"/>
          <w:lang w:val="en-GB"/>
        </w:rPr>
        <w:t xml:space="preserve"> </w:t>
      </w:r>
    </w:p>
    <w:p w14:paraId="6AE6AF44" w14:textId="25E390F9" w:rsidR="00DD176C" w:rsidRPr="00B818D2" w:rsidRDefault="00E03470">
      <w:pPr>
        <w:tabs>
          <w:tab w:val="left" w:pos="5630"/>
        </w:tabs>
        <w:spacing w:line="240" w:lineRule="auto"/>
        <w:jc w:val="both"/>
        <w:rPr>
          <w:rFonts w:ascii="Arial" w:eastAsia="Arial" w:hAnsi="Arial" w:cs="Arial"/>
          <w:sz w:val="20"/>
          <w:szCs w:val="20"/>
          <w:lang w:val="en-GB"/>
        </w:rPr>
      </w:pPr>
      <w:r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“Warsaw stands out </w:t>
      </w:r>
      <w:r w:rsidR="00544A7A">
        <w:rPr>
          <w:rFonts w:ascii="Arial" w:eastAsia="Arial" w:hAnsi="Arial" w:cs="Arial"/>
          <w:i/>
          <w:iCs/>
          <w:sz w:val="20"/>
          <w:szCs w:val="20"/>
          <w:lang w:val="en-GB"/>
        </w:rPr>
        <w:t>in particular</w:t>
      </w:r>
      <w:r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>, having been classified as a new established market.</w:t>
      </w:r>
      <w:r w:rsidR="00A0111F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 </w:t>
      </w:r>
      <w:r w:rsidR="00544A7A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The city </w:t>
      </w:r>
      <w:r w:rsidR="00A0111F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>has</w:t>
      </w:r>
      <w:r w:rsidR="007224DD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 therefore strengthened its role as the leading digital infrastructure hub in Central and Eastern Europe</w:t>
      </w:r>
      <w:r w:rsidR="00012325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. </w:t>
      </w:r>
      <w:r w:rsidR="00C340DE">
        <w:rPr>
          <w:rFonts w:ascii="Arial" w:eastAsia="Arial" w:hAnsi="Arial" w:cs="Arial"/>
          <w:i/>
          <w:iCs/>
          <w:sz w:val="20"/>
          <w:szCs w:val="20"/>
          <w:lang w:val="en-GB"/>
        </w:rPr>
        <w:t>At</w:t>
      </w:r>
      <w:r w:rsidR="00BE64FF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 </w:t>
      </w:r>
      <w:r w:rsidR="00012325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the end of 2025, live </w:t>
      </w:r>
      <w:r w:rsidR="008C22D9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operational capacity in the Warsaw region reached </w:t>
      </w:r>
      <w:r w:rsidR="00B818D2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>157</w:t>
      </w:r>
      <w:r w:rsidR="0033681A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 </w:t>
      </w:r>
      <w:r w:rsidR="00B818D2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MW, </w:t>
      </w:r>
      <w:r w:rsidR="002530ED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>reflecting year-on-year growth of around 10%</w:t>
      </w:r>
      <w:r w:rsidR="00F50457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>, while</w:t>
      </w:r>
      <w:r w:rsidR="005A455B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 at the </w:t>
      </w:r>
      <w:r w:rsidR="00C648E9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>national level</w:t>
      </w:r>
      <w:r w:rsidR="00F50457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 Poland’s total live capacity </w:t>
      </w:r>
      <w:r w:rsidR="00C648E9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>exceeded</w:t>
      </w:r>
      <w:r w:rsidR="00B818D2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 210</w:t>
      </w:r>
      <w:r w:rsidR="0033681A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 </w:t>
      </w:r>
      <w:r w:rsidR="00B818D2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MW. </w:t>
      </w:r>
      <w:r w:rsidR="00407E0A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At the same time, Warsaw’s total pipeline capacity </w:t>
      </w:r>
      <w:r w:rsidR="00817B6B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expanded by 45% to nearly </w:t>
      </w:r>
      <w:r w:rsidR="00B818D2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>160</w:t>
      </w:r>
      <w:r w:rsidR="0033681A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 </w:t>
      </w:r>
      <w:r w:rsidR="00B818D2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MW, </w:t>
      </w:r>
      <w:r w:rsidR="006141C5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>of which 11</w:t>
      </w:r>
      <w:r w:rsidR="0033681A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 </w:t>
      </w:r>
      <w:r w:rsidR="006141C5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MW is under construction and </w:t>
      </w:r>
      <w:r w:rsidR="006A7731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>148</w:t>
      </w:r>
      <w:r w:rsidR="00F42A2E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 </w:t>
      </w:r>
      <w:r w:rsidR="006A7731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MW is </w:t>
      </w:r>
      <w:r w:rsidR="00A225E4">
        <w:rPr>
          <w:rFonts w:ascii="Arial" w:eastAsia="Arial" w:hAnsi="Arial" w:cs="Arial"/>
          <w:i/>
          <w:iCs/>
          <w:sz w:val="20"/>
          <w:szCs w:val="20"/>
          <w:lang w:val="en-GB"/>
        </w:rPr>
        <w:t>in the planning stage</w:t>
      </w:r>
      <w:r w:rsidR="0009566B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>,”</w:t>
      </w:r>
      <w:r w:rsidR="00B818D2" w:rsidRPr="00B818D2">
        <w:rPr>
          <w:rFonts w:ascii="Arial" w:eastAsia="Arial" w:hAnsi="Arial" w:cs="Arial"/>
          <w:sz w:val="20"/>
          <w:szCs w:val="20"/>
          <w:lang w:val="en-GB"/>
        </w:rPr>
        <w:t xml:space="preserve"> </w:t>
      </w:r>
      <w:r w:rsidR="0009566B" w:rsidRPr="00B818D2">
        <w:rPr>
          <w:rFonts w:ascii="Arial" w:eastAsia="Arial" w:hAnsi="Arial" w:cs="Arial"/>
          <w:sz w:val="20"/>
          <w:szCs w:val="20"/>
          <w:lang w:val="en-GB"/>
        </w:rPr>
        <w:t>says</w:t>
      </w:r>
      <w:r w:rsidR="00B818D2" w:rsidRPr="00B818D2">
        <w:rPr>
          <w:rFonts w:ascii="Arial" w:eastAsia="Arial" w:hAnsi="Arial" w:cs="Arial"/>
          <w:sz w:val="20"/>
          <w:szCs w:val="20"/>
          <w:lang w:val="en-GB"/>
        </w:rPr>
        <w:t xml:space="preserve"> </w:t>
      </w:r>
      <w:r w:rsidR="00B818D2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>Kamil Żach, Head of Industrial Sector, Poland Data Centre Advisory Team, Cushman &amp; Wakefield</w:t>
      </w:r>
      <w:r w:rsidR="00B818D2" w:rsidRPr="00B818D2">
        <w:rPr>
          <w:rFonts w:ascii="Arial" w:eastAsia="Arial" w:hAnsi="Arial" w:cs="Arial"/>
          <w:sz w:val="20"/>
          <w:szCs w:val="20"/>
          <w:lang w:val="en-GB"/>
        </w:rPr>
        <w:t>.</w:t>
      </w:r>
    </w:p>
    <w:p w14:paraId="6AE6AF45" w14:textId="5FF5A763" w:rsidR="00DD176C" w:rsidRPr="00B818D2" w:rsidRDefault="006F2CAA">
      <w:pPr>
        <w:tabs>
          <w:tab w:val="left" w:pos="5630"/>
        </w:tabs>
        <w:spacing w:line="240" w:lineRule="auto"/>
        <w:jc w:val="both"/>
        <w:rPr>
          <w:rFonts w:ascii="Arial" w:eastAsia="Arial" w:hAnsi="Arial" w:cs="Arial"/>
          <w:sz w:val="20"/>
          <w:szCs w:val="20"/>
          <w:lang w:val="en-GB"/>
        </w:rPr>
      </w:pPr>
      <w:r w:rsidRPr="00B818D2">
        <w:rPr>
          <w:rFonts w:ascii="Arial" w:eastAsia="Arial" w:hAnsi="Arial" w:cs="Arial"/>
          <w:sz w:val="20"/>
          <w:szCs w:val="20"/>
          <w:lang w:val="en-GB"/>
        </w:rPr>
        <w:t>With its strong economic fundamentals, large domestic market</w:t>
      </w:r>
      <w:r w:rsidR="00D77D50" w:rsidRPr="00B818D2">
        <w:rPr>
          <w:rFonts w:ascii="Arial" w:eastAsia="Arial" w:hAnsi="Arial" w:cs="Arial"/>
          <w:sz w:val="20"/>
          <w:szCs w:val="20"/>
          <w:lang w:val="en-GB"/>
        </w:rPr>
        <w:t>, rapidly digitalising enterprise base</w:t>
      </w:r>
      <w:r w:rsidR="000675AE" w:rsidRPr="00B818D2">
        <w:rPr>
          <w:rFonts w:ascii="Arial" w:eastAsia="Arial" w:hAnsi="Arial" w:cs="Arial"/>
          <w:sz w:val="20"/>
          <w:szCs w:val="20"/>
          <w:lang w:val="en-GB"/>
        </w:rPr>
        <w:t xml:space="preserve"> and deep </w:t>
      </w:r>
      <w:r w:rsidR="004019CD">
        <w:rPr>
          <w:rFonts w:ascii="Arial" w:eastAsia="Arial" w:hAnsi="Arial" w:cs="Arial"/>
          <w:sz w:val="20"/>
          <w:szCs w:val="20"/>
          <w:lang w:val="en-GB"/>
        </w:rPr>
        <w:t xml:space="preserve">talent </w:t>
      </w:r>
      <w:r w:rsidR="000675AE" w:rsidRPr="00B818D2">
        <w:rPr>
          <w:rFonts w:ascii="Arial" w:eastAsia="Arial" w:hAnsi="Arial" w:cs="Arial"/>
          <w:sz w:val="20"/>
          <w:szCs w:val="20"/>
          <w:lang w:val="en-GB"/>
        </w:rPr>
        <w:t xml:space="preserve">pool, Warsaw attracts </w:t>
      </w:r>
      <w:r w:rsidR="00083931" w:rsidRPr="00B818D2">
        <w:rPr>
          <w:rFonts w:ascii="Arial" w:eastAsia="Arial" w:hAnsi="Arial" w:cs="Arial"/>
          <w:sz w:val="20"/>
          <w:szCs w:val="20"/>
          <w:lang w:val="en-GB"/>
        </w:rPr>
        <w:t xml:space="preserve">both colocation </w:t>
      </w:r>
      <w:r w:rsidR="00160AB3" w:rsidRPr="00B818D2">
        <w:rPr>
          <w:rFonts w:ascii="Arial" w:eastAsia="Arial" w:hAnsi="Arial" w:cs="Arial"/>
          <w:sz w:val="20"/>
          <w:szCs w:val="20"/>
          <w:lang w:val="en-GB"/>
        </w:rPr>
        <w:t>operators</w:t>
      </w:r>
      <w:r w:rsidR="00083931" w:rsidRPr="00B818D2">
        <w:rPr>
          <w:rFonts w:ascii="Arial" w:eastAsia="Arial" w:hAnsi="Arial" w:cs="Arial"/>
          <w:sz w:val="20"/>
          <w:szCs w:val="20"/>
          <w:lang w:val="en-GB"/>
        </w:rPr>
        <w:t xml:space="preserve"> and global </w:t>
      </w:r>
      <w:r w:rsidR="00797074" w:rsidRPr="00B818D2">
        <w:rPr>
          <w:rFonts w:ascii="Arial" w:eastAsia="Arial" w:hAnsi="Arial" w:cs="Arial"/>
          <w:sz w:val="20"/>
          <w:szCs w:val="20"/>
          <w:lang w:val="en-GB"/>
        </w:rPr>
        <w:t>cloud provi</w:t>
      </w:r>
      <w:r w:rsidR="00C30C3B" w:rsidRPr="00B818D2">
        <w:rPr>
          <w:rFonts w:ascii="Arial" w:eastAsia="Arial" w:hAnsi="Arial" w:cs="Arial"/>
          <w:sz w:val="20"/>
          <w:szCs w:val="20"/>
          <w:lang w:val="en-GB"/>
        </w:rPr>
        <w:t>d</w:t>
      </w:r>
      <w:r w:rsidR="00797074" w:rsidRPr="00B818D2">
        <w:rPr>
          <w:rFonts w:ascii="Arial" w:eastAsia="Arial" w:hAnsi="Arial" w:cs="Arial"/>
          <w:sz w:val="20"/>
          <w:szCs w:val="20"/>
          <w:lang w:val="en-GB"/>
        </w:rPr>
        <w:t>ers</w:t>
      </w:r>
      <w:r w:rsidR="00E242DF" w:rsidRPr="00B818D2">
        <w:rPr>
          <w:rFonts w:ascii="Arial" w:eastAsia="Arial" w:hAnsi="Arial" w:cs="Arial"/>
          <w:sz w:val="20"/>
          <w:szCs w:val="20"/>
          <w:lang w:val="en-GB"/>
        </w:rPr>
        <w:t xml:space="preserve">. Warsaw hosts cloud regions operated by Google Cloud, Microsoft Azure and </w:t>
      </w:r>
      <w:proofErr w:type="spellStart"/>
      <w:r w:rsidR="00E242DF" w:rsidRPr="00B818D2">
        <w:rPr>
          <w:rFonts w:ascii="Arial" w:eastAsia="Arial" w:hAnsi="Arial" w:cs="Arial"/>
          <w:sz w:val="20"/>
          <w:szCs w:val="20"/>
          <w:lang w:val="en-GB"/>
        </w:rPr>
        <w:t>OVHcloud</w:t>
      </w:r>
      <w:proofErr w:type="spellEnd"/>
      <w:r w:rsidR="00E242DF" w:rsidRPr="00B818D2">
        <w:rPr>
          <w:rFonts w:ascii="Arial" w:eastAsia="Arial" w:hAnsi="Arial" w:cs="Arial"/>
          <w:sz w:val="20"/>
          <w:szCs w:val="20"/>
          <w:lang w:val="en-GB"/>
        </w:rPr>
        <w:t xml:space="preserve">, reinforcing its role as the </w:t>
      </w:r>
      <w:r w:rsidR="00F755BB">
        <w:rPr>
          <w:rFonts w:ascii="Arial" w:eastAsia="Arial" w:hAnsi="Arial" w:cs="Arial"/>
          <w:sz w:val="20"/>
          <w:szCs w:val="20"/>
          <w:lang w:val="en-GB"/>
        </w:rPr>
        <w:t>main</w:t>
      </w:r>
      <w:r w:rsidR="00E242DF" w:rsidRPr="00B818D2">
        <w:rPr>
          <w:rFonts w:ascii="Arial" w:eastAsia="Arial" w:hAnsi="Arial" w:cs="Arial"/>
          <w:sz w:val="20"/>
          <w:szCs w:val="20"/>
          <w:lang w:val="en-GB"/>
        </w:rPr>
        <w:t xml:space="preserve"> cloud gateway for Central and Eastern Europe.</w:t>
      </w:r>
      <w:r w:rsidR="0025016A" w:rsidRPr="00B818D2">
        <w:rPr>
          <w:rFonts w:ascii="Arial" w:eastAsia="Arial" w:hAnsi="Arial" w:cs="Arial"/>
          <w:sz w:val="20"/>
          <w:szCs w:val="20"/>
          <w:lang w:val="en-GB"/>
        </w:rPr>
        <w:t xml:space="preserve"> An</w:t>
      </w:r>
      <w:r w:rsidR="00441A7A">
        <w:rPr>
          <w:rFonts w:ascii="Arial" w:eastAsia="Arial" w:hAnsi="Arial" w:cs="Arial"/>
          <w:sz w:val="20"/>
          <w:szCs w:val="20"/>
          <w:lang w:val="en-GB"/>
        </w:rPr>
        <w:t xml:space="preserve"> additional</w:t>
      </w:r>
      <w:r w:rsidR="0025016A" w:rsidRPr="00B818D2">
        <w:rPr>
          <w:rFonts w:ascii="Arial" w:eastAsia="Arial" w:hAnsi="Arial" w:cs="Arial"/>
          <w:sz w:val="20"/>
          <w:szCs w:val="20"/>
          <w:lang w:val="en-GB"/>
        </w:rPr>
        <w:t xml:space="preserve"> advantage is the </w:t>
      </w:r>
      <w:r w:rsidR="00B50922" w:rsidRPr="00B818D2">
        <w:rPr>
          <w:rFonts w:ascii="Arial" w:eastAsia="Arial" w:hAnsi="Arial" w:cs="Arial"/>
          <w:sz w:val="20"/>
          <w:szCs w:val="20"/>
          <w:lang w:val="en-GB"/>
        </w:rPr>
        <w:t xml:space="preserve">institutional stability </w:t>
      </w:r>
      <w:r w:rsidR="00A66D12">
        <w:rPr>
          <w:rFonts w:ascii="Arial" w:eastAsia="Arial" w:hAnsi="Arial" w:cs="Arial"/>
          <w:sz w:val="20"/>
          <w:szCs w:val="20"/>
          <w:lang w:val="en-GB"/>
        </w:rPr>
        <w:t xml:space="preserve">resulting </w:t>
      </w:r>
      <w:r w:rsidR="00F75AFD" w:rsidRPr="00B818D2">
        <w:rPr>
          <w:rFonts w:ascii="Arial" w:eastAsia="Arial" w:hAnsi="Arial" w:cs="Arial"/>
          <w:sz w:val="20"/>
          <w:szCs w:val="20"/>
          <w:lang w:val="en-GB"/>
        </w:rPr>
        <w:t xml:space="preserve">from </w:t>
      </w:r>
      <w:r w:rsidR="00441A7A">
        <w:rPr>
          <w:rFonts w:ascii="Arial" w:eastAsia="Arial" w:hAnsi="Arial" w:cs="Arial"/>
          <w:sz w:val="20"/>
          <w:szCs w:val="20"/>
          <w:lang w:val="en-GB"/>
        </w:rPr>
        <w:t>Poland</w:t>
      </w:r>
      <w:r w:rsidR="00F855D2">
        <w:rPr>
          <w:rFonts w:ascii="Arial" w:eastAsia="Arial" w:hAnsi="Arial" w:cs="Arial"/>
          <w:sz w:val="20"/>
          <w:szCs w:val="20"/>
          <w:lang w:val="en-GB"/>
        </w:rPr>
        <w:t>’</w:t>
      </w:r>
      <w:r w:rsidR="00441A7A">
        <w:rPr>
          <w:rFonts w:ascii="Arial" w:eastAsia="Arial" w:hAnsi="Arial" w:cs="Arial"/>
          <w:sz w:val="20"/>
          <w:szCs w:val="20"/>
          <w:lang w:val="en-GB"/>
        </w:rPr>
        <w:t xml:space="preserve">s </w:t>
      </w:r>
      <w:r w:rsidR="00F75AFD" w:rsidRPr="00B818D2">
        <w:rPr>
          <w:rFonts w:ascii="Arial" w:eastAsia="Arial" w:hAnsi="Arial" w:cs="Arial"/>
          <w:sz w:val="20"/>
          <w:szCs w:val="20"/>
          <w:lang w:val="en-GB"/>
        </w:rPr>
        <w:t xml:space="preserve">membership </w:t>
      </w:r>
      <w:r w:rsidR="00684C8F" w:rsidRPr="00B818D2">
        <w:rPr>
          <w:rFonts w:ascii="Arial" w:eastAsia="Arial" w:hAnsi="Arial" w:cs="Arial"/>
          <w:sz w:val="20"/>
          <w:szCs w:val="20"/>
          <w:lang w:val="en-GB"/>
        </w:rPr>
        <w:t>in the EU and NATO</w:t>
      </w:r>
      <w:r w:rsidR="00B818D2" w:rsidRPr="00B818D2">
        <w:rPr>
          <w:rFonts w:ascii="Arial" w:eastAsia="Arial" w:hAnsi="Arial" w:cs="Arial"/>
          <w:sz w:val="20"/>
          <w:szCs w:val="20"/>
          <w:lang w:val="en-GB"/>
        </w:rPr>
        <w:t xml:space="preserve">. </w:t>
      </w:r>
    </w:p>
    <w:p w14:paraId="6AE6AF46" w14:textId="304F3117" w:rsidR="00DD176C" w:rsidRPr="00B818D2" w:rsidRDefault="00A9397B">
      <w:pPr>
        <w:tabs>
          <w:tab w:val="left" w:pos="5630"/>
        </w:tabs>
        <w:spacing w:line="240" w:lineRule="auto"/>
        <w:jc w:val="both"/>
        <w:rPr>
          <w:rFonts w:ascii="Arial" w:eastAsia="Arial" w:hAnsi="Arial" w:cs="Arial"/>
          <w:sz w:val="20"/>
          <w:szCs w:val="20"/>
          <w:lang w:val="en-GB"/>
        </w:rPr>
      </w:pPr>
      <w:r w:rsidRPr="00B818D2">
        <w:rPr>
          <w:rFonts w:ascii="Arial" w:eastAsia="Arial" w:hAnsi="Arial" w:cs="Arial"/>
          <w:sz w:val="20"/>
          <w:szCs w:val="20"/>
          <w:lang w:val="en-GB"/>
        </w:rPr>
        <w:t xml:space="preserve">Despite </w:t>
      </w:r>
      <w:r w:rsidR="00020A53">
        <w:rPr>
          <w:rFonts w:ascii="Arial" w:eastAsia="Arial" w:hAnsi="Arial" w:cs="Arial"/>
          <w:sz w:val="20"/>
          <w:szCs w:val="20"/>
          <w:lang w:val="en-GB"/>
        </w:rPr>
        <w:t>very good prospects</w:t>
      </w:r>
      <w:r w:rsidRPr="00B818D2">
        <w:rPr>
          <w:rFonts w:ascii="Arial" w:eastAsia="Arial" w:hAnsi="Arial" w:cs="Arial"/>
          <w:sz w:val="20"/>
          <w:szCs w:val="20"/>
          <w:lang w:val="en-GB"/>
        </w:rPr>
        <w:t>, the market is facing challenges</w:t>
      </w:r>
      <w:r w:rsidR="00B818D2" w:rsidRPr="00B818D2">
        <w:rPr>
          <w:rFonts w:ascii="Arial" w:eastAsia="Arial" w:hAnsi="Arial" w:cs="Arial"/>
          <w:sz w:val="20"/>
          <w:szCs w:val="20"/>
          <w:lang w:val="en-GB"/>
        </w:rPr>
        <w:t xml:space="preserve">. </w:t>
      </w:r>
    </w:p>
    <w:p w14:paraId="6AE6AF47" w14:textId="7C3A8F9B" w:rsidR="00DD176C" w:rsidRPr="00B818D2" w:rsidRDefault="002D2812">
      <w:pPr>
        <w:tabs>
          <w:tab w:val="left" w:pos="5630"/>
        </w:tabs>
        <w:spacing w:line="240" w:lineRule="auto"/>
        <w:jc w:val="both"/>
        <w:rPr>
          <w:rFonts w:ascii="Arial" w:eastAsia="Arial" w:hAnsi="Arial" w:cs="Arial"/>
          <w:sz w:val="20"/>
          <w:szCs w:val="20"/>
          <w:lang w:val="en-GB"/>
        </w:rPr>
      </w:pPr>
      <w:r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“Capacity under construction </w:t>
      </w:r>
      <w:r w:rsidR="00820D63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across Poland has </w:t>
      </w:r>
      <w:r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declined, </w:t>
      </w:r>
      <w:r w:rsidR="0074474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directly </w:t>
      </w:r>
      <w:r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reflecting longer grid connection timelines, substation availability constraints and rising construction costs. </w:t>
      </w:r>
      <w:r w:rsidR="00E62BF4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Furthermore, </w:t>
      </w:r>
      <w:r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Poland’s power mix remains partly coal-dependent, exposing operators to higher carbon costs and regulatory </w:t>
      </w:r>
      <w:r w:rsidR="00086156">
        <w:rPr>
          <w:rFonts w:ascii="Arial" w:eastAsia="Arial" w:hAnsi="Arial" w:cs="Arial"/>
          <w:i/>
          <w:iCs/>
          <w:sz w:val="20"/>
          <w:szCs w:val="20"/>
          <w:lang w:val="en-GB"/>
        </w:rPr>
        <w:t>risks</w:t>
      </w:r>
      <w:r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. </w:t>
      </w:r>
      <w:r w:rsidR="00DE186A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>D</w:t>
      </w:r>
      <w:r w:rsidR="00F01938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espite these </w:t>
      </w:r>
      <w:r w:rsidR="006066F9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>challenges</w:t>
      </w:r>
      <w:r w:rsidR="005E47CA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>, Warsaw</w:t>
      </w:r>
      <w:r w:rsidR="00131752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 remains the most </w:t>
      </w:r>
      <w:r w:rsidR="001D63AE">
        <w:rPr>
          <w:rFonts w:ascii="Arial" w:eastAsia="Arial" w:hAnsi="Arial" w:cs="Arial"/>
          <w:i/>
          <w:iCs/>
          <w:sz w:val="20"/>
          <w:szCs w:val="20"/>
          <w:lang w:val="en-GB"/>
        </w:rPr>
        <w:t>reliable</w:t>
      </w:r>
      <w:r w:rsidR="00131752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 </w:t>
      </w:r>
      <w:r w:rsidR="00C2590F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>large-scale dat</w:t>
      </w:r>
      <w:r w:rsidR="00FB6CD6">
        <w:rPr>
          <w:rFonts w:ascii="Arial" w:eastAsia="Arial" w:hAnsi="Arial" w:cs="Arial"/>
          <w:i/>
          <w:iCs/>
          <w:sz w:val="20"/>
          <w:szCs w:val="20"/>
          <w:lang w:val="en-GB"/>
        </w:rPr>
        <w:t>a</w:t>
      </w:r>
      <w:r w:rsidR="00C2590F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 xml:space="preserve"> centre hub in Eastern Europe</w:t>
      </w:r>
      <w:r w:rsidR="00C71F69" w:rsidRPr="00B818D2">
        <w:rPr>
          <w:rFonts w:ascii="Arial" w:eastAsia="Arial" w:hAnsi="Arial" w:cs="Arial"/>
          <w:i/>
          <w:iCs/>
          <w:sz w:val="20"/>
          <w:szCs w:val="20"/>
          <w:lang w:val="en-GB"/>
        </w:rPr>
        <w:t>,”</w:t>
      </w:r>
      <w:r w:rsidR="00B818D2" w:rsidRPr="00B818D2">
        <w:rPr>
          <w:rFonts w:ascii="Arial" w:eastAsia="Arial" w:hAnsi="Arial" w:cs="Arial"/>
          <w:sz w:val="20"/>
          <w:szCs w:val="20"/>
          <w:lang w:val="en-GB"/>
        </w:rPr>
        <w:t xml:space="preserve"> </w:t>
      </w:r>
      <w:r w:rsidR="00C71F69" w:rsidRPr="00B818D2">
        <w:rPr>
          <w:rFonts w:ascii="Arial" w:eastAsia="Arial" w:hAnsi="Arial" w:cs="Arial"/>
          <w:sz w:val="20"/>
          <w:szCs w:val="20"/>
          <w:lang w:val="en-GB"/>
        </w:rPr>
        <w:t>adds</w:t>
      </w:r>
      <w:r w:rsidR="00B818D2" w:rsidRPr="00B818D2">
        <w:rPr>
          <w:rFonts w:ascii="Arial" w:eastAsia="Arial" w:hAnsi="Arial" w:cs="Arial"/>
          <w:sz w:val="20"/>
          <w:szCs w:val="20"/>
          <w:lang w:val="en-GB"/>
        </w:rPr>
        <w:t xml:space="preserve"> </w:t>
      </w:r>
      <w:r w:rsidR="00B818D2" w:rsidRPr="00B818D2">
        <w:rPr>
          <w:rFonts w:ascii="Arial" w:eastAsia="Arial" w:hAnsi="Arial" w:cs="Arial"/>
          <w:b/>
          <w:bCs/>
          <w:sz w:val="20"/>
          <w:szCs w:val="20"/>
          <w:lang w:val="en-GB"/>
        </w:rPr>
        <w:t>Kamil Żach.</w:t>
      </w:r>
    </w:p>
    <w:p w14:paraId="6AE6AF48" w14:textId="068E3660" w:rsidR="00DD176C" w:rsidRPr="00B818D2" w:rsidRDefault="001042B2">
      <w:pPr>
        <w:tabs>
          <w:tab w:val="left" w:pos="5630"/>
        </w:tabs>
        <w:spacing w:line="240" w:lineRule="auto"/>
        <w:jc w:val="both"/>
        <w:rPr>
          <w:rFonts w:ascii="Arial" w:eastAsia="Arial" w:hAnsi="Arial" w:cs="Arial"/>
          <w:sz w:val="20"/>
          <w:szCs w:val="20"/>
          <w:lang w:val="en-GB"/>
        </w:rPr>
      </w:pPr>
      <w:r w:rsidRPr="00B818D2">
        <w:rPr>
          <w:rFonts w:ascii="Arial" w:eastAsia="Arial" w:hAnsi="Arial" w:cs="Arial"/>
          <w:sz w:val="20"/>
          <w:szCs w:val="20"/>
          <w:lang w:val="en-GB"/>
        </w:rPr>
        <w:t xml:space="preserve">According to </w:t>
      </w:r>
      <w:r w:rsidR="00B818D2" w:rsidRPr="00B818D2">
        <w:rPr>
          <w:rFonts w:ascii="Arial" w:eastAsia="Arial" w:hAnsi="Arial" w:cs="Arial"/>
          <w:sz w:val="20"/>
          <w:szCs w:val="20"/>
          <w:lang w:val="en-GB"/>
        </w:rPr>
        <w:t>Cushman &amp; Wakefield</w:t>
      </w:r>
      <w:r w:rsidRPr="00B818D2">
        <w:rPr>
          <w:rFonts w:ascii="Arial" w:eastAsia="Arial" w:hAnsi="Arial" w:cs="Arial"/>
          <w:sz w:val="20"/>
          <w:szCs w:val="20"/>
          <w:lang w:val="en-GB"/>
        </w:rPr>
        <w:t xml:space="preserve">, </w:t>
      </w:r>
      <w:r w:rsidR="003B6FF2" w:rsidRPr="003B6FF2">
        <w:rPr>
          <w:rFonts w:ascii="Arial" w:eastAsia="Arial" w:hAnsi="Arial" w:cs="Arial"/>
          <w:sz w:val="20"/>
          <w:szCs w:val="20"/>
          <w:lang w:val="en-US"/>
        </w:rPr>
        <w:t xml:space="preserve">it is the combination of domestic </w:t>
      </w:r>
      <w:r w:rsidR="00DE410E">
        <w:rPr>
          <w:rFonts w:ascii="Arial" w:eastAsia="Arial" w:hAnsi="Arial" w:cs="Arial"/>
          <w:sz w:val="20"/>
          <w:szCs w:val="20"/>
          <w:lang w:val="en-US"/>
        </w:rPr>
        <w:t>scale</w:t>
      </w:r>
      <w:r w:rsidR="003B6FF2" w:rsidRPr="003B6FF2">
        <w:rPr>
          <w:rFonts w:ascii="Arial" w:eastAsia="Arial" w:hAnsi="Arial" w:cs="Arial"/>
          <w:sz w:val="20"/>
          <w:szCs w:val="20"/>
          <w:lang w:val="en-US"/>
        </w:rPr>
        <w:t>, a mature cloud ecosystem, institutional stability and the growing importance of the CEE region that gives Warsaw a particularly strong position in Europe's digital infrastructure</w:t>
      </w:r>
      <w:r w:rsidR="0015760A">
        <w:rPr>
          <w:rFonts w:ascii="Arial" w:eastAsia="Arial" w:hAnsi="Arial" w:cs="Arial"/>
          <w:sz w:val="20"/>
          <w:szCs w:val="20"/>
          <w:lang w:val="en-US"/>
        </w:rPr>
        <w:t xml:space="preserve"> landscape</w:t>
      </w:r>
      <w:r w:rsidR="00B818D2" w:rsidRPr="00B818D2">
        <w:rPr>
          <w:rFonts w:ascii="Arial" w:eastAsia="Arial" w:hAnsi="Arial" w:cs="Arial"/>
          <w:sz w:val="20"/>
          <w:szCs w:val="20"/>
          <w:lang w:val="en-GB"/>
        </w:rPr>
        <w:t xml:space="preserve">. </w:t>
      </w:r>
    </w:p>
    <w:p w14:paraId="6AE6AF49" w14:textId="77777777" w:rsidR="00DD176C" w:rsidRPr="00B818D2" w:rsidRDefault="00DD176C">
      <w:pPr>
        <w:tabs>
          <w:tab w:val="left" w:pos="5630"/>
        </w:tabs>
        <w:spacing w:line="240" w:lineRule="auto"/>
        <w:jc w:val="both"/>
        <w:rPr>
          <w:rFonts w:ascii="Arial" w:eastAsia="Arial" w:hAnsi="Arial" w:cs="Arial"/>
          <w:sz w:val="20"/>
          <w:szCs w:val="20"/>
          <w:lang w:val="en-GB"/>
        </w:rPr>
      </w:pPr>
    </w:p>
    <w:p w14:paraId="6AE6AF4A" w14:textId="7CADFCFE" w:rsidR="00DD176C" w:rsidRPr="00B818D2" w:rsidRDefault="00B818D2">
      <w:pPr>
        <w:spacing w:after="0"/>
        <w:jc w:val="center"/>
        <w:rPr>
          <w:rFonts w:ascii="Arial" w:eastAsia="Arial" w:hAnsi="Arial" w:cs="Arial"/>
          <w:b/>
          <w:bCs/>
          <w:color w:val="4E5050"/>
          <w:sz w:val="20"/>
          <w:szCs w:val="20"/>
          <w:lang w:val="en-GB"/>
        </w:rPr>
      </w:pPr>
      <w:r w:rsidRPr="00B818D2">
        <w:rPr>
          <w:rFonts w:ascii="Arial" w:eastAsia="Arial" w:hAnsi="Arial" w:cs="Arial"/>
          <w:b/>
          <w:bCs/>
          <w:color w:val="4E5050"/>
          <w:sz w:val="20"/>
          <w:szCs w:val="20"/>
          <w:lang w:val="en-GB"/>
        </w:rPr>
        <w:t>-E</w:t>
      </w:r>
      <w:r w:rsidR="004051E3" w:rsidRPr="00B818D2">
        <w:rPr>
          <w:rFonts w:ascii="Arial" w:eastAsia="Arial" w:hAnsi="Arial" w:cs="Arial"/>
          <w:b/>
          <w:bCs/>
          <w:color w:val="4E5050"/>
          <w:sz w:val="20"/>
          <w:szCs w:val="20"/>
          <w:lang w:val="en-GB"/>
        </w:rPr>
        <w:t>NDS</w:t>
      </w:r>
      <w:r w:rsidRPr="00B818D2">
        <w:rPr>
          <w:rFonts w:ascii="Arial" w:eastAsia="Arial" w:hAnsi="Arial" w:cs="Arial"/>
          <w:b/>
          <w:bCs/>
          <w:color w:val="4E5050"/>
          <w:sz w:val="20"/>
          <w:szCs w:val="20"/>
          <w:lang w:val="en-GB"/>
        </w:rPr>
        <w:t>-</w:t>
      </w:r>
    </w:p>
    <w:p w14:paraId="6AE6AF4B" w14:textId="77777777" w:rsidR="00DD176C" w:rsidRPr="00B818D2" w:rsidRDefault="00DD176C">
      <w:pPr>
        <w:rPr>
          <w:rFonts w:ascii="Arial" w:eastAsia="Arial" w:hAnsi="Arial" w:cs="Arial"/>
          <w:b/>
          <w:bCs/>
          <w:sz w:val="20"/>
          <w:szCs w:val="20"/>
          <w:highlight w:val="white"/>
          <w:lang w:val="en-GB"/>
        </w:rPr>
      </w:pPr>
    </w:p>
    <w:p w14:paraId="6AE6AF4C" w14:textId="0F2DA1FD" w:rsidR="00DD176C" w:rsidRPr="00B818D2" w:rsidRDefault="004051E3">
      <w:pPr>
        <w:jc w:val="both"/>
        <w:rPr>
          <w:rFonts w:ascii="Arial" w:eastAsia="Arial" w:hAnsi="Arial" w:cs="Arial"/>
          <w:b/>
          <w:bCs/>
          <w:sz w:val="20"/>
          <w:szCs w:val="20"/>
          <w:highlight w:val="white"/>
          <w:lang w:val="en-GB"/>
        </w:rPr>
      </w:pPr>
      <w:r w:rsidRPr="00B818D2">
        <w:rPr>
          <w:rFonts w:ascii="Arial" w:eastAsia="Arial" w:hAnsi="Arial" w:cs="Arial"/>
          <w:b/>
          <w:bCs/>
          <w:sz w:val="20"/>
          <w:szCs w:val="20"/>
          <w:highlight w:val="white"/>
          <w:lang w:val="en-GB"/>
        </w:rPr>
        <w:t>About</w:t>
      </w:r>
      <w:r w:rsidR="00B818D2" w:rsidRPr="00B818D2">
        <w:rPr>
          <w:rFonts w:ascii="Arial" w:eastAsia="Arial" w:hAnsi="Arial" w:cs="Arial"/>
          <w:b/>
          <w:bCs/>
          <w:sz w:val="20"/>
          <w:szCs w:val="20"/>
          <w:highlight w:val="white"/>
          <w:lang w:val="en-GB"/>
        </w:rPr>
        <w:t xml:space="preserve"> Cushman &amp; Wakefield</w:t>
      </w:r>
    </w:p>
    <w:p w14:paraId="6AE6AF4D" w14:textId="69448432" w:rsidR="00DD176C" w:rsidRPr="00B818D2" w:rsidRDefault="004051E3">
      <w:pPr>
        <w:jc w:val="both"/>
        <w:rPr>
          <w:rFonts w:ascii="Arial" w:eastAsia="Arial" w:hAnsi="Arial" w:cs="Arial"/>
          <w:sz w:val="18"/>
          <w:szCs w:val="18"/>
          <w:highlight w:val="white"/>
          <w:lang w:val="en-GB"/>
        </w:rPr>
      </w:pPr>
      <w:r w:rsidRPr="00B818D2">
        <w:rPr>
          <w:rFonts w:ascii="Arial" w:hAnsi="Arial" w:cs="Arial"/>
          <w:sz w:val="18"/>
          <w:szCs w:val="18"/>
          <w:lang w:val="en-GB"/>
        </w:rPr>
        <w:t xml:space="preserve">Cushman &amp; Wakefield (NYSE: </w:t>
      </w:r>
      <w:proofErr w:type="spellStart"/>
      <w:r w:rsidRPr="00B818D2">
        <w:rPr>
          <w:rFonts w:ascii="Arial" w:hAnsi="Arial" w:cs="Arial"/>
          <w:sz w:val="18"/>
          <w:szCs w:val="18"/>
          <w:lang w:val="en-GB"/>
        </w:rPr>
        <w:t>CWK</w:t>
      </w:r>
      <w:proofErr w:type="spellEnd"/>
      <w:r w:rsidRPr="00B818D2">
        <w:rPr>
          <w:rFonts w:ascii="Arial" w:hAnsi="Arial" w:cs="Arial"/>
          <w:sz w:val="18"/>
          <w:szCs w:val="18"/>
          <w:lang w:val="en-GB"/>
        </w:rPr>
        <w:t xml:space="preserve">) is a leading global commercial real estate services firm for occupiers and investors with approximately 53,000 employees in over 350 offices and nearly 60 countries. In 2025, the firm reported revenue of $10.3 billion across its core service lines of Services, Leasing, Capital markets, and Valuation and other. Built around the belief that </w:t>
      </w:r>
      <w:r w:rsidRPr="00B818D2">
        <w:rPr>
          <w:rFonts w:ascii="Arial" w:hAnsi="Arial" w:cs="Arial"/>
          <w:i/>
          <w:iCs/>
          <w:sz w:val="18"/>
          <w:szCs w:val="18"/>
          <w:lang w:val="en-GB"/>
        </w:rPr>
        <w:t>Better never settles</w:t>
      </w:r>
      <w:r w:rsidRPr="00B818D2">
        <w:rPr>
          <w:rFonts w:ascii="Arial" w:hAnsi="Arial" w:cs="Arial"/>
          <w:sz w:val="18"/>
          <w:szCs w:val="18"/>
          <w:lang w:val="en-GB"/>
        </w:rPr>
        <w:t>, the firm receives numerous industry and business accolades for its award-winning culture. For additional information, visit </w:t>
      </w:r>
      <w:hyperlink r:id="rId7">
        <w:r w:rsidR="00B818D2" w:rsidRPr="00B818D2">
          <w:rPr>
            <w:rFonts w:ascii="Arial" w:eastAsia="Arial" w:hAnsi="Arial" w:cs="Arial"/>
            <w:color w:val="156082"/>
            <w:sz w:val="18"/>
            <w:szCs w:val="18"/>
            <w:highlight w:val="white"/>
            <w:u w:val="single"/>
            <w:lang w:val="en-GB"/>
          </w:rPr>
          <w:t>www.cushmanwakefield.com</w:t>
        </w:r>
      </w:hyperlink>
      <w:r w:rsidR="00B818D2" w:rsidRPr="00B818D2">
        <w:rPr>
          <w:rFonts w:ascii="Arial" w:eastAsia="Arial" w:hAnsi="Arial" w:cs="Arial"/>
          <w:sz w:val="18"/>
          <w:szCs w:val="18"/>
          <w:highlight w:val="white"/>
          <w:lang w:val="en-GB"/>
        </w:rPr>
        <w:t>.</w:t>
      </w:r>
    </w:p>
    <w:p w14:paraId="6AE6AF4E" w14:textId="77777777" w:rsidR="00DD176C" w:rsidRPr="00B818D2" w:rsidRDefault="00DD176C">
      <w:pPr>
        <w:rPr>
          <w:rFonts w:ascii="Arial" w:eastAsia="Arial" w:hAnsi="Arial" w:cs="Arial"/>
          <w:b/>
          <w:bCs/>
          <w:sz w:val="20"/>
          <w:szCs w:val="20"/>
          <w:lang w:val="en-GB"/>
        </w:rPr>
      </w:pPr>
    </w:p>
    <w:sectPr w:rsidR="00DD176C" w:rsidRPr="00B818D2">
      <w:headerReference w:type="default" r:id="rId8"/>
      <w:footerReference w:type="default" r:id="rId9"/>
      <w:headerReference w:type="first" r:id="rId10"/>
      <w:footerReference w:type="first" r:id="rId11"/>
      <w:pgSz w:w="11909" w:h="16834"/>
      <w:pgMar w:top="3600" w:right="1008" w:bottom="2880" w:left="1224" w:header="1800" w:footer="432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6AF66" w14:textId="77777777" w:rsidR="00B818D2" w:rsidRDefault="00B818D2">
      <w:pPr>
        <w:spacing w:after="0" w:line="240" w:lineRule="auto"/>
      </w:pPr>
      <w:r>
        <w:separator/>
      </w:r>
    </w:p>
  </w:endnote>
  <w:endnote w:type="continuationSeparator" w:id="0">
    <w:p w14:paraId="6AE6AF68" w14:textId="77777777" w:rsidR="00B818D2" w:rsidRDefault="00B81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A80703D-B45C-4E50-83BB-01811BAB1252}"/>
    <w:embedItalic r:id="rId2" w:fontKey="{734F6C95-1FD5-487D-9E14-6EE51E250756}"/>
  </w:font>
  <w:font w:name="Play">
    <w:charset w:val="00"/>
    <w:family w:val="auto"/>
    <w:pitch w:val="default"/>
    <w:embedRegular r:id="rId3" w:fontKey="{51B98EF6-FB01-4C9A-9167-6A79E1B0355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B48AE02-3074-42AE-B490-831410B8A05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CA362D4-7983-4D72-963C-30F727C352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6AF50" w14:textId="77777777" w:rsidR="00DD176C" w:rsidRDefault="00DD176C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"/>
      <w:tblW w:w="5670" w:type="dxa"/>
      <w:tblInd w:w="0" w:type="dxa"/>
      <w:tblLayout w:type="fixed"/>
      <w:tblLook w:val="0400" w:firstRow="0" w:lastRow="0" w:firstColumn="0" w:lastColumn="0" w:noHBand="0" w:noVBand="1"/>
    </w:tblPr>
    <w:tblGrid>
      <w:gridCol w:w="5670"/>
    </w:tblGrid>
    <w:tr w:rsidR="00DD176C" w14:paraId="6AE6AF55" w14:textId="77777777">
      <w:trPr>
        <w:trHeight w:val="1260"/>
      </w:trPr>
      <w:tc>
        <w:tcPr>
          <w:tcW w:w="5670" w:type="dxa"/>
          <w:vAlign w:val="bottom"/>
        </w:tcPr>
        <w:p w14:paraId="6AE6AF51" w14:textId="77777777" w:rsidR="00DD176C" w:rsidRDefault="00B818D2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bCs/>
              <w:color w:val="696B6B"/>
              <w:sz w:val="18"/>
              <w:szCs w:val="18"/>
            </w:rPr>
          </w:pPr>
          <w:proofErr w:type="spellStart"/>
          <w:r>
            <w:rPr>
              <w:rFonts w:ascii="Arial" w:eastAsia="Arial" w:hAnsi="Arial" w:cs="Arial"/>
              <w:b/>
              <w:bCs/>
              <w:color w:val="696B6B"/>
              <w:sz w:val="18"/>
              <w:szCs w:val="18"/>
            </w:rPr>
            <w:t>Lauren</w:t>
          </w:r>
          <w:proofErr w:type="spellEnd"/>
          <w:r>
            <w:rPr>
              <w:rFonts w:ascii="Arial" w:eastAsia="Arial" w:hAnsi="Arial" w:cs="Arial"/>
              <w:b/>
              <w:bCs/>
              <w:color w:val="696B6B"/>
              <w:sz w:val="18"/>
              <w:szCs w:val="18"/>
            </w:rPr>
            <w:t xml:space="preserve"> </w:t>
          </w:r>
          <w:proofErr w:type="spellStart"/>
          <w:r>
            <w:rPr>
              <w:rFonts w:ascii="Arial" w:eastAsia="Arial" w:hAnsi="Arial" w:cs="Arial"/>
              <w:b/>
              <w:bCs/>
              <w:color w:val="696B6B"/>
              <w:sz w:val="18"/>
              <w:szCs w:val="18"/>
            </w:rPr>
            <w:t>Joselyn</w:t>
          </w:r>
          <w:proofErr w:type="spellEnd"/>
        </w:p>
        <w:p w14:paraId="6AE6AF52" w14:textId="77777777" w:rsidR="00DD176C" w:rsidRDefault="00B818D2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color w:val="696B6B"/>
              <w:sz w:val="18"/>
              <w:szCs w:val="18"/>
            </w:rPr>
          </w:pPr>
          <w:r>
            <w:rPr>
              <w:rFonts w:ascii="Arial" w:eastAsia="Arial" w:hAnsi="Arial" w:cs="Arial"/>
              <w:color w:val="696B6B"/>
              <w:sz w:val="18"/>
              <w:szCs w:val="18"/>
            </w:rPr>
            <w:t xml:space="preserve">Associate </w:t>
          </w:r>
          <w:proofErr w:type="spellStart"/>
          <w:r>
            <w:rPr>
              <w:rFonts w:ascii="Arial" w:eastAsia="Arial" w:hAnsi="Arial" w:cs="Arial"/>
              <w:color w:val="696B6B"/>
              <w:sz w:val="18"/>
              <w:szCs w:val="18"/>
            </w:rPr>
            <w:t>Director</w:t>
          </w:r>
          <w:proofErr w:type="spellEnd"/>
          <w:r>
            <w:rPr>
              <w:rFonts w:ascii="Arial" w:eastAsia="Arial" w:hAnsi="Arial" w:cs="Arial"/>
              <w:color w:val="696B6B"/>
              <w:sz w:val="18"/>
              <w:szCs w:val="18"/>
            </w:rPr>
            <w:t>, Communications</w:t>
          </w:r>
        </w:p>
        <w:p w14:paraId="6AE6AF53" w14:textId="77777777" w:rsidR="00DD176C" w:rsidRDefault="00B818D2">
          <w:pPr>
            <w:spacing w:after="0"/>
            <w:rPr>
              <w:rFonts w:ascii="Arial" w:eastAsia="Arial" w:hAnsi="Arial" w:cs="Arial"/>
              <w:color w:val="696B6B"/>
              <w:sz w:val="18"/>
              <w:szCs w:val="18"/>
            </w:rPr>
          </w:pPr>
          <w:r>
            <w:rPr>
              <w:rFonts w:ascii="Arial" w:eastAsia="Arial" w:hAnsi="Arial" w:cs="Arial"/>
              <w:color w:val="696B6B"/>
              <w:sz w:val="18"/>
              <w:szCs w:val="18"/>
            </w:rPr>
            <w:t>+44(0)203 296 3034</w:t>
          </w:r>
        </w:p>
        <w:p w14:paraId="6AE6AF54" w14:textId="77777777" w:rsidR="00DD176C" w:rsidRDefault="00B818D2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color w:val="4E5050"/>
              <w:sz w:val="18"/>
              <w:szCs w:val="18"/>
            </w:rPr>
          </w:pPr>
          <w:hyperlink r:id="rId1">
            <w:r>
              <w:rPr>
                <w:rFonts w:ascii="Arial" w:eastAsia="Arial" w:hAnsi="Arial" w:cs="Arial"/>
                <w:color w:val="0093B2"/>
                <w:sz w:val="18"/>
                <w:szCs w:val="18"/>
                <w:u w:val="single"/>
              </w:rPr>
              <w:t>lauren.joselyn@cushwake.com</w:t>
            </w:r>
          </w:hyperlink>
        </w:p>
      </w:tc>
    </w:tr>
  </w:tbl>
  <w:p w14:paraId="6AE6AF56" w14:textId="77777777" w:rsidR="00DD176C" w:rsidRDefault="00DD176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6AF58" w14:textId="77777777" w:rsidR="00DD176C" w:rsidRDefault="00DD176C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0"/>
      <w:tblW w:w="6130" w:type="dxa"/>
      <w:tblInd w:w="0" w:type="dxa"/>
      <w:tblLayout w:type="fixed"/>
      <w:tblLook w:val="0400" w:firstRow="0" w:lastRow="0" w:firstColumn="0" w:lastColumn="0" w:noHBand="0" w:noVBand="1"/>
    </w:tblPr>
    <w:tblGrid>
      <w:gridCol w:w="3065"/>
      <w:gridCol w:w="3065"/>
    </w:tblGrid>
    <w:tr w:rsidR="00DD176C" w14:paraId="6AE6AF5A" w14:textId="77777777">
      <w:trPr>
        <w:trHeight w:val="650"/>
      </w:trPr>
      <w:tc>
        <w:tcPr>
          <w:tcW w:w="6130" w:type="dxa"/>
          <w:gridSpan w:val="2"/>
          <w:vAlign w:val="bottom"/>
        </w:tcPr>
        <w:p w14:paraId="6AE6AF59" w14:textId="455D2BFC" w:rsidR="00DD176C" w:rsidRDefault="004051E3">
          <w:pPr>
            <w:keepNext/>
            <w:keepLines/>
            <w:spacing w:after="100"/>
            <w:rPr>
              <w:rFonts w:ascii="Arial" w:eastAsia="Arial" w:hAnsi="Arial" w:cs="Arial"/>
              <w:b/>
              <w:bCs/>
              <w:smallCaps/>
              <w:color w:val="4E5050"/>
              <w:sz w:val="18"/>
              <w:szCs w:val="18"/>
            </w:rPr>
          </w:pPr>
          <w:r w:rsidRPr="004051E3">
            <w:rPr>
              <w:rFonts w:ascii="Arial" w:eastAsia="Arial" w:hAnsi="Arial" w:cs="Arial"/>
              <w:b/>
              <w:bCs/>
              <w:color w:val="4E5050"/>
              <w:sz w:val="18"/>
              <w:szCs w:val="18"/>
              <w:lang w:val="en-GB"/>
            </w:rPr>
            <w:t>For Further Information Contact</w:t>
          </w:r>
          <w:r w:rsidR="00B818D2">
            <w:rPr>
              <w:rFonts w:ascii="Arial" w:eastAsia="Arial" w:hAnsi="Arial" w:cs="Arial"/>
              <w:b/>
              <w:bCs/>
              <w:color w:val="4E5050"/>
              <w:sz w:val="18"/>
              <w:szCs w:val="18"/>
            </w:rPr>
            <w:t>:</w:t>
          </w:r>
        </w:p>
      </w:tc>
    </w:tr>
    <w:tr w:rsidR="00DD176C" w14:paraId="6AE6AF60" w14:textId="77777777">
      <w:trPr>
        <w:trHeight w:val="1300"/>
      </w:trPr>
      <w:tc>
        <w:tcPr>
          <w:tcW w:w="3065" w:type="dxa"/>
          <w:vAlign w:val="bottom"/>
        </w:tcPr>
        <w:p w14:paraId="6AE6AF5B" w14:textId="77777777" w:rsidR="00DD176C" w:rsidRDefault="00B818D2">
          <w:pPr>
            <w:keepNext/>
            <w:keepLines/>
            <w:spacing w:after="0"/>
            <w:rPr>
              <w:rFonts w:ascii="Arial" w:eastAsia="Arial" w:hAnsi="Arial" w:cs="Arial"/>
              <w:b/>
              <w:bCs/>
              <w:color w:val="696B6B"/>
              <w:sz w:val="18"/>
              <w:szCs w:val="18"/>
            </w:rPr>
          </w:pPr>
          <w:proofErr w:type="spellStart"/>
          <w:r>
            <w:rPr>
              <w:rFonts w:ascii="Arial" w:eastAsia="Arial" w:hAnsi="Arial" w:cs="Arial"/>
              <w:b/>
              <w:bCs/>
              <w:color w:val="696B6B"/>
              <w:sz w:val="18"/>
              <w:szCs w:val="18"/>
            </w:rPr>
            <w:t>Lauren</w:t>
          </w:r>
          <w:proofErr w:type="spellEnd"/>
          <w:r>
            <w:rPr>
              <w:rFonts w:ascii="Arial" w:eastAsia="Arial" w:hAnsi="Arial" w:cs="Arial"/>
              <w:b/>
              <w:bCs/>
              <w:color w:val="696B6B"/>
              <w:sz w:val="18"/>
              <w:szCs w:val="18"/>
            </w:rPr>
            <w:t xml:space="preserve"> </w:t>
          </w:r>
          <w:proofErr w:type="spellStart"/>
          <w:r>
            <w:rPr>
              <w:rFonts w:ascii="Arial" w:eastAsia="Arial" w:hAnsi="Arial" w:cs="Arial"/>
              <w:b/>
              <w:bCs/>
              <w:color w:val="696B6B"/>
              <w:sz w:val="18"/>
              <w:szCs w:val="18"/>
            </w:rPr>
            <w:t>Joselyn</w:t>
          </w:r>
          <w:proofErr w:type="spellEnd"/>
        </w:p>
        <w:p w14:paraId="6AE6AF5C" w14:textId="77777777" w:rsidR="00DD176C" w:rsidRDefault="00B818D2">
          <w:pPr>
            <w:spacing w:after="0"/>
            <w:rPr>
              <w:rFonts w:ascii="Arial" w:eastAsia="Arial" w:hAnsi="Arial" w:cs="Arial"/>
              <w:color w:val="696B6B"/>
              <w:sz w:val="18"/>
              <w:szCs w:val="18"/>
            </w:rPr>
          </w:pPr>
          <w:r>
            <w:rPr>
              <w:rFonts w:ascii="Arial" w:eastAsia="Arial" w:hAnsi="Arial" w:cs="Arial"/>
              <w:color w:val="696B6B"/>
              <w:sz w:val="18"/>
              <w:szCs w:val="18"/>
            </w:rPr>
            <w:t xml:space="preserve">Associate </w:t>
          </w:r>
          <w:proofErr w:type="spellStart"/>
          <w:r>
            <w:rPr>
              <w:rFonts w:ascii="Arial" w:eastAsia="Arial" w:hAnsi="Arial" w:cs="Arial"/>
              <w:color w:val="696B6B"/>
              <w:sz w:val="18"/>
              <w:szCs w:val="18"/>
            </w:rPr>
            <w:t>Director</w:t>
          </w:r>
          <w:proofErr w:type="spellEnd"/>
          <w:r>
            <w:rPr>
              <w:rFonts w:ascii="Arial" w:eastAsia="Arial" w:hAnsi="Arial" w:cs="Arial"/>
              <w:color w:val="696B6B"/>
              <w:sz w:val="18"/>
              <w:szCs w:val="18"/>
            </w:rPr>
            <w:t>, Communications</w:t>
          </w:r>
        </w:p>
        <w:p w14:paraId="6AE6AF5D" w14:textId="77777777" w:rsidR="00DD176C" w:rsidRDefault="00B818D2">
          <w:pPr>
            <w:spacing w:after="0"/>
            <w:rPr>
              <w:rFonts w:ascii="Arial" w:eastAsia="Arial" w:hAnsi="Arial" w:cs="Arial"/>
              <w:color w:val="696B6B"/>
              <w:sz w:val="18"/>
              <w:szCs w:val="18"/>
            </w:rPr>
          </w:pPr>
          <w:r>
            <w:rPr>
              <w:rFonts w:ascii="Arial" w:eastAsia="Arial" w:hAnsi="Arial" w:cs="Arial"/>
              <w:color w:val="696B6B"/>
              <w:sz w:val="18"/>
              <w:szCs w:val="18"/>
            </w:rPr>
            <w:t>+44(0)203 296 3034</w:t>
          </w:r>
        </w:p>
        <w:p w14:paraId="6AE6AF5E" w14:textId="77777777" w:rsidR="00DD176C" w:rsidRDefault="00B818D2">
          <w:pPr>
            <w:spacing w:after="0"/>
            <w:rPr>
              <w:rFonts w:ascii="Arial" w:eastAsia="Arial" w:hAnsi="Arial" w:cs="Arial"/>
              <w:color w:val="4E5050"/>
              <w:sz w:val="18"/>
              <w:szCs w:val="18"/>
            </w:rPr>
          </w:pPr>
          <w:hyperlink r:id="rId1">
            <w:r>
              <w:rPr>
                <w:rFonts w:ascii="Arial" w:eastAsia="Arial" w:hAnsi="Arial" w:cs="Arial"/>
                <w:color w:val="0093B2"/>
                <w:sz w:val="18"/>
                <w:szCs w:val="18"/>
                <w:u w:val="single"/>
              </w:rPr>
              <w:t>lauren.joselyn@cushwake.com</w:t>
            </w:r>
          </w:hyperlink>
        </w:p>
      </w:tc>
      <w:tc>
        <w:tcPr>
          <w:tcW w:w="3065" w:type="dxa"/>
          <w:vAlign w:val="bottom"/>
        </w:tcPr>
        <w:p w14:paraId="6AE6AF5F" w14:textId="77777777" w:rsidR="00DD176C" w:rsidRDefault="00DD176C">
          <w:pPr>
            <w:spacing w:after="0"/>
            <w:rPr>
              <w:rFonts w:ascii="Arial" w:eastAsia="Arial" w:hAnsi="Arial" w:cs="Arial"/>
              <w:color w:val="4E5050"/>
              <w:sz w:val="18"/>
              <w:szCs w:val="18"/>
            </w:rPr>
          </w:pPr>
        </w:p>
      </w:tc>
    </w:tr>
  </w:tbl>
  <w:p w14:paraId="6AE6AF61" w14:textId="77777777" w:rsidR="00DD176C" w:rsidRDefault="00DD176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6AF62" w14:textId="77777777" w:rsidR="00B818D2" w:rsidRDefault="00B818D2">
      <w:pPr>
        <w:spacing w:after="0" w:line="240" w:lineRule="auto"/>
      </w:pPr>
      <w:r>
        <w:separator/>
      </w:r>
    </w:p>
  </w:footnote>
  <w:footnote w:type="continuationSeparator" w:id="0">
    <w:p w14:paraId="6AE6AF64" w14:textId="77777777" w:rsidR="00B818D2" w:rsidRDefault="00B81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6AF4F" w14:textId="77777777" w:rsidR="00DD176C" w:rsidRDefault="00B818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AE6AF62" wp14:editId="6AE6AF63">
          <wp:extent cx="2303780" cy="484505"/>
          <wp:effectExtent l="0" t="0" r="0" b="0"/>
          <wp:docPr id="1" name="image1.png" descr="E:\CW REBRAND\Assets\CW Logo Suite\Cushman &amp; Wakefield\CW_Logo_PMS.em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:\CW REBRAND\Assets\CW Logo Suite\Cushman &amp; Wakefield\CW_Logo_PMS.em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3780" cy="484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6AF57" w14:textId="77777777" w:rsidR="00DD176C" w:rsidRDefault="00B818D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AE6AF64" wp14:editId="6AE6AF65">
          <wp:extent cx="2303780" cy="484505"/>
          <wp:effectExtent l="0" t="0" r="0" b="0"/>
          <wp:docPr id="2" name="image1.png" descr="E:\CW REBRAND\Assets\CW Logo Suite\Cushman &amp; Wakefield\CW_Logo_PMS.em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:\CW REBRAND\Assets\CW Logo Suite\Cushman &amp; Wakefield\CW_Logo_PMS.em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3780" cy="484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76C"/>
    <w:rsid w:val="00010D4D"/>
    <w:rsid w:val="00012325"/>
    <w:rsid w:val="00015428"/>
    <w:rsid w:val="00020A53"/>
    <w:rsid w:val="000675AE"/>
    <w:rsid w:val="00083931"/>
    <w:rsid w:val="00086156"/>
    <w:rsid w:val="0009566B"/>
    <w:rsid w:val="000A00A2"/>
    <w:rsid w:val="000D0F83"/>
    <w:rsid w:val="000F4E35"/>
    <w:rsid w:val="0010200A"/>
    <w:rsid w:val="001042B2"/>
    <w:rsid w:val="00124201"/>
    <w:rsid w:val="00131752"/>
    <w:rsid w:val="0015760A"/>
    <w:rsid w:val="00160AB3"/>
    <w:rsid w:val="00160C64"/>
    <w:rsid w:val="001D63AE"/>
    <w:rsid w:val="00212419"/>
    <w:rsid w:val="00236E56"/>
    <w:rsid w:val="002412FC"/>
    <w:rsid w:val="0025016A"/>
    <w:rsid w:val="002530ED"/>
    <w:rsid w:val="002624B5"/>
    <w:rsid w:val="00273322"/>
    <w:rsid w:val="00285C22"/>
    <w:rsid w:val="00291A0A"/>
    <w:rsid w:val="002D2812"/>
    <w:rsid w:val="002E7ECA"/>
    <w:rsid w:val="0033681A"/>
    <w:rsid w:val="003474B5"/>
    <w:rsid w:val="003B6FF2"/>
    <w:rsid w:val="003D4219"/>
    <w:rsid w:val="003D7CD2"/>
    <w:rsid w:val="004019CD"/>
    <w:rsid w:val="004051E3"/>
    <w:rsid w:val="00407E0A"/>
    <w:rsid w:val="00441A7A"/>
    <w:rsid w:val="004431B3"/>
    <w:rsid w:val="00463060"/>
    <w:rsid w:val="00484E5A"/>
    <w:rsid w:val="004B219B"/>
    <w:rsid w:val="005033C0"/>
    <w:rsid w:val="00506A49"/>
    <w:rsid w:val="00544A7A"/>
    <w:rsid w:val="005461E1"/>
    <w:rsid w:val="00594152"/>
    <w:rsid w:val="005A455B"/>
    <w:rsid w:val="005C0E24"/>
    <w:rsid w:val="005E47CA"/>
    <w:rsid w:val="005F30FE"/>
    <w:rsid w:val="006066F9"/>
    <w:rsid w:val="00611163"/>
    <w:rsid w:val="006141C5"/>
    <w:rsid w:val="006213A3"/>
    <w:rsid w:val="00644FBF"/>
    <w:rsid w:val="006646AF"/>
    <w:rsid w:val="0066721D"/>
    <w:rsid w:val="00684C8F"/>
    <w:rsid w:val="006A7731"/>
    <w:rsid w:val="006E7F9C"/>
    <w:rsid w:val="006F2CAA"/>
    <w:rsid w:val="006F7469"/>
    <w:rsid w:val="007215A3"/>
    <w:rsid w:val="007224DD"/>
    <w:rsid w:val="00727BB9"/>
    <w:rsid w:val="00744742"/>
    <w:rsid w:val="0074723F"/>
    <w:rsid w:val="00775E9A"/>
    <w:rsid w:val="00797074"/>
    <w:rsid w:val="00817B6B"/>
    <w:rsid w:val="00820D63"/>
    <w:rsid w:val="008452C9"/>
    <w:rsid w:val="00854AF4"/>
    <w:rsid w:val="00861CA3"/>
    <w:rsid w:val="008C22D9"/>
    <w:rsid w:val="008D48C2"/>
    <w:rsid w:val="008D728D"/>
    <w:rsid w:val="008E5D9A"/>
    <w:rsid w:val="00962E6D"/>
    <w:rsid w:val="00975EBC"/>
    <w:rsid w:val="009B0D80"/>
    <w:rsid w:val="009C34EC"/>
    <w:rsid w:val="009F01B4"/>
    <w:rsid w:val="00A0111F"/>
    <w:rsid w:val="00A225E4"/>
    <w:rsid w:val="00A42B2B"/>
    <w:rsid w:val="00A658DC"/>
    <w:rsid w:val="00A66D12"/>
    <w:rsid w:val="00A9397B"/>
    <w:rsid w:val="00A93ACE"/>
    <w:rsid w:val="00AC484E"/>
    <w:rsid w:val="00B059F0"/>
    <w:rsid w:val="00B31564"/>
    <w:rsid w:val="00B41CBC"/>
    <w:rsid w:val="00B50922"/>
    <w:rsid w:val="00B818D2"/>
    <w:rsid w:val="00BA1DE5"/>
    <w:rsid w:val="00BE64FF"/>
    <w:rsid w:val="00C2590F"/>
    <w:rsid w:val="00C30C3B"/>
    <w:rsid w:val="00C340DE"/>
    <w:rsid w:val="00C422F6"/>
    <w:rsid w:val="00C5495E"/>
    <w:rsid w:val="00C56A64"/>
    <w:rsid w:val="00C648E9"/>
    <w:rsid w:val="00C66485"/>
    <w:rsid w:val="00C71F69"/>
    <w:rsid w:val="00C93DBE"/>
    <w:rsid w:val="00CB052B"/>
    <w:rsid w:val="00CB354A"/>
    <w:rsid w:val="00CB3EDF"/>
    <w:rsid w:val="00CD357F"/>
    <w:rsid w:val="00CD749F"/>
    <w:rsid w:val="00D16B92"/>
    <w:rsid w:val="00D32055"/>
    <w:rsid w:val="00D65856"/>
    <w:rsid w:val="00D77D50"/>
    <w:rsid w:val="00DA69DF"/>
    <w:rsid w:val="00DA6E33"/>
    <w:rsid w:val="00DD176C"/>
    <w:rsid w:val="00DE186A"/>
    <w:rsid w:val="00DE410E"/>
    <w:rsid w:val="00E03470"/>
    <w:rsid w:val="00E04830"/>
    <w:rsid w:val="00E242DF"/>
    <w:rsid w:val="00E303D9"/>
    <w:rsid w:val="00E431F8"/>
    <w:rsid w:val="00E61A04"/>
    <w:rsid w:val="00E62BF4"/>
    <w:rsid w:val="00EA10FB"/>
    <w:rsid w:val="00F01938"/>
    <w:rsid w:val="00F050DA"/>
    <w:rsid w:val="00F07838"/>
    <w:rsid w:val="00F12F67"/>
    <w:rsid w:val="00F227DB"/>
    <w:rsid w:val="00F33F93"/>
    <w:rsid w:val="00F40E64"/>
    <w:rsid w:val="00F42A2E"/>
    <w:rsid w:val="00F44664"/>
    <w:rsid w:val="00F50457"/>
    <w:rsid w:val="00F67653"/>
    <w:rsid w:val="00F71DF8"/>
    <w:rsid w:val="00F73BB2"/>
    <w:rsid w:val="00F755BB"/>
    <w:rsid w:val="00F75AFD"/>
    <w:rsid w:val="00F84862"/>
    <w:rsid w:val="00F855D2"/>
    <w:rsid w:val="00F86474"/>
    <w:rsid w:val="00F8756E"/>
    <w:rsid w:val="00FB6CD6"/>
    <w:rsid w:val="00FE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6AF40"/>
  <w15:docId w15:val="{AF38C34A-CD6D-4FF3-8D9C-66EFB5391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05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51E3"/>
  </w:style>
  <w:style w:type="paragraph" w:styleId="Stopka">
    <w:name w:val="footer"/>
    <w:basedOn w:val="Normalny"/>
    <w:link w:val="StopkaZnak"/>
    <w:uiPriority w:val="99"/>
    <w:unhideWhenUsed/>
    <w:rsid w:val="004051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5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ushmanwakefield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auren.joselyn@cushwake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auren.joselyn@cushwak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4xPayReKyg6xywjEcUnHEpWmtQ==">CgMxLjAyDmguZDd6N2YzdHF3YmV3OAByITFtdXhBcHJiaVhlQlZ3V0xESWsxbzNTbUZjU2hlcHZwUQ==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601</Words>
  <Characters>3485</Characters>
  <Application>Microsoft Office Word</Application>
  <DocSecurity>0</DocSecurity>
  <Lines>49</Lines>
  <Paragraphs>10</Paragraphs>
  <ScaleCrop>false</ScaleCrop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Pawel Bartoszewicz</cp:lastModifiedBy>
  <cp:revision>162</cp:revision>
  <dcterms:created xsi:type="dcterms:W3CDTF">2026-04-13T10:21:00Z</dcterms:created>
  <dcterms:modified xsi:type="dcterms:W3CDTF">2026-04-14T07:30:00Z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86f961-1d3e-4cfe-b1e9-19b9bcf12554_Enabled">
    <vt:lpwstr>true</vt:lpwstr>
  </property>
  <property fmtid="{D5CDD505-2E9C-101B-9397-08002B2CF9AE}" pid="3" name="MSIP_Label_b086f961-1d3e-4cfe-b1e9-19b9bcf12554_SetDate">
    <vt:lpwstr>2024-08-09T12:49:32Z</vt:lpwstr>
  </property>
  <property fmtid="{D5CDD505-2E9C-101B-9397-08002B2CF9AE}" pid="4" name="MSIP_Label_b086f961-1d3e-4cfe-b1e9-19b9bcf12554_Method">
    <vt:lpwstr>Standard</vt:lpwstr>
  </property>
  <property fmtid="{D5CDD505-2E9C-101B-9397-08002B2CF9AE}" pid="5" name="MSIP_Label_b086f961-1d3e-4cfe-b1e9-19b9bcf12554_Name">
    <vt:lpwstr>Private</vt:lpwstr>
  </property>
  <property fmtid="{D5CDD505-2E9C-101B-9397-08002B2CF9AE}" pid="6" name="MSIP_Label_b086f961-1d3e-4cfe-b1e9-19b9bcf12554_SiteId">
    <vt:lpwstr>6facebd9-e318-4ea6-a98b-e892ee55070f</vt:lpwstr>
  </property>
  <property fmtid="{D5CDD505-2E9C-101B-9397-08002B2CF9AE}" pid="7" name="MSIP_Label_b086f961-1d3e-4cfe-b1e9-19b9bcf12554_ActionId">
    <vt:lpwstr>60c3cb59-3795-42a8-af48-43117dcbee96</vt:lpwstr>
  </property>
  <property fmtid="{D5CDD505-2E9C-101B-9397-08002B2CF9AE}" pid="8" name="MSIP_Label_b086f961-1d3e-4cfe-b1e9-19b9bcf12554_ContentBits">
    <vt:lpwstr>0</vt:lpwstr>
  </property>
  <property fmtid="{D5CDD505-2E9C-101B-9397-08002B2CF9AE}" pid="9" name="GrammarlyDocumentId">
    <vt:lpwstr>341a8607d4d2d5ce3fbf3503c2f967ea1e4ce5daa8426167cb97b41905428e1a</vt:lpwstr>
  </property>
</Properties>
</file>