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0" distT="0" distL="0" distR="0">
            <wp:extent cx="1381916" cy="214197"/>
            <wp:effectExtent b="0" l="0" r="0" t="0"/>
            <wp:docPr descr="Синьо писмо на черен фон&#10;&#10;Автоматично генерирано описание" id="1" name="image1.png"/>
            <a:graphic>
              <a:graphicData uri="http://schemas.openxmlformats.org/drawingml/2006/picture">
                <pic:pic>
                  <pic:nvPicPr>
                    <pic:cNvPr descr="Синьо писмо на черен фон&#10;&#10;Автоматично генерирано описание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916" cy="2141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Samsung разширява гамата си от сменяеми носители и пуска на пазара новите карти microSD T7 и T9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Новите карти microSD T7 и T9 на Samsung предлагат по-голяма гъвкавост и по-богат избор за потребители с нарастващи нужди от съхранение на данни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Samsung обновява брандинга на новите си карти microSD, за да помогне на потребителите лесно да изберат подходящата карта за конкретните си нужди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Днес Samsung Electronics представи новите си карти microSD T7 и T9, с което разширява гамата си от сменяеми носители, предназначени за различни потребителски нужди. Опирайки се на опита на Samsung в областта на устройствата за съхранение на данни, новите карти microSD засилват разпознаваемостта на марката чрез по-интуитивна структура на наименованията и подобрен дизайн, като по този начин повишават конкурентоспособността на сменяемите памети на Samsung.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Картата microSD T7 е подходящо решение за ежедневно разширяване на паметта за любители на игрите, създатели на съдържание и обикновени потребители, чиито устройства постоянно се пълнят с данни. Картата microSD T7 е създадена да отговаря на ежедневните нужди от памет на различни устройства като смартфони, лаптопи, таблети и преносими игрови конзоли. Тя има огромна памет до 1 TB, скорост на четене до 170 MB/s, широка съвместимост и предлага лесен и надежден начин за разширяване на ежедневната памет.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Картата microSD T9 е създадена за потребители, които се нуждаят от безкомпромисна производителност, като например запалените геймъри и професионалните творци, които работят с големи файлове и изискващи висока производителност задачи. Със скорост на четене до 200 MB/s и 6-степенна защита, осигуряваща надеждност и широка съвместимост, картата microSD T9 е създадена, за да помогне на потребителите да прехвърлят бързо големи файлове и да работят с увереност, особено на устройства, при които производителността е от ключово значение, като дронове и екшън камери, както и на смартфони, лаптопи, таблети и преносими игрови конзоли.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 пускането на пазара на картите microSD T7 и T9, както и на P9 Express, Samsung преобразува портфолиото си от сменяеми носители за съхранение на данни от предишната серия microSD, включваща моделите EVO Plus, PRO Plus и PRO Ultimate, в опростена гама с цел да уеднакви идентичността на марката и да хармонизира потребителското преживяване в цялото портфолио от сменяеми носители на Samsung. Серията „T“ означава „Trustworthiness“ („сигурност“), а „P“ — „Peace of Mind“ („спокойствие“), като подчертава големия капацитет и високата производителност на сменяеми носители на Samsung. Ребрандирането ще допринесе за по-голяма яснота за потребителите, като им позволи да правят по-интуитивен и информиран избор на продуктите въз основа на конкретните им нужди.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Картата microSD T7 на Samsung се предлага с капацитет 128 GB, 256 GB, 512 GB и 1 TB, докато картата microSD T9 се предлага с капацитет 128, 256 и 512 GB.</w:t>
      </w:r>
    </w:p>
    <w:tbl>
      <w:tblPr>
        <w:tblStyle w:val="Table1"/>
        <w:tblpPr w:leftFromText="142" w:rightFromText="142" w:topFromText="0" w:bottomFromText="0" w:vertAnchor="text" w:horzAnchor="text" w:tblpX="0" w:tblpY="824"/>
        <w:tblW w:w="9159.999999999998" w:type="dxa"/>
        <w:jc w:val="left"/>
        <w:tblLayout w:type="fixed"/>
        <w:tblLook w:val="0400"/>
      </w:tblPr>
      <w:tblGrid>
        <w:gridCol w:w="1733"/>
        <w:gridCol w:w="1427"/>
        <w:gridCol w:w="938"/>
        <w:gridCol w:w="942"/>
        <w:gridCol w:w="938"/>
        <w:gridCol w:w="938"/>
        <w:gridCol w:w="938"/>
        <w:gridCol w:w="1306"/>
        <w:tblGridChange w:id="0">
          <w:tblGrid>
            <w:gridCol w:w="1733"/>
            <w:gridCol w:w="1427"/>
            <w:gridCol w:w="938"/>
            <w:gridCol w:w="942"/>
            <w:gridCol w:w="938"/>
            <w:gridCol w:w="938"/>
            <w:gridCol w:w="938"/>
            <w:gridCol w:w="1306"/>
          </w:tblGrid>
        </w:tblGridChange>
      </w:tblGrid>
      <w:tr>
        <w:trPr>
          <w:cantSplit w:val="0"/>
          <w:trHeight w:val="732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Технически характеристики на картите microSD T7 и T9 на Samsung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Продукт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Карта microSD T9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Карта microSD T7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Форм-фактор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microSDXC™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Капацитет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128 GB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256 GB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512 GB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128 GB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256 GB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512 GB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 TB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Интерфейс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UHS-I SDR104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/ UHS-I DDR200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с четец за карти microSD на Samsung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Размери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15 × 11 × 1 мм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Тегло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Приблизително 0,25 g (само картата)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Скоростен клас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U3, V30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, A2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, Class 10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U3, V30, A2, Class 10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Скоростта на последователно четене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До 200 MB/s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До 170 MB/s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Скорост на последователно записване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До 130 MB/s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–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Сертификати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FCC (IC), CE (UKCA), VCCI, RCM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Гаранция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Ограничена гаранция 3 години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80" w:line="360" w:lineRule="auto"/>
        <w:ind w:left="0" w:right="0" w:firstLine="0"/>
        <w:jc w:val="left"/>
        <w:rPr>
          <w:rFonts w:ascii="Gulim" w:cs="Gulim" w:eastAsia="Gulim" w:hAnsi="Guli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440" w:top="1701" w:left="1440" w:right="144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  <w:font w:name="Arial"/>
  <w:font w:name="Gulim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spacing w:after="0" w:line="276" w:lineRule="auto"/>
      <w:jc w:val="left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GB=1 000 000 000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байта. Фактическият полезен капацитет може да е различен. Капацитетът бил измерен с инструмента SD Formatter 3.1 с файловата система FAT.</w:t>
      </w:r>
    </w:p>
  </w:footnote>
  <w:footnote w:id="1"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С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игнал 1,8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V, честота до 208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MHz, скорост до 104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MB/s, максимален ток на консумация 800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mA (може да се различава в зависимост от условията на тестване)</w:t>
      </w:r>
    </w:p>
  </w:footnote>
  <w:footnote w:id="2"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С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игнал 1,8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V, честота до 208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MHz, скорост до 200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MB/s, максимален ток на консумация 800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mA (може да се различава в зависимост от условията на тестване)</w:t>
      </w:r>
    </w:p>
  </w:footnote>
  <w:footnote w:id="3"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Класът Video Speed Class означава устойчиви скорости на заснемане на видео 30 MB/s (V30), които позволяват да се поддържа запис на видео в реалното време за продукти с интерфейса UHS Bus. Скоростта на трансфер на данни може да варира в зависимост от приемащо устройство.</w:t>
      </w:r>
    </w:p>
  </w:footnote>
  <w:footnote w:id="4"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Класът Application Performance Class означава минимална производителност при произволно четене от 4000 IOPS (A2), при произволно записване от 2000 IOPS (A2) и скоростта при продължително последователно записване от 10 MB/s (A1, A2), което осигурява по-висока производителност на приложенията. Производителността може да варира в зависимост от приемащо устройство.</w:t>
      </w:r>
    </w:p>
  </w:footnote>
  <w:footnote w:id="5"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(Карта microSD T7) Резултатите се основават на условията на вътрешно тестване. Посочената производителност е постигната чрез използване на картата microSD T7 на Samsung с четец за карти microSD (версия 3.0) на Samsung в контролируеми условия. Действителни скорости на четене и запис могат да се различават в зависимост от условията на потребителя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(Карта microSD T9) Резултатите се основават на условията на вътрешно тестване. Посочената производителност е постигната чрез използване на картата microSD T9 на Samsung с четец за карти microSD (версия 3.0) на Samsung в контролируеми условия. Действителни скорости на четене и запис могат да се различават в зависимост от условията на потребителя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Гаранциите, предоставени в настоящия документ, не се отнасят за използване на продукта за или с устройства за непрекъснато записване или други устройства, изискващи интензивно записване, включително: охранителни камери, системи за наблюдение, видеорегистратори, камери от типа „черна кутия“, интернет протокол и мрежови камери, устройства за непрекъснато записване и устройства за непрекъснато регистриране на данни, като сървъри, специализирани устройства за тестове за производителност, основни дискове на устройства, както и всякакви други случаи на прекомерна употреба.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lang w:val="bg"/>
      </w:rPr>
    </w:rPrDefault>
    <w:pPrDefault>
      <w:pPr>
        <w:widowControl w:val="0"/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4TXGtLFXekFWC+vpn+fH7yTehw==">CgMxLjA4AHIhMUxneFd5dUdXNldHOGJpaG5Ka3lRQ0c1LW84MDdRLTNV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FLCMData">
    <vt:lpwstr>D7DEB29188C48BD3CC139FFD574C30B2E0F04392C612D786E6921BC9FE9991D46818796EB07D17FE1C1A89E034F00521D1C8A346EBD385D461EE6932FF65A226</vt:lpwstr>
  </property>
</Properties>
</file>