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30"/>
        </w:tabs>
        <w:jc w:val="center"/>
        <w:rPr>
          <w:rFonts w:ascii="Arial" w:cs="Arial" w:eastAsia="Arial" w:hAnsi="Arial"/>
          <w:sz w:val="20"/>
          <w:szCs w:val="20"/>
        </w:rPr>
      </w:pPr>
      <w:bookmarkStart w:colFirst="0" w:colLast="0" w:name="_heading=h.d7z7f3tqwbew" w:id="0"/>
      <w:bookmarkEnd w:id="0"/>
      <w:r w:rsidDel="00000000" w:rsidR="00000000" w:rsidRPr="00000000">
        <w:rPr>
          <w:rFonts w:ascii="Arial" w:cs="Arial" w:eastAsia="Arial" w:hAnsi="Arial"/>
          <w:b w:val="1"/>
          <w:bCs w:val="1"/>
          <w:sz w:val="20"/>
          <w:szCs w:val="20"/>
          <w:rtl w:val="0"/>
        </w:rPr>
        <w:t xml:space="preserve">Rynek centrów danych w regionie EMEA przyspiesza. Warszawa awansuje do grona rynków o ugruntowanej pozycji</w:t>
      </w:r>
      <w:r w:rsidDel="00000000" w:rsidR="00000000" w:rsidRPr="00000000">
        <w:rPr>
          <w:rtl w:val="0"/>
        </w:rPr>
      </w:r>
    </w:p>
    <w:p w:rsidR="00000000" w:rsidDel="00000000" w:rsidP="00000000" w:rsidRDefault="00000000" w:rsidRPr="00000000" w14:paraId="00000002">
      <w:pPr>
        <w:tabs>
          <w:tab w:val="left" w:leader="none" w:pos="5630"/>
        </w:tabs>
        <w:spacing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Jak wynika z najnowszego raportu międzynarodowej firmy doradczej Cushman &amp; Wakefield „EMEA Data Centre MarketBeat H2 2025”, rynek centrów danych w regionie EMEA wszedł w fazę przyspieszonego, choć coraz bardziej selektywnego wzrostu. Na koniec 2025 roku łączna moc operacyjna funkcjonujących obiektów przekroczyła 11,4 GW, co oznacza wzrost o 19% rok do roku. Jednocześnie moc obiektów będących w budowie wyniosła 2,7 GW, a kolejnych inwestycji na etapie planowania 12,1 GW, co podnosi całkowitą przewidywaną pojemność regionu do 26,2 GW. </w:t>
      </w:r>
    </w:p>
    <w:p w:rsidR="00000000" w:rsidDel="00000000" w:rsidP="00000000" w:rsidRDefault="00000000" w:rsidRPr="00000000" w14:paraId="00000003">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 dalszy rozwój rynku odpowiadają przede wszystkim: rosnąca adopcja chmury obliczeniowej, strategie cyfrowej suwerenności oraz globalny wyścig o infrastrukturę dla sztucznej inteligencji i obliczeń o wysokiej wydajności. Jak wskazuje Cushman &amp; Wakefield, o kierunkach rozwoju sektora w coraz większym stopniu decydują dziś dostępność mocy, możliwość przyłączenia do sieci, intensywność emisyjna miksu energetycznego oraz przewidywalność procesów regulacyjnych. </w:t>
      </w:r>
    </w:p>
    <w:p w:rsidR="00000000" w:rsidDel="00000000" w:rsidP="00000000" w:rsidRDefault="00000000" w:rsidRPr="00000000" w14:paraId="00000004">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Nie zmienia to faktu, że największe znaczenie w regionie nadal mają tzw. rynki Powerhouse – Frankfurt, Londyn, Amsterdam, Paryż, Dublin oraz Mediolan, który dołączył do tego grona po przekroczeniu poziomu 1 GW łącznej mocy operacyjnej i pipeline’u. Sześć największych hubów odpowiada dziś za ok. 45% mocy operacyjnej w regionie EMEA oraz ponad 40% przyszłej podaży. Jednocześnie mierzą się one z coraz silniejszymi ograniczeniami strukturalnymi, takimi jak niedobór gruntów, ograniczona dostępność mocy, przeciążenia sieci i złożone regulacje. W efekcie coraz więcej dużych projektów, w tym kampusów hyperscale, kierowanych jest na rynki regionalne i wschodzące. </w:t>
      </w:r>
    </w:p>
    <w:p w:rsidR="00000000" w:rsidDel="00000000" w:rsidP="00000000" w:rsidRDefault="00000000" w:rsidRPr="00000000" w14:paraId="00000005">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Na tym tle szczególnie mocno wyróżnia się Warszawa, która została sklasyfikowana jako nowy rynek o ugruntowanej pozycji. Stołeczny rynek umacnia tym samym swoją rolę jako najważniejszy hub infrastruktury cyfrowej w Europie Środkowo-Wschodniej. Na koniec 2025 roku moc operacyjna centrów danych w regionie Warszawy osiągnęła 157 MW, co oznacza wzrost o około 10% rok do roku, natomiast w skali całej Polski przekroczyła 210 MW. Jednocześnie warszawski pipeline wzrósł o 45%, osiągając blisko 160 MW, z czego 11 MW pozostaje w budowie, a 148 MW znajduje się na etapie planowania</w:t>
      </w:r>
      <w:r w:rsidDel="00000000" w:rsidR="00000000" w:rsidRPr="00000000">
        <w:rPr>
          <w:rFonts w:ascii="Arial" w:cs="Arial" w:eastAsia="Arial" w:hAnsi="Arial"/>
          <w:sz w:val="20"/>
          <w:szCs w:val="20"/>
          <w:rtl w:val="0"/>
        </w:rPr>
        <w:t xml:space="preserve"> – mówi </w:t>
      </w:r>
      <w:r w:rsidDel="00000000" w:rsidR="00000000" w:rsidRPr="00000000">
        <w:rPr>
          <w:rFonts w:ascii="Arial" w:cs="Arial" w:eastAsia="Arial" w:hAnsi="Arial"/>
          <w:b w:val="1"/>
          <w:bCs w:val="1"/>
          <w:sz w:val="20"/>
          <w:szCs w:val="20"/>
          <w:rtl w:val="0"/>
        </w:rPr>
        <w:t xml:space="preserve">Kamil Żach, Head of Industrial Sector, Poland Data Centre Advisory Team, Cushman &amp; Wakefield</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6">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Silne fundamenty gospodarcze, duży rynek wewnętrzny, szybka cyfryzacja przedsiębiorstw i dostęp do wysoko wykwalifikowanych specjalistów sprawiają, że Warszawa przyciąga zarówno operatorów colocation, jak i globalnych dostawców chmury. Miasto pełni dziś funkcję głównej „bramy chmurowej” dla regionu Europy Środkowo-Wschodniej – działają tu już regiony chmurowe takich firm jak Google Cloud, Microsoft Azure i OVHcloud. Dodatkowym atutem pozostaje stabilność instytucjonalna wynikająca z członkostwa Polski w UE i NATO. </w:t>
      </w:r>
    </w:p>
    <w:p w:rsidR="00000000" w:rsidDel="00000000" w:rsidP="00000000" w:rsidRDefault="00000000" w:rsidRPr="00000000" w14:paraId="00000007">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Mimo bardzo dobrych perspektyw rynek nie jest wolny od wyzwań. </w:t>
      </w:r>
    </w:p>
    <w:p w:rsidR="00000000" w:rsidDel="00000000" w:rsidP="00000000" w:rsidRDefault="00000000" w:rsidRPr="00000000" w14:paraId="00000008">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Skala inwestycji będących aktualnie w fazie budowy w Polsce spadła, co jest bezpośrednio związane z wydłużającym się czasem oczekiwania na przyłącza do sieci, ograniczoną dostępnością stacji elektroenergetycznych oraz rosnącymi kosztami realizacji inwestycji. Dodatkowo krajowy miks energetyczny, nadal częściowo oparty na węglu, oznacza dla operatorów wyższe koszty emisji i większą ekspozycję na ryzyka regulacyjne. Pomimo tych barier Warszawa pozostaje najbardziej wiarygodnym rynkiem wielkoskalowych centrów danych w Europie Wschodniej</w:t>
      </w:r>
      <w:r w:rsidDel="00000000" w:rsidR="00000000" w:rsidRPr="00000000">
        <w:rPr>
          <w:rFonts w:ascii="Arial" w:cs="Arial" w:eastAsia="Arial" w:hAnsi="Arial"/>
          <w:sz w:val="20"/>
          <w:szCs w:val="20"/>
          <w:rtl w:val="0"/>
        </w:rPr>
        <w:t xml:space="preserve"> – dodaje </w:t>
      </w:r>
      <w:r w:rsidDel="00000000" w:rsidR="00000000" w:rsidRPr="00000000">
        <w:rPr>
          <w:rFonts w:ascii="Arial" w:cs="Arial" w:eastAsia="Arial" w:hAnsi="Arial"/>
          <w:b w:val="1"/>
          <w:bCs w:val="1"/>
          <w:sz w:val="20"/>
          <w:szCs w:val="20"/>
          <w:rtl w:val="0"/>
        </w:rPr>
        <w:t xml:space="preserve">Kamil Żach.</w:t>
      </w:r>
      <w:r w:rsidDel="00000000" w:rsidR="00000000" w:rsidRPr="00000000">
        <w:rPr>
          <w:rtl w:val="0"/>
        </w:rPr>
      </w:r>
    </w:p>
    <w:p w:rsidR="00000000" w:rsidDel="00000000" w:rsidP="00000000" w:rsidRDefault="00000000" w:rsidRPr="00000000" w14:paraId="00000009">
      <w:pPr>
        <w:tabs>
          <w:tab w:val="left" w:leader="none" w:pos="5630"/>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ocenie Cushman &amp; Wakefield to właśnie połączenie skali krajowego rynku, dojrzałego ekosystemu chmurowego, stabilności instytucjonalnej i rosnącego znaczenia regionu CEE sprawia, że stolica Polski ma dziś wyjątkowo mocną pozycję na mapie europejskiej infrastruktury cyfrowej. </w:t>
      </w:r>
    </w:p>
    <w:p w:rsidR="00000000" w:rsidDel="00000000" w:rsidP="00000000" w:rsidRDefault="00000000" w:rsidRPr="00000000" w14:paraId="0000000A">
      <w:pPr>
        <w:tabs>
          <w:tab w:val="left" w:leader="none" w:pos="5630"/>
        </w:tabs>
        <w:spacing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bCs w:val="1"/>
          <w:color w:val="4e5050"/>
          <w:sz w:val="20"/>
          <w:szCs w:val="20"/>
        </w:rPr>
      </w:pPr>
      <w:r w:rsidDel="00000000" w:rsidR="00000000" w:rsidRPr="00000000">
        <w:rPr>
          <w:rFonts w:ascii="Arial" w:cs="Arial" w:eastAsia="Arial" w:hAnsi="Arial"/>
          <w:b w:val="1"/>
          <w:bCs w:val="1"/>
          <w:color w:val="4e5050"/>
          <w:sz w:val="20"/>
          <w:szCs w:val="20"/>
          <w:rtl w:val="0"/>
        </w:rPr>
        <w:t xml:space="preserve">-KONIEC-</w:t>
      </w:r>
    </w:p>
    <w:p w:rsidR="00000000" w:rsidDel="00000000" w:rsidP="00000000" w:rsidRDefault="00000000" w:rsidRPr="00000000" w14:paraId="0000000C">
      <w:pPr>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O Cushman &amp; Wakefield</w:t>
      </w:r>
    </w:p>
    <w:p w:rsidR="00000000" w:rsidDel="00000000" w:rsidP="00000000" w:rsidRDefault="00000000" w:rsidRPr="00000000" w14:paraId="0000000E">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Cushman &amp; Wakefield (NYSE: CWK) jest wiodącą na świecie firmą świadczącą usługi na rynku nieruchomości komercyjnych na rzecz najemców i inwestorów. Zatrudnia ok. 53 tys. pracowników w ponad 350 biurach i niemal 60 krajach na całym świecie. W 2025 roku jej przychody wyniosły 10,3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w:t>
      </w:r>
      <w:r w:rsidDel="00000000" w:rsidR="00000000" w:rsidRPr="00000000">
        <w:rPr>
          <w:rFonts w:ascii="Arial" w:cs="Arial" w:eastAsia="Arial" w:hAnsi="Arial"/>
          <w:i w:val="1"/>
          <w:iCs w:val="1"/>
          <w:sz w:val="18"/>
          <w:szCs w:val="18"/>
          <w:highlight w:val="white"/>
          <w:rtl w:val="0"/>
        </w:rPr>
        <w:t xml:space="preserve"> Better never settles</w:t>
      </w:r>
      <w:r w:rsidDel="00000000" w:rsidR="00000000" w:rsidRPr="00000000">
        <w:rPr>
          <w:rFonts w:ascii="Arial" w:cs="Arial" w:eastAsia="Arial" w:hAnsi="Arial"/>
          <w:sz w:val="18"/>
          <w:szCs w:val="18"/>
          <w:highlight w:val="white"/>
          <w:rtl w:val="0"/>
        </w:rPr>
        <w:t xml:space="preserve"> Cushman &amp; Wakefield otrzymuje wiele wyróżnień oraz nagród w konkursach branżowych i biznesowych. Dodatkowe informacje na stronie </w:t>
      </w:r>
      <w:hyperlink r:id="rId7">
        <w:r w:rsidDel="00000000" w:rsidR="00000000" w:rsidRPr="00000000">
          <w:rPr>
            <w:rFonts w:ascii="Arial" w:cs="Arial" w:eastAsia="Arial" w:hAnsi="Arial"/>
            <w:color w:val="156082"/>
            <w:sz w:val="18"/>
            <w:szCs w:val="18"/>
            <w:highlight w:val="white"/>
            <w:u w:val="single"/>
            <w:rtl w:val="0"/>
          </w:rPr>
          <w:t xml:space="preserve">www.cushmanwakefield.com</w:t>
        </w:r>
      </w:hyperlink>
      <w:r w:rsidDel="00000000" w:rsidR="00000000" w:rsidRPr="00000000">
        <w:rPr>
          <w:rFonts w:ascii="Arial" w:cs="Arial" w:eastAsia="Arial" w:hAnsi="Arial"/>
          <w:sz w:val="18"/>
          <w:szCs w:val="18"/>
          <w:highlight w:val="white"/>
          <w:rtl w:val="0"/>
        </w:rPr>
        <w:t xml:space="preserve">.</w:t>
      </w:r>
    </w:p>
    <w:p w:rsidR="00000000" w:rsidDel="00000000" w:rsidP="00000000" w:rsidRDefault="00000000" w:rsidRPr="00000000" w14:paraId="0000000F">
      <w:pPr>
        <w:rPr>
          <w:rFonts w:ascii="Arial" w:cs="Arial" w:eastAsia="Arial" w:hAnsi="Arial"/>
          <w:b w:val="1"/>
          <w:bCs w:val="1"/>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2880" w:top="3600" w:left="1224" w:right="1008" w:header="180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5670.0" w:type="dxa"/>
      <w:jc w:val="left"/>
      <w:tblLayout w:type="fixed"/>
      <w:tblLook w:val="0400"/>
    </w:tblPr>
    <w:tblGrid>
      <w:gridCol w:w="5670"/>
      <w:tblGridChange w:id="0">
        <w:tblGrid>
          <w:gridCol w:w="5670"/>
        </w:tblGrid>
      </w:tblGridChange>
    </w:tblGrid>
    <w:tr>
      <w:trPr>
        <w:cantSplit w:val="0"/>
        <w:trHeight w:val="1260" w:hRule="atLeast"/>
        <w:tblHeader w:val="0"/>
      </w:trPr>
      <w:tc>
        <w:tcPr>
          <w:vAlign w:val="bottom"/>
        </w:tcPr>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696b6b"/>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696b6b"/>
              <w:sz w:val="18"/>
              <w:szCs w:val="18"/>
              <w:u w:val="none"/>
              <w:shd w:fill="auto" w:val="clear"/>
              <w:vertAlign w:val="baseline"/>
              <w:rtl w:val="0"/>
            </w:rPr>
            <w:t xml:space="preserve">Lauren Joselyn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696b6b"/>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696b6b"/>
              <w:sz w:val="18"/>
              <w:szCs w:val="18"/>
              <w:u w:val="none"/>
              <w:shd w:fill="auto" w:val="clear"/>
              <w:vertAlign w:val="baseline"/>
              <w:rtl w:val="0"/>
            </w:rPr>
            <w:t xml:space="preserve">Associate Director, Communications</w:t>
          </w:r>
        </w:p>
        <w:p w:rsidR="00000000" w:rsidDel="00000000" w:rsidP="00000000" w:rsidRDefault="00000000" w:rsidRPr="00000000" w14:paraId="00000015">
          <w:pPr>
            <w:spacing w:after="0" w:lineRule="auto"/>
            <w:rPr>
              <w:rFonts w:ascii="Arial" w:cs="Arial" w:eastAsia="Arial" w:hAnsi="Arial"/>
              <w:color w:val="696b6b"/>
              <w:sz w:val="18"/>
              <w:szCs w:val="18"/>
            </w:rPr>
          </w:pPr>
          <w:r w:rsidDel="00000000" w:rsidR="00000000" w:rsidRPr="00000000">
            <w:rPr>
              <w:rFonts w:ascii="Arial" w:cs="Arial" w:eastAsia="Arial" w:hAnsi="Arial"/>
              <w:color w:val="696b6b"/>
              <w:sz w:val="18"/>
              <w:szCs w:val="18"/>
              <w:rtl w:val="0"/>
            </w:rPr>
            <w:t xml:space="preserve">+44(0)203 296 3034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4e5050"/>
              <w:sz w:val="18"/>
              <w:szCs w:val="18"/>
              <w:u w:val="none"/>
              <w:shd w:fill="auto" w:val="clear"/>
              <w:vertAlign w:val="baseline"/>
            </w:rPr>
          </w:pPr>
          <w:hyperlink r:id="rId1">
            <w:r w:rsidDel="00000000" w:rsidR="00000000" w:rsidRPr="00000000">
              <w:rPr>
                <w:rFonts w:ascii="Arial" w:cs="Arial" w:eastAsia="Arial" w:hAnsi="Arial"/>
                <w:b w:val="0"/>
                <w:bCs w:val="0"/>
                <w:i w:val="0"/>
                <w:iCs w:val="0"/>
                <w:smallCaps w:val="0"/>
                <w:strike w:val="0"/>
                <w:color w:val="0093b2"/>
                <w:sz w:val="18"/>
                <w:szCs w:val="18"/>
                <w:u w:val="single"/>
                <w:shd w:fill="auto" w:val="clear"/>
                <w:vertAlign w:val="baseline"/>
                <w:rtl w:val="0"/>
              </w:rPr>
              <w:t xml:space="preserve">lauren.joselyn@cushwake.com</w:t>
            </w:r>
          </w:hyperlink>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6130.0" w:type="dxa"/>
      <w:jc w:val="left"/>
      <w:tblLayout w:type="fixed"/>
      <w:tblLook w:val="0400"/>
    </w:tblPr>
    <w:tblGrid>
      <w:gridCol w:w="3065"/>
      <w:gridCol w:w="3065"/>
      <w:tblGridChange w:id="0">
        <w:tblGrid>
          <w:gridCol w:w="3065"/>
          <w:gridCol w:w="3065"/>
        </w:tblGrid>
      </w:tblGridChange>
    </w:tblGrid>
    <w:tr>
      <w:trPr>
        <w:cantSplit w:val="0"/>
        <w:trHeight w:val="650" w:hRule="atLeast"/>
        <w:tblHeader w:val="0"/>
      </w:trPr>
      <w:tc>
        <w:tcPr>
          <w:gridSpan w:val="2"/>
          <w:vAlign w:val="bottom"/>
        </w:tcPr>
        <w:p w:rsidR="00000000" w:rsidDel="00000000" w:rsidP="00000000" w:rsidRDefault="00000000" w:rsidRPr="00000000" w14:paraId="00000019">
          <w:pPr>
            <w:keepNext w:val="1"/>
            <w:keepLines w:val="1"/>
            <w:spacing w:after="100" w:lineRule="auto"/>
            <w:rPr>
              <w:rFonts w:ascii="Arial" w:cs="Arial" w:eastAsia="Arial" w:hAnsi="Arial"/>
              <w:b w:val="1"/>
              <w:bCs w:val="1"/>
              <w:smallCaps w:val="1"/>
              <w:color w:val="4e5050"/>
              <w:sz w:val="18"/>
              <w:szCs w:val="18"/>
            </w:rPr>
          </w:pPr>
          <w:r w:rsidDel="00000000" w:rsidR="00000000" w:rsidRPr="00000000">
            <w:rPr>
              <w:rFonts w:ascii="Arial" w:cs="Arial" w:eastAsia="Arial" w:hAnsi="Arial"/>
              <w:b w:val="1"/>
              <w:bCs w:val="1"/>
              <w:color w:val="4e5050"/>
              <w:sz w:val="18"/>
              <w:szCs w:val="18"/>
              <w:rtl w:val="0"/>
            </w:rPr>
            <w:t xml:space="preserve">Dodatkowe informacje:</w:t>
          </w:r>
          <w:r w:rsidDel="00000000" w:rsidR="00000000" w:rsidRPr="00000000">
            <w:rPr>
              <w:rtl w:val="0"/>
            </w:rPr>
          </w:r>
        </w:p>
      </w:tc>
    </w:tr>
    <w:tr>
      <w:trPr>
        <w:cantSplit w:val="0"/>
        <w:trHeight w:val="1300" w:hRule="atLeast"/>
        <w:tblHeader w:val="0"/>
      </w:trPr>
      <w:tc>
        <w:tcPr>
          <w:vAlign w:val="bottom"/>
        </w:tcPr>
        <w:p w:rsidR="00000000" w:rsidDel="00000000" w:rsidP="00000000" w:rsidRDefault="00000000" w:rsidRPr="00000000" w14:paraId="0000001B">
          <w:pPr>
            <w:keepNext w:val="1"/>
            <w:keepLines w:val="1"/>
            <w:spacing w:after="0" w:lineRule="auto"/>
            <w:rPr>
              <w:rFonts w:ascii="Arial" w:cs="Arial" w:eastAsia="Arial" w:hAnsi="Arial"/>
              <w:b w:val="1"/>
              <w:bCs w:val="1"/>
              <w:color w:val="696b6b"/>
              <w:sz w:val="18"/>
              <w:szCs w:val="18"/>
            </w:rPr>
          </w:pPr>
          <w:r w:rsidDel="00000000" w:rsidR="00000000" w:rsidRPr="00000000">
            <w:rPr>
              <w:rFonts w:ascii="Arial" w:cs="Arial" w:eastAsia="Arial" w:hAnsi="Arial"/>
              <w:b w:val="1"/>
              <w:bCs w:val="1"/>
              <w:color w:val="696b6b"/>
              <w:sz w:val="18"/>
              <w:szCs w:val="18"/>
              <w:rtl w:val="0"/>
            </w:rPr>
            <w:t xml:space="preserve">Lauren Joselyn</w:t>
          </w:r>
        </w:p>
        <w:p w:rsidR="00000000" w:rsidDel="00000000" w:rsidP="00000000" w:rsidRDefault="00000000" w:rsidRPr="00000000" w14:paraId="0000001C">
          <w:pPr>
            <w:spacing w:after="0" w:lineRule="auto"/>
            <w:rPr>
              <w:rFonts w:ascii="Arial" w:cs="Arial" w:eastAsia="Arial" w:hAnsi="Arial"/>
              <w:color w:val="696b6b"/>
              <w:sz w:val="18"/>
              <w:szCs w:val="18"/>
            </w:rPr>
          </w:pPr>
          <w:r w:rsidDel="00000000" w:rsidR="00000000" w:rsidRPr="00000000">
            <w:rPr>
              <w:rFonts w:ascii="Arial" w:cs="Arial" w:eastAsia="Arial" w:hAnsi="Arial"/>
              <w:color w:val="696b6b"/>
              <w:sz w:val="18"/>
              <w:szCs w:val="18"/>
              <w:rtl w:val="0"/>
            </w:rPr>
            <w:t xml:space="preserve">Associate Director, Communications</w:t>
          </w:r>
        </w:p>
        <w:p w:rsidR="00000000" w:rsidDel="00000000" w:rsidP="00000000" w:rsidRDefault="00000000" w:rsidRPr="00000000" w14:paraId="0000001D">
          <w:pPr>
            <w:spacing w:after="0" w:lineRule="auto"/>
            <w:rPr>
              <w:rFonts w:ascii="Arial" w:cs="Arial" w:eastAsia="Arial" w:hAnsi="Arial"/>
              <w:color w:val="696b6b"/>
              <w:sz w:val="18"/>
              <w:szCs w:val="18"/>
            </w:rPr>
          </w:pPr>
          <w:r w:rsidDel="00000000" w:rsidR="00000000" w:rsidRPr="00000000">
            <w:rPr>
              <w:rFonts w:ascii="Arial" w:cs="Arial" w:eastAsia="Arial" w:hAnsi="Arial"/>
              <w:color w:val="696b6b"/>
              <w:sz w:val="18"/>
              <w:szCs w:val="18"/>
              <w:rtl w:val="0"/>
            </w:rPr>
            <w:t xml:space="preserve">+44(0)203 296 3034</w:t>
          </w:r>
        </w:p>
        <w:p w:rsidR="00000000" w:rsidDel="00000000" w:rsidP="00000000" w:rsidRDefault="00000000" w:rsidRPr="00000000" w14:paraId="0000001E">
          <w:pPr>
            <w:spacing w:after="0" w:lineRule="auto"/>
            <w:rPr>
              <w:rFonts w:ascii="Arial" w:cs="Arial" w:eastAsia="Arial" w:hAnsi="Arial"/>
              <w:color w:val="4e5050"/>
              <w:sz w:val="18"/>
              <w:szCs w:val="18"/>
            </w:rPr>
          </w:pPr>
          <w:hyperlink r:id="rId1">
            <w:r w:rsidDel="00000000" w:rsidR="00000000" w:rsidRPr="00000000">
              <w:rPr>
                <w:rFonts w:ascii="Arial" w:cs="Arial" w:eastAsia="Arial" w:hAnsi="Arial"/>
                <w:color w:val="0093b2"/>
                <w:sz w:val="18"/>
                <w:szCs w:val="18"/>
                <w:u w:val="single"/>
                <w:rtl w:val="0"/>
              </w:rPr>
              <w:t xml:space="preserve">lauren.joselyn@cushwake.com</w:t>
            </w:r>
          </w:hyperlink>
          <w:r w:rsidDel="00000000" w:rsidR="00000000" w:rsidRPr="00000000">
            <w:rPr>
              <w:rtl w:val="0"/>
            </w:rPr>
          </w:r>
        </w:p>
      </w:tc>
      <w:tc>
        <w:tcPr>
          <w:vAlign w:val="bottom"/>
        </w:tcPr>
        <w:p w:rsidR="00000000" w:rsidDel="00000000" w:rsidP="00000000" w:rsidRDefault="00000000" w:rsidRPr="00000000" w14:paraId="0000001F">
          <w:pPr>
            <w:spacing w:after="0" w:lineRule="auto"/>
            <w:rPr>
              <w:rFonts w:ascii="Arial" w:cs="Arial" w:eastAsia="Arial" w:hAnsi="Arial"/>
              <w:color w:val="4e5050"/>
              <w:sz w:val="18"/>
              <w:szCs w:val="18"/>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2303780" cy="484505"/>
          <wp:effectExtent b="0" l="0" r="0" t="0"/>
          <wp:docPr descr="E:\CW REBRAND\Assets\CW Logo Suite\Cushman &amp; Wakefield\CW_Logo_PMS.emf" id="1" name="image1.png"/>
          <a:graphic>
            <a:graphicData uri="http://schemas.openxmlformats.org/drawingml/2006/picture">
              <pic:pic>
                <pic:nvPicPr>
                  <pic:cNvPr descr="E:\CW REBRAND\Assets\CW Logo Suite\Cushman &amp; Wakefield\CW_Logo_PMS.emf" id="0" name="image1.png"/>
                  <pic:cNvPicPr preferRelativeResize="0"/>
                </pic:nvPicPr>
                <pic:blipFill>
                  <a:blip r:embed="rId1"/>
                  <a:srcRect b="0" l="0" r="0" t="0"/>
                  <a:stretch>
                    <a:fillRect/>
                  </a:stretch>
                </pic:blipFill>
                <pic:spPr>
                  <a:xfrm>
                    <a:off x="0" y="0"/>
                    <a:ext cx="2303780" cy="48450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2303780" cy="484505"/>
          <wp:effectExtent b="0" l="0" r="0" t="0"/>
          <wp:docPr descr="E:\CW REBRAND\Assets\CW Logo Suite\Cushman &amp; Wakefield\CW_Logo_PMS.emf" id="2" name="image1.png"/>
          <a:graphic>
            <a:graphicData uri="http://schemas.openxmlformats.org/drawingml/2006/picture">
              <pic:pic>
                <pic:nvPicPr>
                  <pic:cNvPr descr="E:\CW REBRAND\Assets\CW Logo Suite\Cushman &amp; Wakefield\CW_Logo_PMS.emf" id="0" name="image1.png"/>
                  <pic:cNvPicPr preferRelativeResize="0"/>
                </pic:nvPicPr>
                <pic:blipFill>
                  <a:blip r:embed="rId1"/>
                  <a:srcRect b="0" l="0" r="0" t="0"/>
                  <a:stretch>
                    <a:fillRect/>
                  </a:stretch>
                </pic:blipFill>
                <pic:spPr>
                  <a:xfrm>
                    <a:off x="0" y="0"/>
                    <a:ext cx="2303780" cy="4845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ushmanwakefield.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lauren.joselyn@cushwak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uren.joselyn@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4xPayReKyg6xywjEcUnHEpWmtQ==">CgMxLjAyDmguZDd6N2YzdHF3YmV3OAByITFtdXhBcHJiaVhlQlZ3V0xESWsxbzNTbUZjU2hlcHZwUQ==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2024-08-09T12:49:32Z</vt:lpwstr>
  </property>
  <property fmtid="{D5CDD505-2E9C-101B-9397-08002B2CF9AE}" pid="4" name="MSIP_Label_b086f961-1d3e-4cfe-b1e9-19b9bcf12554_Method">
    <vt:lpwstr>Standard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60c3cb59-3795-42a8-af48-43117dcbee96</vt:lpwstr>
  </property>
  <property fmtid="{D5CDD505-2E9C-101B-9397-08002B2CF9AE}" pid="8" name="MSIP_Label_b086f961-1d3e-4cfe-b1e9-19b9bcf12554_ContentBits">
    <vt:lpwstr>0</vt:lpwstr>
  </property>
  <property fmtid="{D5CDD505-2E9C-101B-9397-08002B2CF9AE}" pid="9" name="GrammarlyDocumentId">
    <vt:lpwstr>341a8607d4d2d5ce3fbf3503c2f967ea1e4ce5daa8426167cb97b41905428e1a</vt:lpwstr>
  </property>
</Properties>
</file>