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D39" w14:textId="77777777" w:rsidR="00BC5929" w:rsidRPr="00673828" w:rsidRDefault="00BC5929" w:rsidP="00BC5929">
      <w:pPr>
        <w:spacing w:after="0" w:line="240" w:lineRule="auto"/>
        <w:jc w:val="center"/>
        <w:rPr>
          <w:rFonts w:ascii="Calibri" w:eastAsia="Aptos" w:hAnsi="Calibri" w:cs="Calibri"/>
          <w:sz w:val="22"/>
          <w:szCs w:val="22"/>
          <w:u w:val="single"/>
        </w:rPr>
      </w:pPr>
      <w:r w:rsidRPr="00673828">
        <w:rPr>
          <w:rFonts w:ascii="Calibri" w:eastAsia="Aptos" w:hAnsi="Calibri" w:cs="Calibri"/>
          <w:sz w:val="22"/>
          <w:szCs w:val="22"/>
          <w:u w:val="single"/>
        </w:rPr>
        <w:t>COMUNICADO DE IMPRENSA</w:t>
      </w:r>
    </w:p>
    <w:p w14:paraId="012B66E2" w14:textId="77777777" w:rsidR="00BC5929" w:rsidRPr="00673828" w:rsidRDefault="00BC5929" w:rsidP="00BC5929">
      <w:pPr>
        <w:spacing w:after="0" w:line="240" w:lineRule="auto"/>
        <w:rPr>
          <w:rFonts w:ascii="Calibri" w:eastAsia="Aptos" w:hAnsi="Calibri" w:cs="Calibri"/>
          <w:b/>
          <w:bCs/>
          <w:sz w:val="22"/>
          <w:szCs w:val="22"/>
          <w:highlight w:val="yellow"/>
        </w:rPr>
      </w:pPr>
    </w:p>
    <w:p w14:paraId="5F8A9841" w14:textId="77777777" w:rsidR="00A12696" w:rsidRDefault="00CF2863" w:rsidP="00A12696">
      <w:pPr>
        <w:spacing w:after="0" w:line="276" w:lineRule="auto"/>
        <w:jc w:val="center"/>
        <w:rPr>
          <w:rFonts w:ascii="Calibri" w:hAnsi="Calibri" w:cs="Calibri"/>
          <w:b/>
          <w:bCs/>
          <w:sz w:val="32"/>
          <w:szCs w:val="32"/>
        </w:rPr>
      </w:pPr>
      <w:r w:rsidRPr="00485159">
        <w:rPr>
          <w:rFonts w:ascii="Calibri" w:hAnsi="Calibri" w:cs="Calibri"/>
          <w:b/>
          <w:bCs/>
          <w:sz w:val="32"/>
          <w:szCs w:val="32"/>
        </w:rPr>
        <w:t>Associações alertam que 2</w:t>
      </w:r>
      <w:r w:rsidR="007B3041" w:rsidRPr="00485159">
        <w:rPr>
          <w:rFonts w:ascii="Calibri" w:hAnsi="Calibri" w:cs="Calibri"/>
          <w:b/>
          <w:bCs/>
          <w:sz w:val="32"/>
          <w:szCs w:val="32"/>
        </w:rPr>
        <w:t>3</w:t>
      </w:r>
      <w:r w:rsidRPr="00485159">
        <w:rPr>
          <w:rFonts w:ascii="Calibri" w:hAnsi="Calibri" w:cs="Calibri"/>
          <w:b/>
          <w:bCs/>
          <w:sz w:val="32"/>
          <w:szCs w:val="32"/>
        </w:rPr>
        <w:t xml:space="preserve">% das ULS não preveem acesso </w:t>
      </w:r>
    </w:p>
    <w:p w14:paraId="45401AC6" w14:textId="76F2E6BB" w:rsidR="00CF2863" w:rsidRDefault="00CF2863" w:rsidP="00A12696">
      <w:pPr>
        <w:spacing w:after="0" w:line="276" w:lineRule="auto"/>
        <w:jc w:val="center"/>
        <w:rPr>
          <w:rFonts w:ascii="Calibri" w:hAnsi="Calibri" w:cs="Calibri"/>
          <w:b/>
          <w:bCs/>
          <w:sz w:val="32"/>
          <w:szCs w:val="32"/>
        </w:rPr>
      </w:pPr>
      <w:r w:rsidRPr="00485159">
        <w:rPr>
          <w:rFonts w:ascii="Calibri" w:hAnsi="Calibri" w:cs="Calibri"/>
          <w:b/>
          <w:bCs/>
          <w:sz w:val="32"/>
          <w:szCs w:val="32"/>
        </w:rPr>
        <w:t>dos utentes ao setor convencionado</w:t>
      </w:r>
    </w:p>
    <w:p w14:paraId="103AE5DD" w14:textId="77777777" w:rsidR="00A12696" w:rsidRPr="00A12696" w:rsidRDefault="00A12696" w:rsidP="00A12696">
      <w:pPr>
        <w:spacing w:after="0" w:line="276" w:lineRule="auto"/>
        <w:jc w:val="center"/>
        <w:rPr>
          <w:rFonts w:ascii="Calibri" w:hAnsi="Calibri" w:cs="Calibri"/>
          <w:b/>
          <w:bCs/>
          <w:sz w:val="12"/>
          <w:szCs w:val="12"/>
        </w:rPr>
      </w:pPr>
    </w:p>
    <w:p w14:paraId="131D92A7" w14:textId="28E55D4C" w:rsidR="000E20AF" w:rsidRPr="008A6D8B" w:rsidRDefault="00CA381D" w:rsidP="008A6D8B">
      <w:pPr>
        <w:pStyle w:val="PargrafodaLista"/>
        <w:numPr>
          <w:ilvl w:val="0"/>
          <w:numId w:val="2"/>
        </w:numPr>
        <w:spacing w:line="276" w:lineRule="auto"/>
        <w:ind w:left="0" w:right="140" w:hanging="284"/>
        <w:jc w:val="center"/>
        <w:rPr>
          <w:rFonts w:ascii="Calibri" w:hAnsi="Calibri" w:cs="Calibri"/>
          <w:i/>
          <w:iCs/>
          <w:color w:val="000000"/>
          <w:sz w:val="22"/>
          <w:szCs w:val="22"/>
          <w:shd w:val="clear" w:color="auto" w:fill="FFFFFF"/>
        </w:rPr>
      </w:pPr>
      <w:r w:rsidRPr="008A6D8B">
        <w:rPr>
          <w:rFonts w:ascii="Calibri" w:hAnsi="Calibri" w:cs="Calibri"/>
          <w:i/>
          <w:iCs/>
          <w:color w:val="000000"/>
          <w:sz w:val="22"/>
          <w:szCs w:val="22"/>
          <w:shd w:val="clear" w:color="auto" w:fill="FFFFFF"/>
        </w:rPr>
        <w:t>Associações alertam para práticas ilegais que restringem o acesso ao setor convencionado e a liberdade de escolha dos utentes</w:t>
      </w:r>
      <w:r w:rsidR="000E20AF" w:rsidRPr="008A6D8B">
        <w:rPr>
          <w:rFonts w:ascii="Calibri" w:hAnsi="Calibri" w:cs="Calibri"/>
          <w:i/>
          <w:iCs/>
          <w:color w:val="000000"/>
          <w:sz w:val="22"/>
          <w:szCs w:val="22"/>
          <w:shd w:val="clear" w:color="auto" w:fill="FFFFFF"/>
        </w:rPr>
        <w:t>.</w:t>
      </w:r>
    </w:p>
    <w:p w14:paraId="1B98CA05" w14:textId="078E32D4" w:rsidR="00F13AEF" w:rsidRPr="008A6D8B" w:rsidRDefault="00F13AEF" w:rsidP="008A6D8B">
      <w:pPr>
        <w:pStyle w:val="PargrafodaLista"/>
        <w:numPr>
          <w:ilvl w:val="0"/>
          <w:numId w:val="2"/>
        </w:numPr>
        <w:spacing w:line="276" w:lineRule="auto"/>
        <w:ind w:left="0" w:right="140" w:hanging="284"/>
        <w:jc w:val="center"/>
        <w:rPr>
          <w:rFonts w:ascii="Calibri" w:hAnsi="Calibri" w:cs="Calibri"/>
          <w:i/>
          <w:iCs/>
          <w:color w:val="000000"/>
          <w:sz w:val="22"/>
          <w:szCs w:val="22"/>
          <w:shd w:val="clear" w:color="auto" w:fill="FFFFFF"/>
        </w:rPr>
      </w:pPr>
      <w:r w:rsidRPr="008A6D8B">
        <w:rPr>
          <w:rFonts w:ascii="Calibri" w:hAnsi="Calibri" w:cs="Calibri"/>
          <w:i/>
          <w:iCs/>
          <w:color w:val="000000"/>
          <w:sz w:val="22"/>
          <w:szCs w:val="22"/>
          <w:shd w:val="clear" w:color="auto" w:fill="FFFFFF"/>
        </w:rPr>
        <w:t xml:space="preserve">Estudo da ERS revela que 22,6% das ULS não preveem vias de acesso ao </w:t>
      </w:r>
      <w:r w:rsidR="00251AE9" w:rsidRPr="008A6D8B">
        <w:rPr>
          <w:rFonts w:ascii="Calibri" w:hAnsi="Calibri" w:cs="Calibri"/>
          <w:i/>
          <w:iCs/>
          <w:color w:val="000000"/>
          <w:sz w:val="22"/>
          <w:szCs w:val="22"/>
          <w:shd w:val="clear" w:color="auto" w:fill="FFFFFF"/>
        </w:rPr>
        <w:t xml:space="preserve">setor </w:t>
      </w:r>
      <w:r w:rsidRPr="008A6D8B">
        <w:rPr>
          <w:rFonts w:ascii="Calibri" w:hAnsi="Calibri" w:cs="Calibri"/>
          <w:i/>
          <w:iCs/>
          <w:color w:val="000000"/>
          <w:sz w:val="22"/>
          <w:szCs w:val="22"/>
          <w:shd w:val="clear" w:color="auto" w:fill="FFFFFF"/>
        </w:rPr>
        <w:t xml:space="preserve">convencionado e que 19,4% retêm utentes </w:t>
      </w:r>
      <w:r w:rsidR="00B159FA" w:rsidRPr="008A6D8B">
        <w:rPr>
          <w:rFonts w:ascii="Calibri" w:hAnsi="Calibri" w:cs="Calibri"/>
          <w:i/>
          <w:iCs/>
          <w:color w:val="000000"/>
          <w:sz w:val="22"/>
          <w:szCs w:val="22"/>
          <w:shd w:val="clear" w:color="auto" w:fill="FFFFFF"/>
        </w:rPr>
        <w:t>quando</w:t>
      </w:r>
      <w:r w:rsidRPr="008A6D8B">
        <w:rPr>
          <w:rFonts w:ascii="Calibri" w:hAnsi="Calibri" w:cs="Calibri"/>
          <w:i/>
          <w:iCs/>
          <w:color w:val="000000"/>
          <w:sz w:val="22"/>
          <w:szCs w:val="22"/>
          <w:shd w:val="clear" w:color="auto" w:fill="FFFFFF"/>
        </w:rPr>
        <w:t xml:space="preserve"> ultrapassados os tempos máximos de resposta</w:t>
      </w:r>
      <w:r w:rsidR="00280848" w:rsidRPr="008A6D8B">
        <w:rPr>
          <w:rFonts w:ascii="Calibri" w:hAnsi="Calibri" w:cs="Calibri"/>
          <w:i/>
          <w:iCs/>
          <w:color w:val="000000"/>
          <w:sz w:val="22"/>
          <w:szCs w:val="22"/>
          <w:shd w:val="clear" w:color="auto" w:fill="FFFFFF"/>
        </w:rPr>
        <w:t>.</w:t>
      </w:r>
    </w:p>
    <w:p w14:paraId="131094DB" w14:textId="3F1974B5" w:rsidR="00CA381D" w:rsidRPr="008A6D8B" w:rsidRDefault="00CA381D" w:rsidP="008A6D8B">
      <w:pPr>
        <w:pStyle w:val="PargrafodaLista"/>
        <w:numPr>
          <w:ilvl w:val="0"/>
          <w:numId w:val="2"/>
        </w:numPr>
        <w:spacing w:line="276" w:lineRule="auto"/>
        <w:ind w:left="0" w:right="140" w:hanging="284"/>
        <w:jc w:val="center"/>
        <w:rPr>
          <w:rFonts w:ascii="Calibri" w:hAnsi="Calibri" w:cs="Calibri"/>
          <w:i/>
          <w:iCs/>
          <w:color w:val="000000"/>
          <w:sz w:val="22"/>
          <w:szCs w:val="22"/>
          <w:shd w:val="clear" w:color="auto" w:fill="FFFFFF"/>
        </w:rPr>
      </w:pPr>
      <w:r w:rsidRPr="008A6D8B">
        <w:rPr>
          <w:rFonts w:ascii="Calibri" w:hAnsi="Calibri" w:cs="Calibri"/>
          <w:i/>
          <w:iCs/>
          <w:color w:val="000000"/>
          <w:sz w:val="22"/>
          <w:szCs w:val="22"/>
          <w:shd w:val="clear" w:color="auto" w:fill="FFFFFF"/>
        </w:rPr>
        <w:t xml:space="preserve">Internalização de </w:t>
      </w:r>
      <w:r w:rsidR="008A6D8B" w:rsidRPr="008A6D8B">
        <w:rPr>
          <w:rFonts w:ascii="Calibri" w:hAnsi="Calibri" w:cs="Calibri"/>
          <w:i/>
          <w:iCs/>
          <w:color w:val="000000"/>
          <w:sz w:val="22"/>
          <w:szCs w:val="22"/>
          <w:shd w:val="clear" w:color="auto" w:fill="FFFFFF"/>
        </w:rPr>
        <w:t>MCDT</w:t>
      </w:r>
      <w:r w:rsidR="00B159FA" w:rsidRPr="008A6D8B">
        <w:rPr>
          <w:rFonts w:ascii="Calibri" w:hAnsi="Calibri" w:cs="Calibri"/>
          <w:i/>
          <w:iCs/>
          <w:color w:val="000000"/>
          <w:sz w:val="22"/>
          <w:szCs w:val="22"/>
          <w:shd w:val="clear" w:color="auto" w:fill="FFFFFF"/>
        </w:rPr>
        <w:t xml:space="preserve"> </w:t>
      </w:r>
      <w:r w:rsidRPr="008A6D8B">
        <w:rPr>
          <w:rFonts w:ascii="Calibri" w:hAnsi="Calibri" w:cs="Calibri"/>
          <w:i/>
          <w:iCs/>
          <w:color w:val="000000"/>
          <w:sz w:val="22"/>
          <w:szCs w:val="22"/>
          <w:shd w:val="clear" w:color="auto" w:fill="FFFFFF"/>
        </w:rPr>
        <w:t>nas ULS compromete o acesso, agrava desigualdades territoriais e fragiliza a sustentabilidade da rede convencionada</w:t>
      </w:r>
      <w:r w:rsidR="000E20AF" w:rsidRPr="008A6D8B">
        <w:rPr>
          <w:rFonts w:ascii="Calibri" w:hAnsi="Calibri" w:cs="Calibri"/>
          <w:i/>
          <w:iCs/>
          <w:color w:val="000000"/>
          <w:sz w:val="22"/>
          <w:szCs w:val="22"/>
          <w:shd w:val="clear" w:color="auto" w:fill="FFFFFF"/>
        </w:rPr>
        <w:t>.</w:t>
      </w:r>
    </w:p>
    <w:p w14:paraId="792C587B" w14:textId="3FD2AD04" w:rsidR="00BC5929" w:rsidRPr="00E66F40" w:rsidRDefault="00BC5929" w:rsidP="0038148E">
      <w:pPr>
        <w:pStyle w:val="PargrafodaLista"/>
        <w:spacing w:line="276" w:lineRule="auto"/>
        <w:ind w:left="142"/>
        <w:rPr>
          <w:rFonts w:ascii="Calibri" w:hAnsi="Calibri" w:cs="Calibri"/>
          <w:i/>
          <w:iCs/>
          <w:color w:val="000000"/>
          <w:sz w:val="12"/>
          <w:szCs w:val="12"/>
          <w:shd w:val="clear" w:color="auto" w:fill="FFFFFF"/>
        </w:rPr>
      </w:pPr>
    </w:p>
    <w:p w14:paraId="4567E7D5" w14:textId="6D85FA4D" w:rsidR="00AD2BA8" w:rsidRPr="004862AC" w:rsidRDefault="00BC5929" w:rsidP="00E60F98">
      <w:pPr>
        <w:spacing w:line="276" w:lineRule="auto"/>
        <w:ind w:left="-142"/>
        <w:jc w:val="both"/>
        <w:rPr>
          <w:rFonts w:ascii="Calibri" w:hAnsi="Calibri" w:cs="Calibri"/>
          <w:sz w:val="22"/>
          <w:szCs w:val="22"/>
        </w:rPr>
      </w:pPr>
      <w:r w:rsidRPr="00BC5929">
        <w:rPr>
          <w:rFonts w:ascii="Calibri" w:hAnsi="Calibri" w:cs="Calibri"/>
          <w:b/>
          <w:bCs/>
          <w:sz w:val="22"/>
          <w:szCs w:val="22"/>
        </w:rPr>
        <w:t xml:space="preserve">Lisboa, </w:t>
      </w:r>
      <w:r w:rsidR="00D46D18">
        <w:rPr>
          <w:rFonts w:ascii="Calibri" w:hAnsi="Calibri" w:cs="Calibri"/>
          <w:b/>
          <w:bCs/>
          <w:sz w:val="22"/>
          <w:szCs w:val="22"/>
        </w:rPr>
        <w:t xml:space="preserve">14 </w:t>
      </w:r>
      <w:r w:rsidRPr="00BC5929">
        <w:rPr>
          <w:rFonts w:ascii="Calibri" w:hAnsi="Calibri" w:cs="Calibri"/>
          <w:b/>
          <w:bCs/>
          <w:sz w:val="22"/>
          <w:szCs w:val="22"/>
        </w:rPr>
        <w:t xml:space="preserve">de </w:t>
      </w:r>
      <w:r w:rsidR="00E95063">
        <w:rPr>
          <w:rFonts w:ascii="Calibri" w:hAnsi="Calibri" w:cs="Calibri"/>
          <w:b/>
          <w:bCs/>
          <w:sz w:val="22"/>
          <w:szCs w:val="22"/>
        </w:rPr>
        <w:t>abril</w:t>
      </w:r>
      <w:r w:rsidRPr="00BC5929">
        <w:rPr>
          <w:rFonts w:ascii="Calibri" w:hAnsi="Calibri" w:cs="Calibri"/>
          <w:b/>
          <w:bCs/>
          <w:sz w:val="22"/>
          <w:szCs w:val="22"/>
        </w:rPr>
        <w:t xml:space="preserve"> de 202</w:t>
      </w:r>
      <w:r w:rsidR="00A01123">
        <w:rPr>
          <w:rFonts w:ascii="Calibri" w:hAnsi="Calibri" w:cs="Calibri"/>
          <w:b/>
          <w:bCs/>
          <w:sz w:val="22"/>
          <w:szCs w:val="22"/>
        </w:rPr>
        <w:t>6</w:t>
      </w:r>
      <w:r w:rsidRPr="00BC5929">
        <w:rPr>
          <w:rFonts w:ascii="Calibri" w:hAnsi="Calibri" w:cs="Calibri"/>
          <w:b/>
          <w:bCs/>
          <w:sz w:val="22"/>
          <w:szCs w:val="22"/>
        </w:rPr>
        <w:t xml:space="preserve"> –</w:t>
      </w:r>
      <w:r w:rsidRPr="00BC5929">
        <w:rPr>
          <w:rFonts w:ascii="Calibri" w:hAnsi="Calibri" w:cs="Calibri"/>
          <w:sz w:val="22"/>
          <w:szCs w:val="22"/>
        </w:rPr>
        <w:t xml:space="preserve"> </w:t>
      </w:r>
      <w:r w:rsidR="00A01123" w:rsidRPr="004862AC">
        <w:rPr>
          <w:rFonts w:ascii="Calibri" w:hAnsi="Calibri" w:cs="Calibri"/>
          <w:sz w:val="22"/>
          <w:szCs w:val="22"/>
        </w:rPr>
        <w:t>A Associação Nacional de Unidades de Diagnóstico por Imagem (ANAUDI), a Associação Nacional de Cardiologistas (ANACARD) e a Associação Nacional d</w:t>
      </w:r>
      <w:r w:rsidR="00BA5FD5" w:rsidRPr="004862AC">
        <w:rPr>
          <w:rFonts w:ascii="Calibri" w:hAnsi="Calibri" w:cs="Calibri"/>
          <w:sz w:val="22"/>
          <w:szCs w:val="22"/>
        </w:rPr>
        <w:t>os</w:t>
      </w:r>
      <w:r w:rsidR="00A01123" w:rsidRPr="004862AC">
        <w:rPr>
          <w:rFonts w:ascii="Calibri" w:hAnsi="Calibri" w:cs="Calibri"/>
          <w:sz w:val="22"/>
          <w:szCs w:val="22"/>
        </w:rPr>
        <w:t xml:space="preserve"> Laboratórios Clínicos (ANL) alertam para </w:t>
      </w:r>
      <w:r w:rsidR="00E14925" w:rsidRPr="004862AC">
        <w:rPr>
          <w:rFonts w:ascii="Calibri" w:hAnsi="Calibri" w:cs="Calibri"/>
          <w:sz w:val="22"/>
          <w:szCs w:val="22"/>
        </w:rPr>
        <w:t xml:space="preserve">a ilegalidade das </w:t>
      </w:r>
      <w:r w:rsidR="00A01123" w:rsidRPr="004862AC">
        <w:rPr>
          <w:rFonts w:ascii="Calibri" w:hAnsi="Calibri" w:cs="Calibri"/>
          <w:sz w:val="22"/>
          <w:szCs w:val="22"/>
        </w:rPr>
        <w:t xml:space="preserve">práticas </w:t>
      </w:r>
      <w:r w:rsidR="00E14925" w:rsidRPr="004862AC">
        <w:rPr>
          <w:rFonts w:ascii="Calibri" w:hAnsi="Calibri" w:cs="Calibri"/>
          <w:sz w:val="22"/>
          <w:szCs w:val="22"/>
        </w:rPr>
        <w:t>de</w:t>
      </w:r>
      <w:r w:rsidR="00A01123" w:rsidRPr="004862AC">
        <w:rPr>
          <w:rFonts w:ascii="Calibri" w:hAnsi="Calibri" w:cs="Calibri"/>
          <w:sz w:val="22"/>
          <w:szCs w:val="22"/>
        </w:rPr>
        <w:t xml:space="preserve"> várias Unidades Locais de Saúde (ULS</w:t>
      </w:r>
      <w:r w:rsidR="009C327D">
        <w:rPr>
          <w:rFonts w:ascii="Calibri" w:hAnsi="Calibri" w:cs="Calibri"/>
          <w:sz w:val="22"/>
          <w:szCs w:val="22"/>
        </w:rPr>
        <w:t>)</w:t>
      </w:r>
      <w:r w:rsidR="00A01123" w:rsidRPr="004862AC">
        <w:rPr>
          <w:rFonts w:ascii="Calibri" w:hAnsi="Calibri" w:cs="Calibri"/>
          <w:sz w:val="22"/>
          <w:szCs w:val="22"/>
        </w:rPr>
        <w:t xml:space="preserve"> que limita</w:t>
      </w:r>
      <w:r w:rsidR="00BA5FD5" w:rsidRPr="004862AC">
        <w:rPr>
          <w:rFonts w:ascii="Calibri" w:hAnsi="Calibri" w:cs="Calibri"/>
          <w:sz w:val="22"/>
          <w:szCs w:val="22"/>
        </w:rPr>
        <w:t>m</w:t>
      </w:r>
      <w:r w:rsidR="00A01123" w:rsidRPr="004862AC">
        <w:rPr>
          <w:rFonts w:ascii="Calibri" w:hAnsi="Calibri" w:cs="Calibri"/>
          <w:sz w:val="22"/>
          <w:szCs w:val="22"/>
        </w:rPr>
        <w:t xml:space="preserve"> o direito dos utentes à liberdade de escolha e compromete</w:t>
      </w:r>
      <w:r w:rsidR="004217DC" w:rsidRPr="004862AC">
        <w:rPr>
          <w:rFonts w:ascii="Calibri" w:hAnsi="Calibri" w:cs="Calibri"/>
          <w:sz w:val="22"/>
          <w:szCs w:val="22"/>
        </w:rPr>
        <w:t>m</w:t>
      </w:r>
      <w:r w:rsidR="00A01123" w:rsidRPr="004862AC">
        <w:rPr>
          <w:rFonts w:ascii="Calibri" w:hAnsi="Calibri" w:cs="Calibri"/>
          <w:sz w:val="22"/>
          <w:szCs w:val="22"/>
        </w:rPr>
        <w:t xml:space="preserve"> o acesso a meios complementares de diagnóstico e terapêutica </w:t>
      </w:r>
      <w:r w:rsidR="001F1291" w:rsidRPr="004862AC">
        <w:rPr>
          <w:rFonts w:ascii="Calibri" w:hAnsi="Calibri" w:cs="Calibri"/>
          <w:sz w:val="22"/>
          <w:szCs w:val="22"/>
        </w:rPr>
        <w:t xml:space="preserve">em tempo útil, </w:t>
      </w:r>
      <w:r w:rsidR="00A01123" w:rsidRPr="004862AC">
        <w:rPr>
          <w:rFonts w:ascii="Calibri" w:hAnsi="Calibri" w:cs="Calibri"/>
          <w:sz w:val="22"/>
          <w:szCs w:val="22"/>
        </w:rPr>
        <w:t>no Serviço Nacional de Saúde (SNS)</w:t>
      </w:r>
      <w:r w:rsidR="001F1291" w:rsidRPr="004862AC">
        <w:rPr>
          <w:rFonts w:ascii="Calibri" w:hAnsi="Calibri" w:cs="Calibri"/>
          <w:sz w:val="22"/>
          <w:szCs w:val="22"/>
        </w:rPr>
        <w:t>.</w:t>
      </w:r>
    </w:p>
    <w:p w14:paraId="1B1762DE" w14:textId="1F36BE22" w:rsidR="00E24170" w:rsidRPr="004862AC" w:rsidRDefault="00A01123" w:rsidP="00E24170">
      <w:pPr>
        <w:spacing w:line="276" w:lineRule="auto"/>
        <w:ind w:left="-142"/>
        <w:jc w:val="both"/>
        <w:rPr>
          <w:rFonts w:ascii="Calibri" w:hAnsi="Calibri" w:cs="Calibri"/>
          <w:sz w:val="22"/>
          <w:szCs w:val="22"/>
        </w:rPr>
      </w:pPr>
      <w:r w:rsidRPr="00A01123">
        <w:rPr>
          <w:rFonts w:ascii="Calibri" w:hAnsi="Calibri" w:cs="Calibri"/>
          <w:sz w:val="22"/>
          <w:szCs w:val="22"/>
        </w:rPr>
        <w:t>A posição conjunta das três associações surge na sequência do recente estudo da Entidade Reguladora da Saúde (ERS)</w:t>
      </w:r>
      <w:r w:rsidR="004D3522" w:rsidRPr="004862AC">
        <w:rPr>
          <w:rFonts w:ascii="Calibri" w:hAnsi="Calibri" w:cs="Calibri"/>
          <w:sz w:val="22"/>
          <w:szCs w:val="22"/>
        </w:rPr>
        <w:t>,</w:t>
      </w:r>
      <w:r w:rsidRPr="00A01123">
        <w:rPr>
          <w:rFonts w:ascii="Calibri" w:hAnsi="Calibri" w:cs="Calibri"/>
          <w:sz w:val="22"/>
          <w:szCs w:val="22"/>
        </w:rPr>
        <w:t xml:space="preserve"> sobre o desempenho das </w:t>
      </w:r>
      <w:r w:rsidR="004D28A0" w:rsidRPr="004862AC">
        <w:rPr>
          <w:rFonts w:ascii="Calibri" w:hAnsi="Calibri" w:cs="Calibri"/>
          <w:sz w:val="22"/>
          <w:szCs w:val="22"/>
        </w:rPr>
        <w:t xml:space="preserve">39 </w:t>
      </w:r>
      <w:r w:rsidRPr="00A01123">
        <w:rPr>
          <w:rFonts w:ascii="Calibri" w:hAnsi="Calibri" w:cs="Calibri"/>
          <w:sz w:val="22"/>
          <w:szCs w:val="22"/>
        </w:rPr>
        <w:t>ULS</w:t>
      </w:r>
      <w:r w:rsidR="004D28A0" w:rsidRPr="004862AC">
        <w:rPr>
          <w:rFonts w:ascii="Calibri" w:hAnsi="Calibri" w:cs="Calibri"/>
          <w:sz w:val="22"/>
          <w:szCs w:val="22"/>
        </w:rPr>
        <w:t xml:space="preserve"> de Portugal </w:t>
      </w:r>
      <w:r w:rsidR="00E60F98" w:rsidRPr="004862AC">
        <w:rPr>
          <w:rFonts w:ascii="Calibri" w:hAnsi="Calibri" w:cs="Calibri"/>
          <w:sz w:val="22"/>
          <w:szCs w:val="22"/>
        </w:rPr>
        <w:t>c</w:t>
      </w:r>
      <w:r w:rsidR="004D28A0" w:rsidRPr="004862AC">
        <w:rPr>
          <w:rFonts w:ascii="Calibri" w:hAnsi="Calibri" w:cs="Calibri"/>
          <w:sz w:val="22"/>
          <w:szCs w:val="22"/>
        </w:rPr>
        <w:t>ontinental</w:t>
      </w:r>
      <w:r w:rsidRPr="00A01123">
        <w:rPr>
          <w:rFonts w:ascii="Calibri" w:hAnsi="Calibri" w:cs="Calibri"/>
          <w:sz w:val="22"/>
          <w:szCs w:val="22"/>
        </w:rPr>
        <w:t xml:space="preserve">, </w:t>
      </w:r>
      <w:r w:rsidR="00BD317E" w:rsidRPr="004862AC">
        <w:rPr>
          <w:rFonts w:ascii="Calibri" w:hAnsi="Calibri" w:cs="Calibri"/>
          <w:sz w:val="22"/>
          <w:szCs w:val="22"/>
        </w:rPr>
        <w:t xml:space="preserve">no qual a </w:t>
      </w:r>
      <w:r w:rsidRPr="00A01123">
        <w:rPr>
          <w:rFonts w:ascii="Calibri" w:hAnsi="Calibri" w:cs="Calibri"/>
          <w:sz w:val="22"/>
          <w:szCs w:val="22"/>
        </w:rPr>
        <w:t>internalização de exames é apresentada como uma vantagem organizativa por parte das ULS</w:t>
      </w:r>
      <w:r w:rsidR="00854D94" w:rsidRPr="004862AC">
        <w:rPr>
          <w:rFonts w:ascii="Calibri" w:hAnsi="Calibri" w:cs="Calibri"/>
          <w:sz w:val="22"/>
          <w:szCs w:val="22"/>
        </w:rPr>
        <w:t xml:space="preserve">, embora </w:t>
      </w:r>
      <w:r w:rsidRPr="00A01123">
        <w:rPr>
          <w:rFonts w:ascii="Calibri" w:hAnsi="Calibri" w:cs="Calibri"/>
          <w:sz w:val="22"/>
          <w:szCs w:val="22"/>
        </w:rPr>
        <w:t>os dados revel</w:t>
      </w:r>
      <w:r w:rsidR="00854D94" w:rsidRPr="004862AC">
        <w:rPr>
          <w:rFonts w:ascii="Calibri" w:hAnsi="Calibri" w:cs="Calibri"/>
          <w:sz w:val="22"/>
          <w:szCs w:val="22"/>
        </w:rPr>
        <w:t>e</w:t>
      </w:r>
      <w:r w:rsidRPr="00A01123">
        <w:rPr>
          <w:rFonts w:ascii="Calibri" w:hAnsi="Calibri" w:cs="Calibri"/>
          <w:sz w:val="22"/>
          <w:szCs w:val="22"/>
        </w:rPr>
        <w:t>m, simultaneamente, um agravamento das dificuldades de acesso aos cuidados de saúde, traduzido em níveis elevados de incumprimento dos tempos máximos de resposta garantidos (TMRG), assimetrias territoriais significativas e um volume expressivo de reclamações dos utentes diretamente relacionadas com o acesso.</w:t>
      </w:r>
    </w:p>
    <w:p w14:paraId="595974AD" w14:textId="042CA8AC" w:rsidR="00E24170" w:rsidRPr="004862AC" w:rsidRDefault="00BB5175" w:rsidP="00E24170">
      <w:pPr>
        <w:spacing w:line="276" w:lineRule="auto"/>
        <w:ind w:left="-142"/>
        <w:jc w:val="both"/>
        <w:rPr>
          <w:rFonts w:ascii="Calibri" w:hAnsi="Calibri" w:cs="Calibri"/>
          <w:sz w:val="22"/>
          <w:szCs w:val="22"/>
        </w:rPr>
      </w:pPr>
      <w:r w:rsidRPr="004862AC">
        <w:rPr>
          <w:rFonts w:ascii="Calibri" w:hAnsi="Calibri" w:cs="Calibri"/>
          <w:sz w:val="22"/>
          <w:szCs w:val="22"/>
        </w:rPr>
        <w:t xml:space="preserve">O estudo revela </w:t>
      </w:r>
      <w:r w:rsidR="000A0CCA" w:rsidRPr="004862AC">
        <w:rPr>
          <w:rFonts w:ascii="Calibri" w:hAnsi="Calibri" w:cs="Calibri"/>
          <w:sz w:val="22"/>
          <w:szCs w:val="22"/>
        </w:rPr>
        <w:t xml:space="preserve">falhas preocupantes no </w:t>
      </w:r>
      <w:r w:rsidR="000A0CCA" w:rsidRPr="00A01123">
        <w:rPr>
          <w:rFonts w:ascii="Calibri" w:hAnsi="Calibri" w:cs="Calibri"/>
          <w:sz w:val="22"/>
          <w:szCs w:val="22"/>
        </w:rPr>
        <w:t xml:space="preserve">encaminhamento </w:t>
      </w:r>
      <w:r w:rsidR="000A0CCA" w:rsidRPr="004862AC">
        <w:rPr>
          <w:rFonts w:ascii="Calibri" w:hAnsi="Calibri" w:cs="Calibri"/>
          <w:sz w:val="22"/>
          <w:szCs w:val="22"/>
        </w:rPr>
        <w:t xml:space="preserve">dos utentes </w:t>
      </w:r>
      <w:r w:rsidR="000A0CCA" w:rsidRPr="00A01123">
        <w:rPr>
          <w:rFonts w:ascii="Calibri" w:hAnsi="Calibri" w:cs="Calibri"/>
          <w:sz w:val="22"/>
          <w:szCs w:val="22"/>
        </w:rPr>
        <w:t>para o setor convencionado</w:t>
      </w:r>
      <w:r w:rsidR="000A0CCA" w:rsidRPr="004862AC">
        <w:rPr>
          <w:rFonts w:ascii="Calibri" w:hAnsi="Calibri" w:cs="Calibri"/>
          <w:sz w:val="22"/>
          <w:szCs w:val="22"/>
        </w:rPr>
        <w:t xml:space="preserve">, </w:t>
      </w:r>
      <w:r w:rsidR="00CA07F7" w:rsidRPr="004862AC">
        <w:rPr>
          <w:rFonts w:ascii="Calibri" w:hAnsi="Calibri" w:cs="Calibri"/>
          <w:sz w:val="22"/>
          <w:szCs w:val="22"/>
        </w:rPr>
        <w:t>sendo que uma</w:t>
      </w:r>
      <w:r w:rsidRPr="004862AC">
        <w:rPr>
          <w:rFonts w:ascii="Calibri" w:hAnsi="Calibri" w:cs="Calibri"/>
          <w:sz w:val="22"/>
          <w:szCs w:val="22"/>
        </w:rPr>
        <w:t xml:space="preserve"> percentagem significativa das ULS indica limitações</w:t>
      </w:r>
      <w:r w:rsidR="00FC6B71" w:rsidRPr="004862AC">
        <w:rPr>
          <w:rFonts w:ascii="Calibri" w:hAnsi="Calibri" w:cs="Calibri"/>
          <w:sz w:val="22"/>
          <w:szCs w:val="22"/>
        </w:rPr>
        <w:t>,</w:t>
      </w:r>
      <w:r w:rsidRPr="004862AC">
        <w:rPr>
          <w:rFonts w:ascii="Calibri" w:hAnsi="Calibri" w:cs="Calibri"/>
          <w:sz w:val="22"/>
          <w:szCs w:val="22"/>
        </w:rPr>
        <w:t xml:space="preserve"> ou mesmo inexistência</w:t>
      </w:r>
      <w:r w:rsidR="00FC6B71" w:rsidRPr="004862AC">
        <w:rPr>
          <w:rFonts w:ascii="Calibri" w:hAnsi="Calibri" w:cs="Calibri"/>
          <w:sz w:val="22"/>
          <w:szCs w:val="22"/>
        </w:rPr>
        <w:t>,</w:t>
      </w:r>
      <w:r w:rsidRPr="004862AC">
        <w:rPr>
          <w:rFonts w:ascii="Calibri" w:hAnsi="Calibri" w:cs="Calibri"/>
          <w:sz w:val="22"/>
          <w:szCs w:val="22"/>
        </w:rPr>
        <w:t xml:space="preserve"> de vias de requisição para entidades convencionadas, com 22,6% das unidades a referirem que o acesso pode ocorrer “</w:t>
      </w:r>
      <w:r w:rsidRPr="00776D9E">
        <w:rPr>
          <w:rFonts w:ascii="Calibri" w:hAnsi="Calibri" w:cs="Calibri"/>
          <w:i/>
          <w:iCs/>
          <w:sz w:val="22"/>
          <w:szCs w:val="22"/>
        </w:rPr>
        <w:t>através de nenhuma das hipóteses</w:t>
      </w:r>
      <w:r w:rsidRPr="004862AC">
        <w:rPr>
          <w:rFonts w:ascii="Calibri" w:hAnsi="Calibri" w:cs="Calibri"/>
          <w:sz w:val="22"/>
          <w:szCs w:val="22"/>
        </w:rPr>
        <w:t>”</w:t>
      </w:r>
      <w:r w:rsidR="00871B98">
        <w:rPr>
          <w:rFonts w:ascii="Calibri" w:hAnsi="Calibri" w:cs="Calibri"/>
          <w:sz w:val="22"/>
          <w:szCs w:val="22"/>
        </w:rPr>
        <w:t xml:space="preserve">. É </w:t>
      </w:r>
      <w:r w:rsidR="00FC6B71" w:rsidRPr="004862AC">
        <w:rPr>
          <w:rFonts w:ascii="Calibri" w:hAnsi="Calibri" w:cs="Calibri"/>
          <w:sz w:val="22"/>
          <w:szCs w:val="22"/>
        </w:rPr>
        <w:t>igualmente reduzida a proporção de ULS que admite a existência de múltiplos canais de acesso</w:t>
      </w:r>
      <w:r w:rsidRPr="004862AC">
        <w:rPr>
          <w:rFonts w:ascii="Calibri" w:hAnsi="Calibri" w:cs="Calibri"/>
          <w:sz w:val="22"/>
          <w:szCs w:val="22"/>
        </w:rPr>
        <w:t xml:space="preserve">, o que </w:t>
      </w:r>
      <w:r w:rsidR="005A08A1" w:rsidRPr="004862AC">
        <w:rPr>
          <w:rFonts w:ascii="Calibri" w:hAnsi="Calibri" w:cs="Calibri"/>
          <w:sz w:val="22"/>
          <w:szCs w:val="22"/>
        </w:rPr>
        <w:t>traduz</w:t>
      </w:r>
      <w:r w:rsidRPr="004862AC">
        <w:rPr>
          <w:rFonts w:ascii="Calibri" w:hAnsi="Calibri" w:cs="Calibri"/>
          <w:sz w:val="22"/>
          <w:szCs w:val="22"/>
        </w:rPr>
        <w:t xml:space="preserve">, na prática, a criação de barreiras administrativas ao acesso e a restrição da liberdade de escolha dos utentes. </w:t>
      </w:r>
      <w:r w:rsidR="005A08A1" w:rsidRPr="004862AC">
        <w:rPr>
          <w:rFonts w:ascii="Calibri" w:hAnsi="Calibri" w:cs="Calibri"/>
          <w:sz w:val="22"/>
          <w:szCs w:val="22"/>
        </w:rPr>
        <w:t>Adicionalmente</w:t>
      </w:r>
      <w:r w:rsidRPr="004862AC">
        <w:rPr>
          <w:rFonts w:ascii="Calibri" w:hAnsi="Calibri" w:cs="Calibri"/>
          <w:sz w:val="22"/>
          <w:szCs w:val="22"/>
        </w:rPr>
        <w:t xml:space="preserve">, </w:t>
      </w:r>
      <w:r w:rsidR="005A08A1" w:rsidRPr="004862AC">
        <w:rPr>
          <w:rFonts w:ascii="Calibri" w:hAnsi="Calibri" w:cs="Calibri"/>
          <w:sz w:val="22"/>
          <w:szCs w:val="22"/>
        </w:rPr>
        <w:t>nas</w:t>
      </w:r>
      <w:r w:rsidRPr="004862AC">
        <w:rPr>
          <w:rFonts w:ascii="Calibri" w:hAnsi="Calibri" w:cs="Calibri"/>
          <w:sz w:val="22"/>
          <w:szCs w:val="22"/>
        </w:rPr>
        <w:t xml:space="preserve"> situações em que não exist</w:t>
      </w:r>
      <w:r w:rsidR="001A0140" w:rsidRPr="004862AC">
        <w:rPr>
          <w:rFonts w:ascii="Calibri" w:hAnsi="Calibri" w:cs="Calibri"/>
          <w:sz w:val="22"/>
          <w:szCs w:val="22"/>
        </w:rPr>
        <w:t>a</w:t>
      </w:r>
      <w:r w:rsidRPr="004862AC">
        <w:rPr>
          <w:rFonts w:ascii="Calibri" w:hAnsi="Calibri" w:cs="Calibri"/>
          <w:sz w:val="22"/>
          <w:szCs w:val="22"/>
        </w:rPr>
        <w:t xml:space="preserve"> capacidade interna de resposta em tempo útil, 19,4% das ULS </w:t>
      </w:r>
      <w:r w:rsidR="00664936" w:rsidRPr="004862AC">
        <w:rPr>
          <w:rFonts w:ascii="Calibri" w:hAnsi="Calibri" w:cs="Calibri"/>
          <w:sz w:val="22"/>
          <w:szCs w:val="22"/>
        </w:rPr>
        <w:t>indicaram manter</w:t>
      </w:r>
      <w:r w:rsidRPr="004862AC">
        <w:rPr>
          <w:rFonts w:ascii="Calibri" w:hAnsi="Calibri" w:cs="Calibri"/>
          <w:sz w:val="22"/>
          <w:szCs w:val="22"/>
        </w:rPr>
        <w:t xml:space="preserve"> os utentes </w:t>
      </w:r>
      <w:r w:rsidR="004646F2" w:rsidRPr="004862AC">
        <w:rPr>
          <w:rFonts w:ascii="Calibri" w:hAnsi="Calibri" w:cs="Calibri"/>
          <w:sz w:val="22"/>
          <w:szCs w:val="22"/>
        </w:rPr>
        <w:t xml:space="preserve">nos circuitos internos </w:t>
      </w:r>
      <w:r w:rsidR="00664936" w:rsidRPr="004862AC">
        <w:rPr>
          <w:rFonts w:ascii="Calibri" w:hAnsi="Calibri" w:cs="Calibri"/>
          <w:sz w:val="22"/>
          <w:szCs w:val="22"/>
        </w:rPr>
        <w:t>para realização do MCDT</w:t>
      </w:r>
      <w:r w:rsidRPr="004862AC">
        <w:rPr>
          <w:rFonts w:ascii="Calibri" w:hAnsi="Calibri" w:cs="Calibri"/>
          <w:sz w:val="22"/>
          <w:szCs w:val="22"/>
        </w:rPr>
        <w:t>, em desconformidade com o enquadramento legal e regulatório aplicável.</w:t>
      </w:r>
    </w:p>
    <w:p w14:paraId="7EA6FB36" w14:textId="77777777" w:rsidR="00485159" w:rsidRPr="004862AC" w:rsidRDefault="00A01123" w:rsidP="00485159">
      <w:pPr>
        <w:spacing w:line="276" w:lineRule="auto"/>
        <w:ind w:left="-142"/>
        <w:jc w:val="both"/>
        <w:rPr>
          <w:rFonts w:ascii="Calibri" w:hAnsi="Calibri" w:cs="Calibri"/>
          <w:sz w:val="22"/>
          <w:szCs w:val="22"/>
        </w:rPr>
      </w:pPr>
      <w:r w:rsidRPr="00A01123">
        <w:rPr>
          <w:rFonts w:ascii="Calibri" w:hAnsi="Calibri" w:cs="Calibri"/>
          <w:sz w:val="22"/>
          <w:szCs w:val="22"/>
        </w:rPr>
        <w:t>As associações sublinham que estas práticas são juridicamente inaceitáveis, na medida em que o quadro legal vigente consagra</w:t>
      </w:r>
      <w:r w:rsidR="00A24F47" w:rsidRPr="004862AC">
        <w:rPr>
          <w:rFonts w:ascii="Calibri" w:hAnsi="Calibri" w:cs="Calibri"/>
          <w:sz w:val="22"/>
          <w:szCs w:val="22"/>
        </w:rPr>
        <w:t>,</w:t>
      </w:r>
      <w:r w:rsidRPr="00A01123">
        <w:rPr>
          <w:rFonts w:ascii="Calibri" w:hAnsi="Calibri" w:cs="Calibri"/>
          <w:sz w:val="22"/>
          <w:szCs w:val="22"/>
        </w:rPr>
        <w:t xml:space="preserve"> de forma inequívoca</w:t>
      </w:r>
      <w:r w:rsidR="00A24F47" w:rsidRPr="004862AC">
        <w:rPr>
          <w:rFonts w:ascii="Calibri" w:hAnsi="Calibri" w:cs="Calibri"/>
          <w:sz w:val="22"/>
          <w:szCs w:val="22"/>
        </w:rPr>
        <w:t>,</w:t>
      </w:r>
      <w:r w:rsidRPr="00A01123">
        <w:rPr>
          <w:rFonts w:ascii="Calibri" w:hAnsi="Calibri" w:cs="Calibri"/>
          <w:sz w:val="22"/>
          <w:szCs w:val="22"/>
        </w:rPr>
        <w:t xml:space="preserve"> o setor convencionado como parte integrante da rede nacional de prestação de cuidados de saúde, devendo ser acionado sempre que o SNS não assegure resposta em tempo adequado, garantindo</w:t>
      </w:r>
      <w:r w:rsidR="00A24F47" w:rsidRPr="004862AC">
        <w:rPr>
          <w:rFonts w:ascii="Calibri" w:hAnsi="Calibri" w:cs="Calibri"/>
          <w:sz w:val="22"/>
          <w:szCs w:val="22"/>
        </w:rPr>
        <w:t>, simultaneamente,</w:t>
      </w:r>
      <w:r w:rsidRPr="00A01123">
        <w:rPr>
          <w:rFonts w:ascii="Calibri" w:hAnsi="Calibri" w:cs="Calibri"/>
          <w:sz w:val="22"/>
          <w:szCs w:val="22"/>
        </w:rPr>
        <w:t xml:space="preserve"> o direito dos utentes à livre escolha do prestador. Neste contexto, quaisquer práticas que limitem o acesso ao setor convencionado, designadamente através da ausência de canais de encaminhamento, da retenção </w:t>
      </w:r>
      <w:r w:rsidRPr="00A01123">
        <w:rPr>
          <w:rFonts w:ascii="Calibri" w:hAnsi="Calibri" w:cs="Calibri"/>
          <w:sz w:val="22"/>
          <w:szCs w:val="22"/>
        </w:rPr>
        <w:lastRenderedPageBreak/>
        <w:t>de utentes em listas internas ou da falta de informação sobre alternativas disponíveis, configuram uma violação material dos direitos dos utentes.</w:t>
      </w:r>
    </w:p>
    <w:p w14:paraId="1B121FCE" w14:textId="476B68F9" w:rsidR="00323365" w:rsidRPr="004862AC" w:rsidRDefault="00200459" w:rsidP="00485159">
      <w:pPr>
        <w:spacing w:line="276" w:lineRule="auto"/>
        <w:ind w:left="-142"/>
        <w:jc w:val="both"/>
        <w:rPr>
          <w:rFonts w:ascii="Calibri" w:hAnsi="Calibri" w:cs="Calibri"/>
          <w:sz w:val="22"/>
          <w:szCs w:val="22"/>
        </w:rPr>
      </w:pPr>
      <w:r w:rsidRPr="004862AC">
        <w:rPr>
          <w:rFonts w:ascii="Calibri" w:hAnsi="Calibri" w:cs="Calibri"/>
          <w:sz w:val="22"/>
          <w:szCs w:val="22"/>
        </w:rPr>
        <w:t xml:space="preserve">A ANAUDI, a ANACARD e a ANL sublinham, na sua posição conjunta, que </w:t>
      </w:r>
      <w:r w:rsidRPr="004862AC">
        <w:rPr>
          <w:rFonts w:ascii="Calibri" w:hAnsi="Calibri" w:cs="Calibri"/>
          <w:i/>
          <w:iCs/>
          <w:sz w:val="22"/>
          <w:szCs w:val="22"/>
        </w:rPr>
        <w:t>“a</w:t>
      </w:r>
      <w:r w:rsidR="00B80F65" w:rsidRPr="004862AC">
        <w:rPr>
          <w:rFonts w:ascii="Calibri" w:hAnsi="Calibri" w:cs="Calibri"/>
          <w:i/>
          <w:iCs/>
          <w:sz w:val="22"/>
          <w:szCs w:val="22"/>
        </w:rPr>
        <w:t xml:space="preserve"> internalização de meios complementares de diagnóstico e terapêutica (MCDT) tem vindo a ser promovida como um objetivo em si mesmo, sem demonstração de ganhos efetivos para os utentes e sem avaliação transparente do seu impacto no acesso, na qualidade e na eficiência. Ao mesmo tempo, o próprio estudo da ERS contém evidências particularmente graves de restrições ao acesso ao setor convencionado, incluindo situações em que as próprias ULS reportam inexistência de vias de encaminhamento para esse setor</w:t>
      </w:r>
      <w:r w:rsidRPr="004862AC">
        <w:rPr>
          <w:rFonts w:ascii="Calibri" w:hAnsi="Calibri" w:cs="Calibri"/>
          <w:i/>
          <w:iCs/>
          <w:sz w:val="22"/>
          <w:szCs w:val="22"/>
        </w:rPr>
        <w:t>”.</w:t>
      </w:r>
    </w:p>
    <w:p w14:paraId="37198ED7" w14:textId="71FD64D3" w:rsidR="002F1B55" w:rsidRPr="00A01123" w:rsidRDefault="00344F17" w:rsidP="00485159">
      <w:pPr>
        <w:spacing w:line="276" w:lineRule="auto"/>
        <w:ind w:left="-142"/>
        <w:jc w:val="both"/>
        <w:rPr>
          <w:rFonts w:ascii="Calibri" w:hAnsi="Calibri" w:cs="Calibri"/>
          <w:sz w:val="22"/>
          <w:szCs w:val="22"/>
        </w:rPr>
      </w:pPr>
      <w:r w:rsidRPr="004862AC">
        <w:rPr>
          <w:rFonts w:ascii="Calibri" w:hAnsi="Calibri" w:cs="Calibri"/>
          <w:sz w:val="22"/>
          <w:szCs w:val="22"/>
        </w:rPr>
        <w:t>As associações alertam que e</w:t>
      </w:r>
      <w:r w:rsidR="00EB5527" w:rsidRPr="004862AC">
        <w:rPr>
          <w:rFonts w:ascii="Calibri" w:hAnsi="Calibri" w:cs="Calibri"/>
          <w:sz w:val="22"/>
          <w:szCs w:val="22"/>
        </w:rPr>
        <w:t>stas</w:t>
      </w:r>
      <w:r w:rsidR="00A01123" w:rsidRPr="00A01123">
        <w:rPr>
          <w:rFonts w:ascii="Calibri" w:hAnsi="Calibri" w:cs="Calibri"/>
          <w:sz w:val="22"/>
          <w:szCs w:val="22"/>
        </w:rPr>
        <w:t xml:space="preserve"> dinâmicas estão a produzir </w:t>
      </w:r>
      <w:r w:rsidR="003B7DF4" w:rsidRPr="004862AC">
        <w:rPr>
          <w:rFonts w:ascii="Calibri" w:hAnsi="Calibri" w:cs="Calibri"/>
          <w:sz w:val="22"/>
          <w:szCs w:val="22"/>
        </w:rPr>
        <w:t>efeitos graves</w:t>
      </w:r>
      <w:r w:rsidR="00A01123" w:rsidRPr="00A01123">
        <w:rPr>
          <w:rFonts w:ascii="Calibri" w:hAnsi="Calibri" w:cs="Calibri"/>
          <w:sz w:val="22"/>
          <w:szCs w:val="22"/>
        </w:rPr>
        <w:t xml:space="preserve"> na sustentabilidade da rede convencionada</w:t>
      </w:r>
      <w:r w:rsidR="003B7DF4" w:rsidRPr="004862AC">
        <w:rPr>
          <w:rFonts w:ascii="Calibri" w:hAnsi="Calibri" w:cs="Calibri"/>
          <w:sz w:val="22"/>
          <w:szCs w:val="22"/>
        </w:rPr>
        <w:t>, através da</w:t>
      </w:r>
      <w:r w:rsidR="00A01123" w:rsidRPr="00A01123">
        <w:rPr>
          <w:rFonts w:ascii="Calibri" w:hAnsi="Calibri" w:cs="Calibri"/>
          <w:sz w:val="22"/>
          <w:szCs w:val="22"/>
        </w:rPr>
        <w:t xml:space="preserve"> redução de volume assistencial, </w:t>
      </w:r>
      <w:r w:rsidR="003B7DF4" w:rsidRPr="004862AC">
        <w:rPr>
          <w:rFonts w:ascii="Calibri" w:hAnsi="Calibri" w:cs="Calibri"/>
          <w:sz w:val="22"/>
          <w:szCs w:val="22"/>
        </w:rPr>
        <w:t>d</w:t>
      </w:r>
      <w:r w:rsidR="00A01123" w:rsidRPr="00A01123">
        <w:rPr>
          <w:rFonts w:ascii="Calibri" w:hAnsi="Calibri" w:cs="Calibri"/>
          <w:sz w:val="22"/>
          <w:szCs w:val="22"/>
        </w:rPr>
        <w:t xml:space="preserve">a diminuição da previsibilidade económica e </w:t>
      </w:r>
      <w:r w:rsidR="00981C82" w:rsidRPr="004862AC">
        <w:rPr>
          <w:rFonts w:ascii="Calibri" w:hAnsi="Calibri" w:cs="Calibri"/>
          <w:sz w:val="22"/>
          <w:szCs w:val="22"/>
        </w:rPr>
        <w:t>d</w:t>
      </w:r>
      <w:r w:rsidR="00A01123" w:rsidRPr="00A01123">
        <w:rPr>
          <w:rFonts w:ascii="Calibri" w:hAnsi="Calibri" w:cs="Calibri"/>
          <w:sz w:val="22"/>
          <w:szCs w:val="22"/>
        </w:rPr>
        <w:t>a criação de barreiras administrativas ao encaminhamento</w:t>
      </w:r>
      <w:r w:rsidR="004F410F" w:rsidRPr="004862AC">
        <w:rPr>
          <w:rFonts w:ascii="Calibri" w:hAnsi="Calibri" w:cs="Calibri"/>
          <w:sz w:val="22"/>
          <w:szCs w:val="22"/>
        </w:rPr>
        <w:t>,</w:t>
      </w:r>
      <w:r w:rsidR="00A01123" w:rsidRPr="00A01123">
        <w:rPr>
          <w:rFonts w:ascii="Calibri" w:hAnsi="Calibri" w:cs="Calibri"/>
          <w:sz w:val="22"/>
          <w:szCs w:val="22"/>
        </w:rPr>
        <w:t xml:space="preserve"> </w:t>
      </w:r>
      <w:r w:rsidR="00981C82" w:rsidRPr="004862AC">
        <w:rPr>
          <w:rFonts w:ascii="Calibri" w:hAnsi="Calibri" w:cs="Calibri"/>
          <w:sz w:val="22"/>
          <w:szCs w:val="22"/>
        </w:rPr>
        <w:t>conduzindo</w:t>
      </w:r>
      <w:r w:rsidR="00A01123" w:rsidRPr="00A01123">
        <w:rPr>
          <w:rFonts w:ascii="Calibri" w:hAnsi="Calibri" w:cs="Calibri"/>
          <w:sz w:val="22"/>
          <w:szCs w:val="22"/>
        </w:rPr>
        <w:t xml:space="preserve"> a uma retração progressiva da oferta, com perda de cobertura territorial, redução da capacidade instalada e aumento das dificuldades de acesso, particularmente em regiões de menor densidade populacional. Este fenómeno compromete a capacidade do sistema de saúde para responder</w:t>
      </w:r>
      <w:r w:rsidR="004F410F" w:rsidRPr="004862AC">
        <w:rPr>
          <w:rFonts w:ascii="Calibri" w:hAnsi="Calibri" w:cs="Calibri"/>
          <w:sz w:val="22"/>
          <w:szCs w:val="22"/>
        </w:rPr>
        <w:t>,</w:t>
      </w:r>
      <w:r w:rsidR="00A01123" w:rsidRPr="00A01123">
        <w:rPr>
          <w:rFonts w:ascii="Calibri" w:hAnsi="Calibri" w:cs="Calibri"/>
          <w:sz w:val="22"/>
          <w:szCs w:val="22"/>
        </w:rPr>
        <w:t xml:space="preserve"> de forma resiliente e equitativa</w:t>
      </w:r>
      <w:r w:rsidR="004F410F" w:rsidRPr="004862AC">
        <w:rPr>
          <w:rFonts w:ascii="Calibri" w:hAnsi="Calibri" w:cs="Calibri"/>
          <w:sz w:val="22"/>
          <w:szCs w:val="22"/>
        </w:rPr>
        <w:t>,</w:t>
      </w:r>
      <w:r w:rsidR="00A01123" w:rsidRPr="00A01123">
        <w:rPr>
          <w:rFonts w:ascii="Calibri" w:hAnsi="Calibri" w:cs="Calibri"/>
          <w:sz w:val="22"/>
          <w:szCs w:val="22"/>
        </w:rPr>
        <w:t xml:space="preserve"> às necessidades da população.</w:t>
      </w:r>
    </w:p>
    <w:p w14:paraId="04A5BD68" w14:textId="77777777" w:rsidR="00726694" w:rsidRPr="004862AC" w:rsidRDefault="00A01123" w:rsidP="00726694">
      <w:pPr>
        <w:spacing w:line="276" w:lineRule="auto"/>
        <w:ind w:left="-142"/>
        <w:jc w:val="both"/>
        <w:rPr>
          <w:rFonts w:ascii="Calibri" w:hAnsi="Calibri" w:cs="Calibri"/>
          <w:sz w:val="22"/>
          <w:szCs w:val="22"/>
        </w:rPr>
      </w:pPr>
      <w:r w:rsidRPr="00A01123">
        <w:rPr>
          <w:rFonts w:ascii="Calibri" w:hAnsi="Calibri" w:cs="Calibri"/>
          <w:sz w:val="22"/>
          <w:szCs w:val="22"/>
        </w:rPr>
        <w:t>Perante este cenário, a ANAUDI, a ANACARD e a ANL apelam ao Ministério da Saúde, à Direção Executiva do SNS e à Entidade Reguladora da Saúde para que adotem, com urgência, medidas concretas que garantam o respeito efetivo pelo direito de acesso e pela liberdade de escolha dos utentes, a eliminação de quaisquer barreiras ao encaminhamento para o setor convencionado, a sujeição dos processos de internalização a avaliação rigorosa, transparente e baseada em critérios de acesso, qualidade e eficiência, bem como a preservação e valorização da rede convencionada enquanto componente essencial do sistema de saúde.</w:t>
      </w:r>
    </w:p>
    <w:p w14:paraId="3AB6AE12" w14:textId="31B7926E" w:rsidR="002A7CA7" w:rsidRPr="00A01123" w:rsidRDefault="00A01123" w:rsidP="00CF2863">
      <w:pPr>
        <w:spacing w:line="276" w:lineRule="auto"/>
        <w:ind w:left="-142"/>
        <w:jc w:val="both"/>
        <w:rPr>
          <w:rFonts w:ascii="Calibri" w:hAnsi="Calibri" w:cs="Calibri"/>
          <w:sz w:val="22"/>
          <w:szCs w:val="22"/>
        </w:rPr>
      </w:pPr>
      <w:r w:rsidRPr="00A01123">
        <w:rPr>
          <w:rFonts w:ascii="Calibri" w:hAnsi="Calibri" w:cs="Calibri"/>
          <w:sz w:val="22"/>
          <w:szCs w:val="22"/>
        </w:rPr>
        <w:t xml:space="preserve">As associações </w:t>
      </w:r>
      <w:r w:rsidR="00776106" w:rsidRPr="004862AC">
        <w:rPr>
          <w:rFonts w:ascii="Calibri" w:hAnsi="Calibri" w:cs="Calibri"/>
          <w:sz w:val="22"/>
          <w:szCs w:val="22"/>
        </w:rPr>
        <w:t>apelam</w:t>
      </w:r>
      <w:r w:rsidR="002A7CA7" w:rsidRPr="004862AC">
        <w:rPr>
          <w:rFonts w:ascii="Calibri" w:hAnsi="Calibri" w:cs="Calibri"/>
          <w:sz w:val="22"/>
          <w:szCs w:val="22"/>
        </w:rPr>
        <w:t>,</w:t>
      </w:r>
      <w:r w:rsidRPr="00A01123">
        <w:rPr>
          <w:rFonts w:ascii="Calibri" w:hAnsi="Calibri" w:cs="Calibri"/>
          <w:sz w:val="22"/>
          <w:szCs w:val="22"/>
        </w:rPr>
        <w:t xml:space="preserve"> </w:t>
      </w:r>
      <w:r w:rsidR="00776106" w:rsidRPr="004862AC">
        <w:rPr>
          <w:rFonts w:ascii="Calibri" w:hAnsi="Calibri" w:cs="Calibri"/>
          <w:sz w:val="22"/>
          <w:szCs w:val="22"/>
        </w:rPr>
        <w:t>também</w:t>
      </w:r>
      <w:r w:rsidR="002A7CA7" w:rsidRPr="004862AC">
        <w:rPr>
          <w:rFonts w:ascii="Calibri" w:hAnsi="Calibri" w:cs="Calibri"/>
          <w:sz w:val="22"/>
          <w:szCs w:val="22"/>
        </w:rPr>
        <w:t>,</w:t>
      </w:r>
      <w:r w:rsidRPr="00A01123">
        <w:rPr>
          <w:rFonts w:ascii="Calibri" w:hAnsi="Calibri" w:cs="Calibri"/>
          <w:sz w:val="22"/>
          <w:szCs w:val="22"/>
        </w:rPr>
        <w:t xml:space="preserve"> </w:t>
      </w:r>
      <w:r w:rsidR="00726694" w:rsidRPr="004862AC">
        <w:rPr>
          <w:rFonts w:ascii="Calibri" w:hAnsi="Calibri" w:cs="Calibri"/>
          <w:sz w:val="22"/>
          <w:szCs w:val="22"/>
        </w:rPr>
        <w:t xml:space="preserve">à Assembleia da República para que promova </w:t>
      </w:r>
      <w:r w:rsidR="006C3131" w:rsidRPr="004862AC">
        <w:rPr>
          <w:rFonts w:ascii="Calibri" w:hAnsi="Calibri" w:cs="Calibri"/>
          <w:sz w:val="22"/>
          <w:szCs w:val="22"/>
        </w:rPr>
        <w:t>um</w:t>
      </w:r>
      <w:r w:rsidR="00726694" w:rsidRPr="004862AC">
        <w:rPr>
          <w:rFonts w:ascii="Calibri" w:hAnsi="Calibri" w:cs="Calibri"/>
          <w:sz w:val="22"/>
          <w:szCs w:val="22"/>
        </w:rPr>
        <w:t>a reflexão sobre a necessidade de intervenção legislativa</w:t>
      </w:r>
      <w:r w:rsidR="006C3131" w:rsidRPr="004862AC">
        <w:rPr>
          <w:rFonts w:ascii="Calibri" w:hAnsi="Calibri" w:cs="Calibri"/>
          <w:sz w:val="22"/>
          <w:szCs w:val="22"/>
        </w:rPr>
        <w:t>,</w:t>
      </w:r>
      <w:r w:rsidR="00726694" w:rsidRPr="004862AC">
        <w:rPr>
          <w:rFonts w:ascii="Calibri" w:hAnsi="Calibri" w:cs="Calibri"/>
          <w:sz w:val="22"/>
          <w:szCs w:val="22"/>
        </w:rPr>
        <w:t xml:space="preserve"> que garanta o respeito pela função constitucional do setor convencionado e a efetiva liberdade de escolha dos utentes no acesso à rede convencionada.</w:t>
      </w:r>
    </w:p>
    <w:p w14:paraId="074EF7D2" w14:textId="1B196CCF" w:rsidR="00A01123" w:rsidRPr="00A01123" w:rsidRDefault="00A01123" w:rsidP="00A01123">
      <w:pPr>
        <w:spacing w:line="276" w:lineRule="auto"/>
        <w:ind w:left="-142"/>
        <w:jc w:val="both"/>
        <w:rPr>
          <w:rFonts w:ascii="Calibri" w:hAnsi="Calibri" w:cs="Calibri"/>
          <w:sz w:val="22"/>
          <w:szCs w:val="22"/>
        </w:rPr>
      </w:pPr>
      <w:r w:rsidRPr="00A01123">
        <w:rPr>
          <w:rFonts w:ascii="Calibri" w:hAnsi="Calibri" w:cs="Calibri"/>
          <w:sz w:val="22"/>
          <w:szCs w:val="22"/>
        </w:rPr>
        <w:t xml:space="preserve">A ANAUDI, a ANACARD e a ANL </w:t>
      </w:r>
      <w:r w:rsidR="00022CCC">
        <w:rPr>
          <w:rFonts w:ascii="Calibri" w:hAnsi="Calibri" w:cs="Calibri"/>
          <w:sz w:val="22"/>
          <w:szCs w:val="22"/>
        </w:rPr>
        <w:t>subl</w:t>
      </w:r>
      <w:r w:rsidR="00067CDD">
        <w:rPr>
          <w:rFonts w:ascii="Calibri" w:hAnsi="Calibri" w:cs="Calibri"/>
          <w:sz w:val="22"/>
          <w:szCs w:val="22"/>
        </w:rPr>
        <w:t>inham</w:t>
      </w:r>
      <w:r w:rsidRPr="00A01123">
        <w:rPr>
          <w:rFonts w:ascii="Calibri" w:hAnsi="Calibri" w:cs="Calibri"/>
          <w:sz w:val="22"/>
          <w:szCs w:val="22"/>
        </w:rPr>
        <w:t xml:space="preserve"> que </w:t>
      </w:r>
      <w:r w:rsidR="00067CDD" w:rsidRPr="00067CDD">
        <w:rPr>
          <w:rFonts w:ascii="Calibri" w:hAnsi="Calibri" w:cs="Calibri"/>
          <w:i/>
          <w:iCs/>
          <w:sz w:val="22"/>
          <w:szCs w:val="22"/>
        </w:rPr>
        <w:t>“</w:t>
      </w:r>
      <w:r w:rsidRPr="00067CDD">
        <w:rPr>
          <w:rFonts w:ascii="Calibri" w:hAnsi="Calibri" w:cs="Calibri"/>
          <w:i/>
          <w:iCs/>
          <w:sz w:val="22"/>
          <w:szCs w:val="22"/>
        </w:rPr>
        <w:t>o sistema de saúde deve ser organizado em função dos cidadãos e das suas necessidades, sendo a garantia de acesso em tempo útil, com qualidade e liberdade de escolha, um princípio estruturante que não pode ser comprometido por opções organizativas que desvirtuem o modelo legalmente consagrado</w:t>
      </w:r>
      <w:r w:rsidR="00067CDD" w:rsidRPr="00067CDD">
        <w:rPr>
          <w:rFonts w:ascii="Calibri" w:hAnsi="Calibri" w:cs="Calibri"/>
          <w:i/>
          <w:iCs/>
          <w:sz w:val="22"/>
          <w:szCs w:val="22"/>
        </w:rPr>
        <w:t>”</w:t>
      </w:r>
      <w:r w:rsidRPr="00A01123">
        <w:rPr>
          <w:rFonts w:ascii="Calibri" w:hAnsi="Calibri" w:cs="Calibri"/>
          <w:sz w:val="22"/>
          <w:szCs w:val="22"/>
        </w:rPr>
        <w:t>.</w:t>
      </w:r>
    </w:p>
    <w:p w14:paraId="3DF1B788" w14:textId="7B85D53A" w:rsidR="00BC5929" w:rsidRDefault="00BC5929" w:rsidP="00A01123">
      <w:pPr>
        <w:spacing w:line="276" w:lineRule="auto"/>
        <w:ind w:left="-142"/>
        <w:jc w:val="both"/>
      </w:pPr>
    </w:p>
    <w:p w14:paraId="7D1ABF88" w14:textId="77777777" w:rsidR="00BC5929" w:rsidRPr="00465E81" w:rsidRDefault="00BC5929" w:rsidP="00BC5929">
      <w:pPr>
        <w:spacing w:after="0" w:line="240" w:lineRule="auto"/>
        <w:jc w:val="both"/>
        <w:rPr>
          <w:rFonts w:ascii="Calibri" w:eastAsia="Aptos" w:hAnsi="Calibri" w:cs="Calibri"/>
          <w:b/>
          <w:bCs/>
          <w:sz w:val="18"/>
          <w:szCs w:val="18"/>
        </w:rPr>
      </w:pPr>
      <w:r w:rsidRPr="00465E81">
        <w:rPr>
          <w:rFonts w:ascii="Calibri" w:eastAsia="Aptos" w:hAnsi="Calibri" w:cs="Calibri"/>
          <w:b/>
          <w:bCs/>
          <w:sz w:val="18"/>
          <w:szCs w:val="18"/>
        </w:rPr>
        <w:t xml:space="preserve">Sobre a </w:t>
      </w:r>
      <w:bookmarkStart w:id="0" w:name="_Hlk207893505"/>
      <w:r w:rsidRPr="00465E81">
        <w:rPr>
          <w:rFonts w:ascii="Calibri" w:eastAsia="Aptos" w:hAnsi="Calibri" w:cs="Calibri"/>
          <w:b/>
          <w:bCs/>
          <w:sz w:val="18"/>
          <w:szCs w:val="18"/>
        </w:rPr>
        <w:t xml:space="preserve">Associação Nacional dos Laboratórios Clínicos </w:t>
      </w:r>
      <w:bookmarkEnd w:id="0"/>
      <w:r w:rsidRPr="00465E81">
        <w:rPr>
          <w:rFonts w:ascii="Calibri" w:eastAsia="Aptos" w:hAnsi="Calibri" w:cs="Calibri"/>
          <w:b/>
          <w:bCs/>
          <w:sz w:val="18"/>
          <w:szCs w:val="18"/>
        </w:rPr>
        <w:t>(ANL)</w:t>
      </w:r>
    </w:p>
    <w:p w14:paraId="0632D087" w14:textId="77777777" w:rsidR="00BC5929" w:rsidRPr="00465E81" w:rsidRDefault="00BC5929" w:rsidP="00BC5929">
      <w:pPr>
        <w:spacing w:after="0" w:line="240" w:lineRule="auto"/>
        <w:jc w:val="both"/>
        <w:rPr>
          <w:rFonts w:ascii="Calibri" w:eastAsia="Aptos" w:hAnsi="Calibri" w:cs="Calibri"/>
          <w:sz w:val="18"/>
          <w:szCs w:val="18"/>
        </w:rPr>
      </w:pPr>
    </w:p>
    <w:p w14:paraId="667671EE" w14:textId="77777777" w:rsidR="00BC5929" w:rsidRPr="00465E81" w:rsidRDefault="00BC5929" w:rsidP="00BC5929">
      <w:pPr>
        <w:spacing w:after="0" w:line="240" w:lineRule="auto"/>
        <w:jc w:val="both"/>
        <w:rPr>
          <w:rFonts w:ascii="Calibri" w:eastAsia="Aptos" w:hAnsi="Calibri" w:cs="Calibri"/>
          <w:sz w:val="18"/>
          <w:szCs w:val="18"/>
        </w:rPr>
      </w:pPr>
      <w:r w:rsidRPr="00465E81">
        <w:rPr>
          <w:rFonts w:ascii="Calibri" w:eastAsia="Aptos" w:hAnsi="Calibri" w:cs="Calibri"/>
          <w:sz w:val="18"/>
          <w:szCs w:val="18"/>
        </w:rPr>
        <w:t xml:space="preserve">A Associação Nacional de Laboratórios Clínicos (ANL) foi fundada em 2005 com a missão de representar todas as entidades do setor privado que desenvolvem atividades de análises clínicas/patologia clínica, bem como de investigação biológica ou farmacêutica. É uma associação de natureza empresarial e representa atualmente a maior fatia do setor em Portugal, tanto em volume de negócios como em dimensão das empresas associadas, abrangendo desde pequenas e médias empresas até aos maiores grupos laboratoriais do país. A ANL tem como objetivo central defender a estabilidade, a sobrevivência e o progresso do setor, promovendo a competitividade, a manutenção dos postos de trabalho e a excelência dos serviços que os laboratórios privados prestam à população. Mais informações em </w:t>
      </w:r>
      <w:hyperlink r:id="rId7" w:history="1">
        <w:r w:rsidRPr="00465E81">
          <w:rPr>
            <w:rFonts w:ascii="Calibri" w:eastAsia="Aptos" w:hAnsi="Calibri" w:cs="Calibri"/>
            <w:color w:val="467886"/>
            <w:sz w:val="18"/>
            <w:szCs w:val="18"/>
            <w:u w:val="single"/>
          </w:rPr>
          <w:t>Associação Nacional dos Laboratórios Clínicos</w:t>
        </w:r>
      </w:hyperlink>
      <w:r w:rsidRPr="00465E81">
        <w:rPr>
          <w:rFonts w:ascii="Calibri" w:eastAsia="Aptos" w:hAnsi="Calibri" w:cs="Calibri"/>
          <w:sz w:val="18"/>
          <w:szCs w:val="18"/>
        </w:rPr>
        <w:t>.</w:t>
      </w:r>
    </w:p>
    <w:p w14:paraId="68FD9BB6" w14:textId="77777777" w:rsidR="00BC5929" w:rsidRPr="00465E81" w:rsidRDefault="00BC5929" w:rsidP="00BC5929">
      <w:pPr>
        <w:spacing w:after="0" w:line="240" w:lineRule="auto"/>
        <w:jc w:val="both"/>
        <w:rPr>
          <w:rFonts w:ascii="Calibri" w:eastAsia="Aptos" w:hAnsi="Calibri" w:cs="Calibri"/>
          <w:sz w:val="22"/>
          <w:szCs w:val="22"/>
        </w:rPr>
      </w:pPr>
    </w:p>
    <w:p w14:paraId="07860DB7" w14:textId="77777777" w:rsidR="00686C7F" w:rsidRPr="00465E81" w:rsidRDefault="00686C7F" w:rsidP="00686C7F">
      <w:pPr>
        <w:jc w:val="both"/>
        <w:rPr>
          <w:rFonts w:ascii="Calibri" w:eastAsia="Aptos" w:hAnsi="Calibri" w:cs="Calibri"/>
          <w:sz w:val="18"/>
          <w:szCs w:val="18"/>
        </w:rPr>
      </w:pPr>
      <w:r w:rsidRPr="00465E81">
        <w:rPr>
          <w:rFonts w:ascii="Calibri" w:eastAsia="Aptos" w:hAnsi="Calibri" w:cs="Calibri"/>
          <w:b/>
          <w:bCs/>
          <w:sz w:val="18"/>
          <w:szCs w:val="18"/>
        </w:rPr>
        <w:t xml:space="preserve">Sobre a </w:t>
      </w:r>
      <w:r w:rsidRPr="00F00417">
        <w:rPr>
          <w:rFonts w:ascii="Calibri" w:eastAsia="Aptos" w:hAnsi="Calibri" w:cs="Calibri"/>
          <w:b/>
          <w:bCs/>
          <w:sz w:val="18"/>
          <w:szCs w:val="18"/>
        </w:rPr>
        <w:t xml:space="preserve">Associação Nacional de Unidades de Diagnóstico por Imagem </w:t>
      </w:r>
      <w:r>
        <w:rPr>
          <w:rFonts w:ascii="Calibri" w:eastAsia="Aptos" w:hAnsi="Calibri" w:cs="Calibri"/>
          <w:b/>
          <w:bCs/>
          <w:sz w:val="18"/>
          <w:szCs w:val="18"/>
        </w:rPr>
        <w:t>(ANAUDI)</w:t>
      </w:r>
    </w:p>
    <w:p w14:paraId="7A085442" w14:textId="4BB5A66D" w:rsidR="00686C7F" w:rsidRDefault="00686C7F" w:rsidP="00686C7F">
      <w:pPr>
        <w:spacing w:after="0" w:line="240" w:lineRule="auto"/>
        <w:jc w:val="both"/>
      </w:pPr>
      <w:r w:rsidRPr="00852700">
        <w:rPr>
          <w:rFonts w:ascii="Calibri" w:eastAsia="Aptos" w:hAnsi="Calibri" w:cs="Calibri"/>
          <w:sz w:val="18"/>
          <w:szCs w:val="18"/>
        </w:rPr>
        <w:t xml:space="preserve">A ANAUDI (Associação Nacional de Unidades de Diagnóstico por Imagem) foi constituída a 15 de outubro de 1996, </w:t>
      </w:r>
      <w:r w:rsidR="00050C5B">
        <w:rPr>
          <w:rFonts w:ascii="Calibri" w:eastAsia="Aptos" w:hAnsi="Calibri" w:cs="Calibri"/>
          <w:sz w:val="18"/>
          <w:szCs w:val="18"/>
        </w:rPr>
        <w:t xml:space="preserve">e representa </w:t>
      </w:r>
      <w:r w:rsidRPr="00852700">
        <w:rPr>
          <w:rFonts w:ascii="Calibri" w:eastAsia="Aptos" w:hAnsi="Calibri" w:cs="Calibri"/>
          <w:sz w:val="18"/>
          <w:szCs w:val="18"/>
        </w:rPr>
        <w:t xml:space="preserve">as unidades </w:t>
      </w:r>
      <w:r w:rsidR="00050C5B">
        <w:rPr>
          <w:rFonts w:ascii="Calibri" w:eastAsia="Aptos" w:hAnsi="Calibri" w:cs="Calibri"/>
          <w:sz w:val="18"/>
          <w:szCs w:val="18"/>
        </w:rPr>
        <w:t xml:space="preserve">privadas e convencionadas </w:t>
      </w:r>
      <w:r w:rsidRPr="00852700">
        <w:rPr>
          <w:rFonts w:ascii="Calibri" w:eastAsia="Aptos" w:hAnsi="Calibri" w:cs="Calibri"/>
          <w:sz w:val="18"/>
          <w:szCs w:val="18"/>
        </w:rPr>
        <w:t>de diagnóstico por imagem</w:t>
      </w:r>
      <w:r>
        <w:rPr>
          <w:rFonts w:ascii="Calibri" w:eastAsia="Aptos" w:hAnsi="Calibri" w:cs="Calibri"/>
          <w:sz w:val="18"/>
          <w:szCs w:val="18"/>
        </w:rPr>
        <w:t xml:space="preserve">, </w:t>
      </w:r>
      <w:r w:rsidR="00050C5B">
        <w:rPr>
          <w:rFonts w:ascii="Calibri" w:eastAsia="Aptos" w:hAnsi="Calibri" w:cs="Calibri"/>
          <w:sz w:val="18"/>
          <w:szCs w:val="18"/>
        </w:rPr>
        <w:t>em especial</w:t>
      </w:r>
      <w:r>
        <w:rPr>
          <w:rFonts w:ascii="Calibri" w:eastAsia="Aptos" w:hAnsi="Calibri" w:cs="Calibri"/>
          <w:sz w:val="18"/>
          <w:szCs w:val="18"/>
        </w:rPr>
        <w:t xml:space="preserve"> nas áreas da radiologia e da medicina nuclear</w:t>
      </w:r>
      <w:r w:rsidRPr="00852700">
        <w:rPr>
          <w:rFonts w:ascii="Calibri" w:eastAsia="Aptos" w:hAnsi="Calibri" w:cs="Calibri"/>
          <w:sz w:val="18"/>
          <w:szCs w:val="18"/>
        </w:rPr>
        <w:t>.</w:t>
      </w:r>
      <w:r>
        <w:rPr>
          <w:rFonts w:ascii="Calibri" w:eastAsia="Aptos" w:hAnsi="Calibri" w:cs="Calibri"/>
          <w:sz w:val="18"/>
          <w:szCs w:val="18"/>
        </w:rPr>
        <w:t xml:space="preserve"> </w:t>
      </w:r>
      <w:r w:rsidRPr="00B20756">
        <w:rPr>
          <w:rFonts w:ascii="Calibri" w:eastAsia="Aptos" w:hAnsi="Calibri" w:cs="Calibri"/>
          <w:sz w:val="18"/>
          <w:szCs w:val="18"/>
        </w:rPr>
        <w:t>Mais informações em </w:t>
      </w:r>
      <w:hyperlink r:id="rId8" w:history="1">
        <w:r w:rsidRPr="00B20756">
          <w:rPr>
            <w:rStyle w:val="Hiperligao"/>
            <w:rFonts w:ascii="Calibri" w:eastAsia="Aptos" w:hAnsi="Calibri" w:cs="Calibri"/>
            <w:sz w:val="18"/>
            <w:szCs w:val="18"/>
          </w:rPr>
          <w:t>Associação Nacional de Unidades de Diagnóstico por Imagem.</w:t>
        </w:r>
      </w:hyperlink>
    </w:p>
    <w:p w14:paraId="74CAE9F6" w14:textId="77777777" w:rsidR="00D05FB6" w:rsidRDefault="00D05FB6" w:rsidP="00686C7F">
      <w:pPr>
        <w:spacing w:after="0" w:line="240" w:lineRule="auto"/>
        <w:jc w:val="both"/>
      </w:pPr>
    </w:p>
    <w:p w14:paraId="4AA44E07" w14:textId="241B04E2" w:rsidR="00D05FB6" w:rsidRPr="00050C5B" w:rsidRDefault="00D05FB6" w:rsidP="00D05FB6">
      <w:pPr>
        <w:jc w:val="both"/>
        <w:rPr>
          <w:rFonts w:ascii="Calibri" w:eastAsia="Aptos" w:hAnsi="Calibri" w:cs="Calibri"/>
          <w:sz w:val="18"/>
          <w:szCs w:val="18"/>
        </w:rPr>
      </w:pPr>
      <w:r w:rsidRPr="00050C5B">
        <w:rPr>
          <w:rFonts w:ascii="Calibri" w:eastAsia="Aptos" w:hAnsi="Calibri" w:cs="Calibri"/>
          <w:b/>
          <w:bCs/>
          <w:sz w:val="18"/>
          <w:szCs w:val="18"/>
        </w:rPr>
        <w:t>Sobre a Associação Nacional de Cardiologistas (ANACARD)</w:t>
      </w:r>
    </w:p>
    <w:p w14:paraId="6A6D6732" w14:textId="3852637B" w:rsidR="008743EC" w:rsidRPr="008743EC" w:rsidRDefault="00EE2870" w:rsidP="008743EC">
      <w:pPr>
        <w:spacing w:after="0" w:line="240" w:lineRule="auto"/>
        <w:jc w:val="both"/>
        <w:rPr>
          <w:rFonts w:ascii="Calibri" w:eastAsia="Aptos" w:hAnsi="Calibri" w:cs="Calibri"/>
          <w:sz w:val="18"/>
          <w:szCs w:val="18"/>
        </w:rPr>
      </w:pPr>
      <w:r w:rsidRPr="00050C5B">
        <w:rPr>
          <w:rFonts w:ascii="Calibri" w:eastAsia="Aptos" w:hAnsi="Calibri" w:cs="Calibri"/>
          <w:sz w:val="18"/>
          <w:szCs w:val="18"/>
        </w:rPr>
        <w:t>A ANACARD (Associação Nacional de Cardiologistas) foi legalmente constituída a 30 de abril de 1997, tendo como objetivo a defesa dos legítimos interesses e direitos d</w:t>
      </w:r>
      <w:r w:rsidR="00050C5B" w:rsidRPr="00050C5B">
        <w:rPr>
          <w:rFonts w:ascii="Calibri" w:eastAsia="Aptos" w:hAnsi="Calibri" w:cs="Calibri"/>
          <w:sz w:val="18"/>
          <w:szCs w:val="18"/>
        </w:rPr>
        <w:t>as unidades que realizam</w:t>
      </w:r>
      <w:r w:rsidRPr="00050C5B">
        <w:rPr>
          <w:rFonts w:ascii="Calibri" w:eastAsia="Aptos" w:hAnsi="Calibri" w:cs="Calibri"/>
          <w:sz w:val="18"/>
          <w:szCs w:val="18"/>
        </w:rPr>
        <w:t xml:space="preserve"> </w:t>
      </w:r>
      <w:r w:rsidR="00050C5B" w:rsidRPr="00050C5B">
        <w:rPr>
          <w:rFonts w:ascii="Calibri" w:eastAsia="Aptos" w:hAnsi="Calibri" w:cs="Calibri"/>
          <w:sz w:val="18"/>
          <w:szCs w:val="18"/>
        </w:rPr>
        <w:t xml:space="preserve">exames complementares de diagnóstico do âmbito da cardiologia, nomeadamente ecocardiograma nas suas diversas modalidades, doppler cardíaco, </w:t>
      </w:r>
      <w:proofErr w:type="spellStart"/>
      <w:r w:rsidR="00050C5B" w:rsidRPr="00050C5B">
        <w:rPr>
          <w:rFonts w:ascii="Calibri" w:eastAsia="Aptos" w:hAnsi="Calibri" w:cs="Calibri"/>
          <w:sz w:val="18"/>
          <w:szCs w:val="18"/>
        </w:rPr>
        <w:t>electrocardiografia</w:t>
      </w:r>
      <w:proofErr w:type="spellEnd"/>
      <w:r w:rsidR="00050C5B" w:rsidRPr="00050C5B">
        <w:rPr>
          <w:rFonts w:ascii="Calibri" w:eastAsia="Aptos" w:hAnsi="Calibri" w:cs="Calibri"/>
          <w:sz w:val="18"/>
          <w:szCs w:val="18"/>
        </w:rPr>
        <w:t xml:space="preserve"> clássica, ECG com prova de esforço, </w:t>
      </w:r>
      <w:proofErr w:type="spellStart"/>
      <w:r w:rsidR="00050C5B" w:rsidRPr="00050C5B">
        <w:rPr>
          <w:rFonts w:ascii="Calibri" w:eastAsia="Aptos" w:hAnsi="Calibri" w:cs="Calibri"/>
          <w:sz w:val="18"/>
          <w:szCs w:val="18"/>
        </w:rPr>
        <w:t>holter</w:t>
      </w:r>
      <w:proofErr w:type="spellEnd"/>
      <w:r w:rsidR="00050C5B" w:rsidRPr="00050C5B">
        <w:rPr>
          <w:rFonts w:ascii="Calibri" w:eastAsia="Aptos" w:hAnsi="Calibri" w:cs="Calibri"/>
          <w:sz w:val="18"/>
          <w:szCs w:val="18"/>
        </w:rPr>
        <w:t xml:space="preserve"> de vinte e quatro horas, </w:t>
      </w:r>
      <w:proofErr w:type="spellStart"/>
      <w:r w:rsidR="00050C5B" w:rsidRPr="00050C5B">
        <w:rPr>
          <w:rFonts w:ascii="Calibri" w:eastAsia="Aptos" w:hAnsi="Calibri" w:cs="Calibri"/>
          <w:sz w:val="18"/>
          <w:szCs w:val="18"/>
        </w:rPr>
        <w:t>pressurometria</w:t>
      </w:r>
      <w:proofErr w:type="spellEnd"/>
      <w:r w:rsidR="00050C5B" w:rsidRPr="00050C5B">
        <w:rPr>
          <w:rFonts w:ascii="Calibri" w:eastAsia="Aptos" w:hAnsi="Calibri" w:cs="Calibri"/>
          <w:sz w:val="18"/>
          <w:szCs w:val="18"/>
        </w:rPr>
        <w:t xml:space="preserve"> ambulatória e exames hemodinâmicos, assim como outras técnicas cardiológicas invasivas e terapêuticas</w:t>
      </w:r>
      <w:r w:rsidRPr="00050C5B">
        <w:rPr>
          <w:rFonts w:ascii="Calibri" w:eastAsia="Aptos" w:hAnsi="Calibri" w:cs="Calibri"/>
          <w:sz w:val="18"/>
          <w:szCs w:val="18"/>
        </w:rPr>
        <w:t>.</w:t>
      </w:r>
      <w:r w:rsidR="008743EC" w:rsidRPr="00050C5B">
        <w:rPr>
          <w:rFonts w:ascii="Calibri" w:eastAsia="Aptos" w:hAnsi="Calibri" w:cs="Calibri"/>
          <w:sz w:val="18"/>
          <w:szCs w:val="18"/>
        </w:rPr>
        <w:t xml:space="preserve"> Mais informações em </w:t>
      </w:r>
      <w:hyperlink r:id="rId9" w:history="1">
        <w:r w:rsidR="00890D9B" w:rsidRPr="00050C5B">
          <w:rPr>
            <w:rStyle w:val="Hiperligao"/>
            <w:rFonts w:ascii="Calibri" w:eastAsia="Aptos" w:hAnsi="Calibri" w:cs="Calibri"/>
            <w:sz w:val="18"/>
            <w:szCs w:val="18"/>
          </w:rPr>
          <w:t>Associação Nacional de Cardiologistas</w:t>
        </w:r>
      </w:hyperlink>
      <w:r w:rsidR="00890D9B" w:rsidRPr="00050C5B">
        <w:rPr>
          <w:rFonts w:ascii="Calibri" w:eastAsia="Aptos" w:hAnsi="Calibri" w:cs="Calibri"/>
          <w:sz w:val="18"/>
          <w:szCs w:val="18"/>
        </w:rPr>
        <w:t>.</w:t>
      </w:r>
    </w:p>
    <w:p w14:paraId="39E2BE1E" w14:textId="021CC9E7" w:rsidR="00D05FB6" w:rsidRPr="008743EC" w:rsidRDefault="00D05FB6" w:rsidP="00686C7F">
      <w:pPr>
        <w:spacing w:after="0" w:line="240" w:lineRule="auto"/>
        <w:jc w:val="both"/>
        <w:rPr>
          <w:rFonts w:ascii="Calibri" w:eastAsia="Aptos" w:hAnsi="Calibri" w:cs="Calibri"/>
          <w:sz w:val="18"/>
          <w:szCs w:val="18"/>
        </w:rPr>
      </w:pPr>
    </w:p>
    <w:p w14:paraId="644B96AB" w14:textId="77777777" w:rsidR="00BC5929" w:rsidRDefault="00BC5929" w:rsidP="00BC5929">
      <w:pPr>
        <w:spacing w:after="0" w:line="240" w:lineRule="auto"/>
        <w:rPr>
          <w:rFonts w:ascii="Calibri" w:eastAsia="Aptos" w:hAnsi="Calibri" w:cs="Calibri"/>
          <w:b/>
          <w:bCs/>
          <w:sz w:val="22"/>
          <w:szCs w:val="22"/>
        </w:rPr>
      </w:pPr>
    </w:p>
    <w:p w14:paraId="42DFFA22" w14:textId="77777777" w:rsidR="00BC5929" w:rsidRPr="000F7835" w:rsidRDefault="00BC5929" w:rsidP="00BC5929">
      <w:pPr>
        <w:spacing w:after="0" w:line="240" w:lineRule="auto"/>
        <w:jc w:val="both"/>
        <w:rPr>
          <w:rFonts w:ascii="Calibri" w:eastAsia="Aptos" w:hAnsi="Calibri" w:cs="Calibri"/>
          <w:b/>
          <w:color w:val="000000"/>
          <w:sz w:val="18"/>
          <w:szCs w:val="18"/>
        </w:rPr>
      </w:pPr>
      <w:r w:rsidRPr="000F7835">
        <w:rPr>
          <w:rFonts w:ascii="Calibri" w:eastAsia="Aptos" w:hAnsi="Calibri" w:cs="Calibri"/>
          <w:b/>
          <w:color w:val="000000"/>
          <w:sz w:val="18"/>
          <w:szCs w:val="18"/>
        </w:rPr>
        <w:t>Para mais informações contactar, por favor:</w:t>
      </w:r>
    </w:p>
    <w:p w14:paraId="258BC64A" w14:textId="77777777" w:rsidR="00BC5929" w:rsidRPr="000F7835" w:rsidRDefault="00BC5929" w:rsidP="00BC5929">
      <w:pPr>
        <w:spacing w:after="0" w:line="240" w:lineRule="auto"/>
        <w:jc w:val="both"/>
        <w:rPr>
          <w:rFonts w:ascii="Calibri" w:eastAsia="Aptos" w:hAnsi="Calibri" w:cs="Calibri"/>
          <w:b/>
          <w:color w:val="000000"/>
          <w:sz w:val="18"/>
          <w:szCs w:val="18"/>
          <w:u w:val="single"/>
        </w:rPr>
      </w:pPr>
    </w:p>
    <w:p w14:paraId="7E42D9D9" w14:textId="77777777" w:rsidR="00BC5929" w:rsidRPr="000F7835" w:rsidRDefault="00BC5929" w:rsidP="00BC5929">
      <w:pPr>
        <w:spacing w:after="0" w:line="240" w:lineRule="auto"/>
        <w:rPr>
          <w:rFonts w:ascii="Calibri" w:eastAsia="Aptos" w:hAnsi="Calibri" w:cs="Calibri"/>
          <w:color w:val="000000"/>
          <w:sz w:val="18"/>
          <w:szCs w:val="18"/>
        </w:rPr>
      </w:pPr>
      <w:r w:rsidRPr="000F7835">
        <w:rPr>
          <w:rFonts w:ascii="Calibri" w:eastAsia="Aptos" w:hAnsi="Calibri" w:cs="Calibri"/>
          <w:color w:val="000000"/>
          <w:sz w:val="18"/>
          <w:szCs w:val="18"/>
        </w:rPr>
        <w:t xml:space="preserve">Anabela Pereira | </w:t>
      </w:r>
      <w:hyperlink r:id="rId10" w:history="1">
        <w:r w:rsidRPr="000F7835">
          <w:rPr>
            <w:rFonts w:ascii="Calibri" w:eastAsia="Aptos" w:hAnsi="Calibri" w:cs="Calibri"/>
            <w:color w:val="467886"/>
            <w:sz w:val="18"/>
            <w:szCs w:val="18"/>
            <w:u w:val="single"/>
          </w:rPr>
          <w:t>anabela@pereira@lift.com.pt</w:t>
        </w:r>
      </w:hyperlink>
      <w:r w:rsidRPr="000F7835">
        <w:rPr>
          <w:rFonts w:ascii="Calibri" w:eastAsia="Aptos" w:hAnsi="Calibri" w:cs="Calibri"/>
          <w:color w:val="000000"/>
          <w:sz w:val="18"/>
          <w:szCs w:val="18"/>
        </w:rPr>
        <w:t xml:space="preserve"> | 936 282 863</w:t>
      </w:r>
    </w:p>
    <w:p w14:paraId="65AC5948" w14:textId="77777777" w:rsidR="00BC5929" w:rsidRPr="000F7835" w:rsidRDefault="00BC5929" w:rsidP="00BC5929">
      <w:pPr>
        <w:spacing w:after="0" w:line="240" w:lineRule="auto"/>
        <w:rPr>
          <w:rFonts w:ascii="Calibri" w:eastAsia="Aptos" w:hAnsi="Calibri" w:cs="Calibri"/>
          <w:color w:val="000000"/>
          <w:sz w:val="18"/>
          <w:szCs w:val="18"/>
        </w:rPr>
      </w:pPr>
      <w:r w:rsidRPr="000F7835">
        <w:rPr>
          <w:rFonts w:ascii="Calibri" w:eastAsia="Aptos" w:hAnsi="Calibri" w:cs="Calibri"/>
          <w:color w:val="000000"/>
          <w:sz w:val="18"/>
          <w:szCs w:val="18"/>
        </w:rPr>
        <w:t xml:space="preserve">Matilde Branco | </w:t>
      </w:r>
      <w:hyperlink r:id="rId11" w:history="1">
        <w:r w:rsidRPr="000F7835">
          <w:rPr>
            <w:rStyle w:val="Hiperligao"/>
            <w:rFonts w:ascii="Calibri" w:eastAsia="Aptos" w:hAnsi="Calibri" w:cs="Calibri"/>
            <w:sz w:val="18"/>
            <w:szCs w:val="18"/>
          </w:rPr>
          <w:t>matilde.branco@lift.com.pt</w:t>
        </w:r>
      </w:hyperlink>
      <w:r w:rsidRPr="000F7835">
        <w:rPr>
          <w:rFonts w:ascii="Calibri" w:eastAsia="Aptos" w:hAnsi="Calibri" w:cs="Calibri"/>
          <w:color w:val="000000"/>
          <w:sz w:val="18"/>
          <w:szCs w:val="18"/>
        </w:rPr>
        <w:t xml:space="preserve"> | 914 417 504</w:t>
      </w:r>
    </w:p>
    <w:p w14:paraId="1FEA1E50" w14:textId="2570F46F" w:rsidR="00BC5929" w:rsidRPr="000F7835" w:rsidRDefault="00BC5929" w:rsidP="00BC5929">
      <w:pPr>
        <w:spacing w:after="0" w:line="240" w:lineRule="auto"/>
        <w:jc w:val="both"/>
        <w:rPr>
          <w:rFonts w:ascii="Calibri" w:eastAsia="Aptos" w:hAnsi="Calibri" w:cs="Calibri"/>
          <w:bCs/>
          <w:color w:val="000000"/>
          <w:sz w:val="18"/>
          <w:szCs w:val="18"/>
        </w:rPr>
      </w:pPr>
      <w:r w:rsidRPr="000F7835">
        <w:rPr>
          <w:rFonts w:ascii="Calibri" w:eastAsia="Aptos" w:hAnsi="Calibri" w:cs="Calibri"/>
          <w:bCs/>
          <w:color w:val="000000"/>
          <w:sz w:val="18"/>
          <w:szCs w:val="18"/>
        </w:rPr>
        <w:t xml:space="preserve">Carla Rodrigues | </w:t>
      </w:r>
      <w:hyperlink r:id="rId12" w:history="1">
        <w:r w:rsidRPr="000F7835">
          <w:rPr>
            <w:rFonts w:ascii="Calibri" w:eastAsia="Aptos" w:hAnsi="Calibri" w:cs="Calibri"/>
            <w:bCs/>
            <w:color w:val="467886"/>
            <w:sz w:val="18"/>
            <w:szCs w:val="18"/>
            <w:u w:val="single"/>
          </w:rPr>
          <w:t>carla.rodrigues@lift.com.pt</w:t>
        </w:r>
      </w:hyperlink>
      <w:r w:rsidRPr="000F7835">
        <w:rPr>
          <w:rFonts w:ascii="Calibri" w:eastAsia="Aptos" w:hAnsi="Calibri" w:cs="Calibri"/>
          <w:bCs/>
          <w:color w:val="000000"/>
          <w:sz w:val="18"/>
          <w:szCs w:val="18"/>
        </w:rPr>
        <w:t xml:space="preserve"> | 915 193 379</w:t>
      </w:r>
    </w:p>
    <w:p w14:paraId="6ED35F08" w14:textId="77777777" w:rsidR="00BC5929" w:rsidRDefault="00BC5929"/>
    <w:sectPr w:rsidR="00BC5929" w:rsidSect="00865031">
      <w:headerReference w:type="default" r:id="rId13"/>
      <w:pgSz w:w="11906" w:h="16838"/>
      <w:pgMar w:top="249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04D6" w14:textId="77777777" w:rsidR="002A0C87" w:rsidRDefault="002A0C87" w:rsidP="00BC5929">
      <w:pPr>
        <w:spacing w:after="0" w:line="240" w:lineRule="auto"/>
      </w:pPr>
      <w:r>
        <w:separator/>
      </w:r>
    </w:p>
  </w:endnote>
  <w:endnote w:type="continuationSeparator" w:id="0">
    <w:p w14:paraId="751318A6" w14:textId="77777777" w:rsidR="002A0C87" w:rsidRDefault="002A0C87" w:rsidP="00BC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3CDD" w14:textId="77777777" w:rsidR="002A0C87" w:rsidRDefault="002A0C87" w:rsidP="00BC5929">
      <w:pPr>
        <w:spacing w:after="0" w:line="240" w:lineRule="auto"/>
      </w:pPr>
      <w:r>
        <w:separator/>
      </w:r>
    </w:p>
  </w:footnote>
  <w:footnote w:type="continuationSeparator" w:id="0">
    <w:p w14:paraId="2CDFACF9" w14:textId="77777777" w:rsidR="002A0C87" w:rsidRDefault="002A0C87" w:rsidP="00BC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730D" w14:textId="75F94742" w:rsidR="00176FF9" w:rsidRDefault="00176FF9" w:rsidP="00176FF9">
    <w:pPr>
      <w:pStyle w:val="Cabealho"/>
      <w:rPr>
        <w:noProof/>
      </w:rPr>
    </w:pPr>
    <w:r w:rsidRPr="008A29FF">
      <w:rPr>
        <w:noProof/>
      </w:rPr>
      <w:drawing>
        <wp:anchor distT="0" distB="0" distL="114300" distR="114300" simplePos="0" relativeHeight="251660288" behindDoc="1" locked="0" layoutInCell="1" allowOverlap="1" wp14:anchorId="1FB2CF59" wp14:editId="0C06B568">
          <wp:simplePos x="0" y="0"/>
          <wp:positionH relativeFrom="column">
            <wp:posOffset>208915</wp:posOffset>
          </wp:positionH>
          <wp:positionV relativeFrom="paragraph">
            <wp:posOffset>238760</wp:posOffset>
          </wp:positionV>
          <wp:extent cx="1677670" cy="764540"/>
          <wp:effectExtent l="0" t="0" r="0" b="0"/>
          <wp:wrapTight wrapText="bothSides">
            <wp:wrapPolygon edited="0">
              <wp:start x="0" y="0"/>
              <wp:lineTo x="0" y="20990"/>
              <wp:lineTo x="21338" y="20990"/>
              <wp:lineTo x="21338" y="0"/>
              <wp:lineTo x="0" y="0"/>
            </wp:wrapPolygon>
          </wp:wrapTight>
          <wp:docPr id="20686866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t="22170" b="16973"/>
                  <a:stretch>
                    <a:fillRect/>
                  </a:stretch>
                </pic:blipFill>
                <pic:spPr bwMode="auto">
                  <a:xfrm>
                    <a:off x="0" y="0"/>
                    <a:ext cx="1677670" cy="764540"/>
                  </a:xfrm>
                  <a:prstGeom prst="rect">
                    <a:avLst/>
                  </a:prstGeom>
                  <a:noFill/>
                  <a:ln>
                    <a:noFill/>
                  </a:ln>
                  <a:extLst>
                    <a:ext uri="{53640926-AAD7-44D8-BBD7-CCE9431645EC}">
                      <a14:shadowObscured xmlns:a14="http://schemas.microsoft.com/office/drawing/2010/main"/>
                    </a:ext>
                  </a:extLst>
                </pic:spPr>
              </pic:pic>
            </a:graphicData>
          </a:graphic>
        </wp:anchor>
      </w:drawing>
    </w:r>
    <w:r w:rsidRPr="00C43773">
      <w:rPr>
        <w:noProof/>
      </w:rPr>
      <w:drawing>
        <wp:anchor distT="0" distB="0" distL="114300" distR="114300" simplePos="0" relativeHeight="251659264" behindDoc="1" locked="0" layoutInCell="1" allowOverlap="1" wp14:anchorId="2834629D" wp14:editId="23A79726">
          <wp:simplePos x="0" y="0"/>
          <wp:positionH relativeFrom="margin">
            <wp:align>center</wp:align>
          </wp:positionH>
          <wp:positionV relativeFrom="paragraph">
            <wp:posOffset>124460</wp:posOffset>
          </wp:positionV>
          <wp:extent cx="891540" cy="891540"/>
          <wp:effectExtent l="0" t="0" r="3810" b="3810"/>
          <wp:wrapTight wrapText="bothSides">
            <wp:wrapPolygon edited="0">
              <wp:start x="0" y="0"/>
              <wp:lineTo x="0" y="21231"/>
              <wp:lineTo x="21231" y="21231"/>
              <wp:lineTo x="21231" y="0"/>
              <wp:lineTo x="0" y="0"/>
            </wp:wrapPolygon>
          </wp:wrapTight>
          <wp:docPr id="195853781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anchor>
      </w:drawing>
    </w:r>
  </w:p>
  <w:p w14:paraId="6D2AD824" w14:textId="772F9926" w:rsidR="00176FF9" w:rsidRDefault="00176FF9" w:rsidP="00176FF9">
    <w:pPr>
      <w:pStyle w:val="Cabealho"/>
    </w:pPr>
    <w:r w:rsidRPr="00EF12D8">
      <w:rPr>
        <w:noProof/>
      </w:rPr>
      <w:drawing>
        <wp:anchor distT="0" distB="0" distL="114300" distR="114300" simplePos="0" relativeHeight="251658240" behindDoc="1" locked="0" layoutInCell="1" allowOverlap="1" wp14:anchorId="37D2C40D" wp14:editId="2538F954">
          <wp:simplePos x="0" y="0"/>
          <wp:positionH relativeFrom="column">
            <wp:posOffset>3593465</wp:posOffset>
          </wp:positionH>
          <wp:positionV relativeFrom="paragraph">
            <wp:posOffset>156210</wp:posOffset>
          </wp:positionV>
          <wp:extent cx="1662430" cy="556895"/>
          <wp:effectExtent l="0" t="0" r="0" b="0"/>
          <wp:wrapTight wrapText="bothSides">
            <wp:wrapPolygon edited="0">
              <wp:start x="0" y="0"/>
              <wp:lineTo x="0" y="20689"/>
              <wp:lineTo x="21286" y="20689"/>
              <wp:lineTo x="21286" y="0"/>
              <wp:lineTo x="0" y="0"/>
            </wp:wrapPolygon>
          </wp:wrapTight>
          <wp:docPr id="7724350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243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335A33D" w14:textId="342E3EC5" w:rsidR="00BC5929" w:rsidRPr="00176FF9" w:rsidRDefault="00BC5929" w:rsidP="00176F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1B39"/>
    <w:multiLevelType w:val="hybridMultilevel"/>
    <w:tmpl w:val="0778C5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E1010DD"/>
    <w:multiLevelType w:val="hybridMultilevel"/>
    <w:tmpl w:val="3544E5C8"/>
    <w:lvl w:ilvl="0" w:tplc="08160001">
      <w:start w:val="1"/>
      <w:numFmt w:val="bullet"/>
      <w:lvlText w:val=""/>
      <w:lvlJc w:val="left"/>
      <w:pPr>
        <w:ind w:left="6881" w:hanging="360"/>
      </w:pPr>
      <w:rPr>
        <w:rFonts w:ascii="Symbol" w:hAnsi="Symbol" w:hint="default"/>
      </w:rPr>
    </w:lvl>
    <w:lvl w:ilvl="1" w:tplc="08160003" w:tentative="1">
      <w:start w:val="1"/>
      <w:numFmt w:val="bullet"/>
      <w:lvlText w:val="o"/>
      <w:lvlJc w:val="left"/>
      <w:pPr>
        <w:ind w:left="7601" w:hanging="360"/>
      </w:pPr>
      <w:rPr>
        <w:rFonts w:ascii="Courier New" w:hAnsi="Courier New" w:cs="Courier New" w:hint="default"/>
      </w:rPr>
    </w:lvl>
    <w:lvl w:ilvl="2" w:tplc="08160005" w:tentative="1">
      <w:start w:val="1"/>
      <w:numFmt w:val="bullet"/>
      <w:lvlText w:val=""/>
      <w:lvlJc w:val="left"/>
      <w:pPr>
        <w:ind w:left="8321" w:hanging="360"/>
      </w:pPr>
      <w:rPr>
        <w:rFonts w:ascii="Wingdings" w:hAnsi="Wingdings" w:hint="default"/>
      </w:rPr>
    </w:lvl>
    <w:lvl w:ilvl="3" w:tplc="08160001" w:tentative="1">
      <w:start w:val="1"/>
      <w:numFmt w:val="bullet"/>
      <w:lvlText w:val=""/>
      <w:lvlJc w:val="left"/>
      <w:pPr>
        <w:ind w:left="9041" w:hanging="360"/>
      </w:pPr>
      <w:rPr>
        <w:rFonts w:ascii="Symbol" w:hAnsi="Symbol" w:hint="default"/>
      </w:rPr>
    </w:lvl>
    <w:lvl w:ilvl="4" w:tplc="08160003" w:tentative="1">
      <w:start w:val="1"/>
      <w:numFmt w:val="bullet"/>
      <w:lvlText w:val="o"/>
      <w:lvlJc w:val="left"/>
      <w:pPr>
        <w:ind w:left="9761" w:hanging="360"/>
      </w:pPr>
      <w:rPr>
        <w:rFonts w:ascii="Courier New" w:hAnsi="Courier New" w:cs="Courier New" w:hint="default"/>
      </w:rPr>
    </w:lvl>
    <w:lvl w:ilvl="5" w:tplc="08160005" w:tentative="1">
      <w:start w:val="1"/>
      <w:numFmt w:val="bullet"/>
      <w:lvlText w:val=""/>
      <w:lvlJc w:val="left"/>
      <w:pPr>
        <w:ind w:left="10481" w:hanging="360"/>
      </w:pPr>
      <w:rPr>
        <w:rFonts w:ascii="Wingdings" w:hAnsi="Wingdings" w:hint="default"/>
      </w:rPr>
    </w:lvl>
    <w:lvl w:ilvl="6" w:tplc="08160001" w:tentative="1">
      <w:start w:val="1"/>
      <w:numFmt w:val="bullet"/>
      <w:lvlText w:val=""/>
      <w:lvlJc w:val="left"/>
      <w:pPr>
        <w:ind w:left="11201" w:hanging="360"/>
      </w:pPr>
      <w:rPr>
        <w:rFonts w:ascii="Symbol" w:hAnsi="Symbol" w:hint="default"/>
      </w:rPr>
    </w:lvl>
    <w:lvl w:ilvl="7" w:tplc="08160003" w:tentative="1">
      <w:start w:val="1"/>
      <w:numFmt w:val="bullet"/>
      <w:lvlText w:val="o"/>
      <w:lvlJc w:val="left"/>
      <w:pPr>
        <w:ind w:left="11921" w:hanging="360"/>
      </w:pPr>
      <w:rPr>
        <w:rFonts w:ascii="Courier New" w:hAnsi="Courier New" w:cs="Courier New" w:hint="default"/>
      </w:rPr>
    </w:lvl>
    <w:lvl w:ilvl="8" w:tplc="08160005" w:tentative="1">
      <w:start w:val="1"/>
      <w:numFmt w:val="bullet"/>
      <w:lvlText w:val=""/>
      <w:lvlJc w:val="left"/>
      <w:pPr>
        <w:ind w:left="12641" w:hanging="360"/>
      </w:pPr>
      <w:rPr>
        <w:rFonts w:ascii="Wingdings" w:hAnsi="Wingdings" w:hint="default"/>
      </w:rPr>
    </w:lvl>
  </w:abstractNum>
  <w:abstractNum w:abstractNumId="2" w15:restartNumberingAfterBreak="0">
    <w:nsid w:val="66575C60"/>
    <w:multiLevelType w:val="hybridMultilevel"/>
    <w:tmpl w:val="D6D648AA"/>
    <w:lvl w:ilvl="0" w:tplc="AC04B42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6085867">
    <w:abstractNumId w:val="1"/>
  </w:num>
  <w:num w:numId="2" w16cid:durableId="1270967546">
    <w:abstractNumId w:val="0"/>
  </w:num>
  <w:num w:numId="3" w16cid:durableId="156475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29"/>
    <w:rsid w:val="000068E4"/>
    <w:rsid w:val="00010C95"/>
    <w:rsid w:val="00013C8B"/>
    <w:rsid w:val="00013DCE"/>
    <w:rsid w:val="00017C60"/>
    <w:rsid w:val="00022CCC"/>
    <w:rsid w:val="00045986"/>
    <w:rsid w:val="00050C5B"/>
    <w:rsid w:val="00067CDD"/>
    <w:rsid w:val="0007495C"/>
    <w:rsid w:val="000774F2"/>
    <w:rsid w:val="000A0CCA"/>
    <w:rsid w:val="000A27AD"/>
    <w:rsid w:val="000A3A62"/>
    <w:rsid w:val="000A71B1"/>
    <w:rsid w:val="000A72D7"/>
    <w:rsid w:val="000B04D5"/>
    <w:rsid w:val="000B305D"/>
    <w:rsid w:val="000C11ED"/>
    <w:rsid w:val="000E20AF"/>
    <w:rsid w:val="000E4C48"/>
    <w:rsid w:val="000F7835"/>
    <w:rsid w:val="00113D44"/>
    <w:rsid w:val="00173F1A"/>
    <w:rsid w:val="00175D7D"/>
    <w:rsid w:val="00176FF9"/>
    <w:rsid w:val="001A0140"/>
    <w:rsid w:val="001C4161"/>
    <w:rsid w:val="001C613C"/>
    <w:rsid w:val="001D3449"/>
    <w:rsid w:val="001D5942"/>
    <w:rsid w:val="001E3065"/>
    <w:rsid w:val="001F1291"/>
    <w:rsid w:val="001F23D4"/>
    <w:rsid w:val="001F5E01"/>
    <w:rsid w:val="001F6CEF"/>
    <w:rsid w:val="00200459"/>
    <w:rsid w:val="002060DD"/>
    <w:rsid w:val="00206DDF"/>
    <w:rsid w:val="00225C99"/>
    <w:rsid w:val="00232161"/>
    <w:rsid w:val="00233A76"/>
    <w:rsid w:val="002367A3"/>
    <w:rsid w:val="00246FB4"/>
    <w:rsid w:val="00250891"/>
    <w:rsid w:val="00251AE9"/>
    <w:rsid w:val="002523F5"/>
    <w:rsid w:val="002566E6"/>
    <w:rsid w:val="00257D79"/>
    <w:rsid w:val="00276014"/>
    <w:rsid w:val="00280848"/>
    <w:rsid w:val="00280CCF"/>
    <w:rsid w:val="0028174E"/>
    <w:rsid w:val="0028649C"/>
    <w:rsid w:val="00287BE1"/>
    <w:rsid w:val="00297BBC"/>
    <w:rsid w:val="002A0C87"/>
    <w:rsid w:val="002A7CA7"/>
    <w:rsid w:val="002B0134"/>
    <w:rsid w:val="002B762D"/>
    <w:rsid w:val="002C2EBB"/>
    <w:rsid w:val="002D07D6"/>
    <w:rsid w:val="002D5899"/>
    <w:rsid w:val="002D60DA"/>
    <w:rsid w:val="002D776D"/>
    <w:rsid w:val="002F1B55"/>
    <w:rsid w:val="00310F59"/>
    <w:rsid w:val="00317855"/>
    <w:rsid w:val="0032254D"/>
    <w:rsid w:val="00323365"/>
    <w:rsid w:val="00330A34"/>
    <w:rsid w:val="00344F17"/>
    <w:rsid w:val="00353B44"/>
    <w:rsid w:val="00362863"/>
    <w:rsid w:val="00375D9C"/>
    <w:rsid w:val="0037651A"/>
    <w:rsid w:val="0038148E"/>
    <w:rsid w:val="003913B3"/>
    <w:rsid w:val="003A1945"/>
    <w:rsid w:val="003B6354"/>
    <w:rsid w:val="003B7B2C"/>
    <w:rsid w:val="003B7DF4"/>
    <w:rsid w:val="003C17F0"/>
    <w:rsid w:val="003C4379"/>
    <w:rsid w:val="003D07C3"/>
    <w:rsid w:val="003E4384"/>
    <w:rsid w:val="003F3E5D"/>
    <w:rsid w:val="004178D8"/>
    <w:rsid w:val="00417C49"/>
    <w:rsid w:val="004217DC"/>
    <w:rsid w:val="004302B5"/>
    <w:rsid w:val="004358FA"/>
    <w:rsid w:val="00442B63"/>
    <w:rsid w:val="00446FE7"/>
    <w:rsid w:val="004504AA"/>
    <w:rsid w:val="004646F2"/>
    <w:rsid w:val="00471EA0"/>
    <w:rsid w:val="00485159"/>
    <w:rsid w:val="004862AC"/>
    <w:rsid w:val="004A11FA"/>
    <w:rsid w:val="004A670D"/>
    <w:rsid w:val="004A6E41"/>
    <w:rsid w:val="004B5450"/>
    <w:rsid w:val="004C69D1"/>
    <w:rsid w:val="004D28A0"/>
    <w:rsid w:val="004D3522"/>
    <w:rsid w:val="004E7A09"/>
    <w:rsid w:val="004F228B"/>
    <w:rsid w:val="004F2CF4"/>
    <w:rsid w:val="004F410F"/>
    <w:rsid w:val="0053568C"/>
    <w:rsid w:val="00550335"/>
    <w:rsid w:val="0058129E"/>
    <w:rsid w:val="00590C5B"/>
    <w:rsid w:val="005A08A1"/>
    <w:rsid w:val="005D224A"/>
    <w:rsid w:val="005D55E7"/>
    <w:rsid w:val="005E1689"/>
    <w:rsid w:val="006130AE"/>
    <w:rsid w:val="006208EF"/>
    <w:rsid w:val="00626E1A"/>
    <w:rsid w:val="00654B43"/>
    <w:rsid w:val="00664936"/>
    <w:rsid w:val="00686C7F"/>
    <w:rsid w:val="006A1A96"/>
    <w:rsid w:val="006B2CBF"/>
    <w:rsid w:val="006B6CC3"/>
    <w:rsid w:val="006C3131"/>
    <w:rsid w:val="006D33AD"/>
    <w:rsid w:val="007216F6"/>
    <w:rsid w:val="00723095"/>
    <w:rsid w:val="00726694"/>
    <w:rsid w:val="00727FBA"/>
    <w:rsid w:val="00730889"/>
    <w:rsid w:val="00733611"/>
    <w:rsid w:val="00740266"/>
    <w:rsid w:val="0076687E"/>
    <w:rsid w:val="007725FA"/>
    <w:rsid w:val="00776106"/>
    <w:rsid w:val="00776D9E"/>
    <w:rsid w:val="00786EC6"/>
    <w:rsid w:val="007A4D25"/>
    <w:rsid w:val="007B3041"/>
    <w:rsid w:val="007C6A60"/>
    <w:rsid w:val="007D4A27"/>
    <w:rsid w:val="007F08E9"/>
    <w:rsid w:val="007F20E2"/>
    <w:rsid w:val="0080303E"/>
    <w:rsid w:val="00817698"/>
    <w:rsid w:val="00820614"/>
    <w:rsid w:val="008322FB"/>
    <w:rsid w:val="00835384"/>
    <w:rsid w:val="0083665C"/>
    <w:rsid w:val="008369FD"/>
    <w:rsid w:val="00842795"/>
    <w:rsid w:val="00844EC3"/>
    <w:rsid w:val="00852663"/>
    <w:rsid w:val="00854D94"/>
    <w:rsid w:val="00865031"/>
    <w:rsid w:val="00871B98"/>
    <w:rsid w:val="008743EC"/>
    <w:rsid w:val="00890D9B"/>
    <w:rsid w:val="008A0FAF"/>
    <w:rsid w:val="008A6D8B"/>
    <w:rsid w:val="008C0805"/>
    <w:rsid w:val="008C21C1"/>
    <w:rsid w:val="008C4410"/>
    <w:rsid w:val="008C47FA"/>
    <w:rsid w:val="008D4FCF"/>
    <w:rsid w:val="008E198B"/>
    <w:rsid w:val="008E51F8"/>
    <w:rsid w:val="008F42F4"/>
    <w:rsid w:val="009144F2"/>
    <w:rsid w:val="00923DE0"/>
    <w:rsid w:val="0093522F"/>
    <w:rsid w:val="00944AA6"/>
    <w:rsid w:val="00960CEE"/>
    <w:rsid w:val="00971EE8"/>
    <w:rsid w:val="00981C82"/>
    <w:rsid w:val="00992D1D"/>
    <w:rsid w:val="009A0D81"/>
    <w:rsid w:val="009C06DD"/>
    <w:rsid w:val="009C327D"/>
    <w:rsid w:val="00A01123"/>
    <w:rsid w:val="00A0198F"/>
    <w:rsid w:val="00A12696"/>
    <w:rsid w:val="00A179C3"/>
    <w:rsid w:val="00A24F47"/>
    <w:rsid w:val="00A41E47"/>
    <w:rsid w:val="00A46802"/>
    <w:rsid w:val="00A54851"/>
    <w:rsid w:val="00A71DE3"/>
    <w:rsid w:val="00A80D18"/>
    <w:rsid w:val="00A94B2D"/>
    <w:rsid w:val="00A9547F"/>
    <w:rsid w:val="00A95DE6"/>
    <w:rsid w:val="00AC5AF4"/>
    <w:rsid w:val="00AD0589"/>
    <w:rsid w:val="00AD2BA8"/>
    <w:rsid w:val="00AD2D85"/>
    <w:rsid w:val="00AD3DB4"/>
    <w:rsid w:val="00AD3FEB"/>
    <w:rsid w:val="00AD5812"/>
    <w:rsid w:val="00AD78D6"/>
    <w:rsid w:val="00AF0FA9"/>
    <w:rsid w:val="00AF2125"/>
    <w:rsid w:val="00AF562F"/>
    <w:rsid w:val="00AF62EB"/>
    <w:rsid w:val="00B070E9"/>
    <w:rsid w:val="00B159FA"/>
    <w:rsid w:val="00B3240D"/>
    <w:rsid w:val="00B45583"/>
    <w:rsid w:val="00B607A3"/>
    <w:rsid w:val="00B76FE6"/>
    <w:rsid w:val="00B80F65"/>
    <w:rsid w:val="00B815D9"/>
    <w:rsid w:val="00B83899"/>
    <w:rsid w:val="00B865BB"/>
    <w:rsid w:val="00B93FCB"/>
    <w:rsid w:val="00B973C3"/>
    <w:rsid w:val="00BA5FD5"/>
    <w:rsid w:val="00BB5175"/>
    <w:rsid w:val="00BC5929"/>
    <w:rsid w:val="00BD317E"/>
    <w:rsid w:val="00BE66C6"/>
    <w:rsid w:val="00BF68B7"/>
    <w:rsid w:val="00C1285E"/>
    <w:rsid w:val="00C32E7B"/>
    <w:rsid w:val="00C47773"/>
    <w:rsid w:val="00C47DDA"/>
    <w:rsid w:val="00C741B6"/>
    <w:rsid w:val="00C945B1"/>
    <w:rsid w:val="00CA07F7"/>
    <w:rsid w:val="00CA381D"/>
    <w:rsid w:val="00CB2C24"/>
    <w:rsid w:val="00CD49CE"/>
    <w:rsid w:val="00CE76E5"/>
    <w:rsid w:val="00CF2863"/>
    <w:rsid w:val="00D04AA7"/>
    <w:rsid w:val="00D05FB6"/>
    <w:rsid w:val="00D06459"/>
    <w:rsid w:val="00D25C26"/>
    <w:rsid w:val="00D4016B"/>
    <w:rsid w:val="00D46D18"/>
    <w:rsid w:val="00D53378"/>
    <w:rsid w:val="00D71AE3"/>
    <w:rsid w:val="00D80B22"/>
    <w:rsid w:val="00DA398E"/>
    <w:rsid w:val="00DB159B"/>
    <w:rsid w:val="00DB3423"/>
    <w:rsid w:val="00DC2061"/>
    <w:rsid w:val="00DE1669"/>
    <w:rsid w:val="00DE3839"/>
    <w:rsid w:val="00DF421F"/>
    <w:rsid w:val="00DF5448"/>
    <w:rsid w:val="00E111CC"/>
    <w:rsid w:val="00E1121A"/>
    <w:rsid w:val="00E13427"/>
    <w:rsid w:val="00E14925"/>
    <w:rsid w:val="00E230F1"/>
    <w:rsid w:val="00E24170"/>
    <w:rsid w:val="00E34DF5"/>
    <w:rsid w:val="00E3536C"/>
    <w:rsid w:val="00E5405B"/>
    <w:rsid w:val="00E60F98"/>
    <w:rsid w:val="00E6536F"/>
    <w:rsid w:val="00E66F40"/>
    <w:rsid w:val="00E72F05"/>
    <w:rsid w:val="00E75A69"/>
    <w:rsid w:val="00E762B8"/>
    <w:rsid w:val="00E845E1"/>
    <w:rsid w:val="00E9234C"/>
    <w:rsid w:val="00E94D77"/>
    <w:rsid w:val="00E95063"/>
    <w:rsid w:val="00EB295A"/>
    <w:rsid w:val="00EB5527"/>
    <w:rsid w:val="00EC1CC6"/>
    <w:rsid w:val="00ED0ADD"/>
    <w:rsid w:val="00EE2870"/>
    <w:rsid w:val="00EF03E1"/>
    <w:rsid w:val="00EF4297"/>
    <w:rsid w:val="00EF6397"/>
    <w:rsid w:val="00F13AEF"/>
    <w:rsid w:val="00F17015"/>
    <w:rsid w:val="00F22436"/>
    <w:rsid w:val="00F81A94"/>
    <w:rsid w:val="00F83CD2"/>
    <w:rsid w:val="00FB2BEE"/>
    <w:rsid w:val="00FC473B"/>
    <w:rsid w:val="00FC6B71"/>
    <w:rsid w:val="00FD3B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07E38"/>
  <w15:chartTrackingRefBased/>
  <w15:docId w15:val="{90B374B7-EBBA-4B10-883E-A0EE90F6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25"/>
  </w:style>
  <w:style w:type="paragraph" w:styleId="Ttulo1">
    <w:name w:val="heading 1"/>
    <w:basedOn w:val="Normal"/>
    <w:next w:val="Normal"/>
    <w:link w:val="Ttulo1Carter"/>
    <w:uiPriority w:val="9"/>
    <w:qFormat/>
    <w:rsid w:val="00BC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BC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BC59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BC59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BC59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BC59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BC59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BC59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BC592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BC592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BC592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BC592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BC592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BC592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BC592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BC592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BC592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BC5929"/>
    <w:rPr>
      <w:rFonts w:eastAsiaTheme="majorEastAsia" w:cstheme="majorBidi"/>
      <w:color w:val="272727" w:themeColor="text1" w:themeTint="D8"/>
    </w:rPr>
  </w:style>
  <w:style w:type="paragraph" w:styleId="Ttulo">
    <w:name w:val="Title"/>
    <w:basedOn w:val="Normal"/>
    <w:next w:val="Normal"/>
    <w:link w:val="TtuloCarter"/>
    <w:uiPriority w:val="10"/>
    <w:qFormat/>
    <w:rsid w:val="00BC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BC59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BC592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BC592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BC592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BC5929"/>
    <w:rPr>
      <w:i/>
      <w:iCs/>
      <w:color w:val="404040" w:themeColor="text1" w:themeTint="BF"/>
    </w:rPr>
  </w:style>
  <w:style w:type="paragraph" w:styleId="PargrafodaLista">
    <w:name w:val="List Paragraph"/>
    <w:basedOn w:val="Normal"/>
    <w:uiPriority w:val="34"/>
    <w:qFormat/>
    <w:rsid w:val="00BC5929"/>
    <w:pPr>
      <w:ind w:left="720"/>
      <w:contextualSpacing/>
    </w:pPr>
  </w:style>
  <w:style w:type="character" w:styleId="nfaseIntensa">
    <w:name w:val="Intense Emphasis"/>
    <w:basedOn w:val="Tipodeletrapredefinidodopargrafo"/>
    <w:uiPriority w:val="21"/>
    <w:qFormat/>
    <w:rsid w:val="00BC5929"/>
    <w:rPr>
      <w:i/>
      <w:iCs/>
      <w:color w:val="0F4761" w:themeColor="accent1" w:themeShade="BF"/>
    </w:rPr>
  </w:style>
  <w:style w:type="paragraph" w:styleId="CitaoIntensa">
    <w:name w:val="Intense Quote"/>
    <w:basedOn w:val="Normal"/>
    <w:next w:val="Normal"/>
    <w:link w:val="CitaoIntensaCarter"/>
    <w:uiPriority w:val="30"/>
    <w:qFormat/>
    <w:rsid w:val="00BC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BC5929"/>
    <w:rPr>
      <w:i/>
      <w:iCs/>
      <w:color w:val="0F4761" w:themeColor="accent1" w:themeShade="BF"/>
    </w:rPr>
  </w:style>
  <w:style w:type="character" w:styleId="RefernciaIntensa">
    <w:name w:val="Intense Reference"/>
    <w:basedOn w:val="Tipodeletrapredefinidodopargrafo"/>
    <w:uiPriority w:val="32"/>
    <w:qFormat/>
    <w:rsid w:val="00BC5929"/>
    <w:rPr>
      <w:b/>
      <w:bCs/>
      <w:smallCaps/>
      <w:color w:val="0F4761" w:themeColor="accent1" w:themeShade="BF"/>
      <w:spacing w:val="5"/>
    </w:rPr>
  </w:style>
  <w:style w:type="paragraph" w:styleId="Cabealho">
    <w:name w:val="header"/>
    <w:basedOn w:val="Normal"/>
    <w:link w:val="CabealhoCarter"/>
    <w:uiPriority w:val="99"/>
    <w:unhideWhenUsed/>
    <w:rsid w:val="00BC592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C5929"/>
  </w:style>
  <w:style w:type="paragraph" w:styleId="Rodap">
    <w:name w:val="footer"/>
    <w:basedOn w:val="Normal"/>
    <w:link w:val="RodapCarter"/>
    <w:uiPriority w:val="99"/>
    <w:unhideWhenUsed/>
    <w:rsid w:val="00BC592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C5929"/>
  </w:style>
  <w:style w:type="character" w:styleId="Hiperligao">
    <w:name w:val="Hyperlink"/>
    <w:basedOn w:val="Tipodeletrapredefinidodopargrafo"/>
    <w:uiPriority w:val="99"/>
    <w:unhideWhenUsed/>
    <w:rsid w:val="00BC5929"/>
    <w:rPr>
      <w:color w:val="467886" w:themeColor="hyperlink"/>
      <w:u w:val="single"/>
    </w:rPr>
  </w:style>
  <w:style w:type="paragraph" w:styleId="NormalWeb">
    <w:name w:val="Normal (Web)"/>
    <w:basedOn w:val="Normal"/>
    <w:uiPriority w:val="99"/>
    <w:semiHidden/>
    <w:unhideWhenUsed/>
    <w:rsid w:val="004178D8"/>
    <w:rPr>
      <w:rFonts w:ascii="Times New Roman" w:hAnsi="Times New Roman" w:cs="Times New Roman"/>
    </w:rPr>
  </w:style>
  <w:style w:type="paragraph" w:styleId="Reviso">
    <w:name w:val="Revision"/>
    <w:hidden/>
    <w:uiPriority w:val="99"/>
    <w:semiHidden/>
    <w:rsid w:val="008A0FAF"/>
    <w:pPr>
      <w:spacing w:after="0" w:line="240" w:lineRule="auto"/>
    </w:pPr>
  </w:style>
  <w:style w:type="character" w:styleId="MenoNoResolvida">
    <w:name w:val="Unresolved Mention"/>
    <w:basedOn w:val="Tipodeletrapredefinidodopargrafo"/>
    <w:uiPriority w:val="99"/>
    <w:semiHidden/>
    <w:unhideWhenUsed/>
    <w:rsid w:val="008743EC"/>
    <w:rPr>
      <w:color w:val="605E5C"/>
      <w:shd w:val="clear" w:color="auto" w:fill="E1DFDD"/>
    </w:rPr>
  </w:style>
  <w:style w:type="character" w:styleId="Hiperligaovisitada">
    <w:name w:val="FollowedHyperlink"/>
    <w:basedOn w:val="Tipodeletrapredefinidodopargrafo"/>
    <w:uiPriority w:val="99"/>
    <w:semiHidden/>
    <w:unhideWhenUsed/>
    <w:rsid w:val="008743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udi.p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lc.pt/pt/home" TargetMode="External"/><Relationship Id="rId12" Type="http://schemas.openxmlformats.org/officeDocument/2006/relationships/hyperlink" Target="mailto:carla.rodrigues@lift.com.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ilde.branco@lift.com.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abela@pereira@lift.com.pt" TargetMode="External"/><Relationship Id="rId4" Type="http://schemas.openxmlformats.org/officeDocument/2006/relationships/webSettings" Target="webSettings.xml"/><Relationship Id="rId9" Type="http://schemas.openxmlformats.org/officeDocument/2006/relationships/hyperlink" Target="https://www.fns.pt/associacoes/anacar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1253</Words>
  <Characters>6772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8009</CharactersWithSpaces>
  <SharedDoc>false</SharedDoc>
  <HLinks>
    <vt:vector size="24" baseType="variant">
      <vt:variant>
        <vt:i4>7995477</vt:i4>
      </vt:variant>
      <vt:variant>
        <vt:i4>9</vt:i4>
      </vt:variant>
      <vt:variant>
        <vt:i4>0</vt:i4>
      </vt:variant>
      <vt:variant>
        <vt:i4>5</vt:i4>
      </vt:variant>
      <vt:variant>
        <vt:lpwstr>mailto:carla.rodrigues@lift.com.pt</vt:lpwstr>
      </vt:variant>
      <vt:variant>
        <vt:lpwstr/>
      </vt:variant>
      <vt:variant>
        <vt:i4>3211294</vt:i4>
      </vt:variant>
      <vt:variant>
        <vt:i4>6</vt:i4>
      </vt:variant>
      <vt:variant>
        <vt:i4>0</vt:i4>
      </vt:variant>
      <vt:variant>
        <vt:i4>5</vt:i4>
      </vt:variant>
      <vt:variant>
        <vt:lpwstr>mailto:matilde.branco@lift.com.pt</vt:lpwstr>
      </vt:variant>
      <vt:variant>
        <vt:lpwstr/>
      </vt:variant>
      <vt:variant>
        <vt:i4>8192059</vt:i4>
      </vt:variant>
      <vt:variant>
        <vt:i4>3</vt:i4>
      </vt:variant>
      <vt:variant>
        <vt:i4>0</vt:i4>
      </vt:variant>
      <vt:variant>
        <vt:i4>5</vt:i4>
      </vt:variant>
      <vt:variant>
        <vt:lpwstr>mailto:anabela@pereira@lift.com.pt</vt:lpwstr>
      </vt:variant>
      <vt:variant>
        <vt:lpwstr/>
      </vt:variant>
      <vt:variant>
        <vt:i4>7012391</vt:i4>
      </vt:variant>
      <vt:variant>
        <vt:i4>0</vt:i4>
      </vt:variant>
      <vt:variant>
        <vt:i4>0</vt:i4>
      </vt:variant>
      <vt:variant>
        <vt:i4>5</vt:i4>
      </vt:variant>
      <vt:variant>
        <vt:lpwstr>https://www.anlc.pt/pt/home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Branco</dc:creator>
  <cp:keywords/>
  <dc:description/>
  <cp:lastModifiedBy>Matilde Branco</cp:lastModifiedBy>
  <cp:revision>5</cp:revision>
  <dcterms:created xsi:type="dcterms:W3CDTF">2026-04-02T22:45:00Z</dcterms:created>
  <dcterms:modified xsi:type="dcterms:W3CDTF">2026-04-12T19:52:00Z</dcterms:modified>
</cp:coreProperties>
</file>