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6740" w14:textId="77777777" w:rsidR="0053644A" w:rsidRDefault="0053644A" w:rsidP="0098494D">
      <w:pPr>
        <w:jc w:val="both"/>
        <w:rPr>
          <w:rFonts w:ascii="Calibri" w:hAnsi="Calibri" w:cs="Calibri"/>
          <w:sz w:val="22"/>
          <w:szCs w:val="22"/>
        </w:rPr>
      </w:pPr>
    </w:p>
    <w:p w14:paraId="19EADB52" w14:textId="01CABD93" w:rsidR="0098494D" w:rsidRPr="00877A48" w:rsidRDefault="0098494D" w:rsidP="0098494D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>KOMUNIKAT PRASOWY</w:t>
      </w:r>
    </w:p>
    <w:p w14:paraId="13BC6207" w14:textId="18DC23BE" w:rsidR="0098494D" w:rsidRPr="00877A48" w:rsidRDefault="0098494D" w:rsidP="0098494D">
      <w:pPr>
        <w:jc w:val="right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Warszawa, </w:t>
      </w:r>
      <w:r w:rsidR="00036309" w:rsidRPr="00877A48">
        <w:rPr>
          <w:rFonts w:ascii="Calibri" w:hAnsi="Calibri" w:cs="Calibri"/>
          <w:sz w:val="22"/>
          <w:szCs w:val="22"/>
        </w:rPr>
        <w:t>9</w:t>
      </w:r>
      <w:r w:rsidRPr="00877A48">
        <w:rPr>
          <w:rFonts w:ascii="Calibri" w:hAnsi="Calibri" w:cs="Calibri"/>
          <w:sz w:val="22"/>
          <w:szCs w:val="22"/>
        </w:rPr>
        <w:t>.0</w:t>
      </w:r>
      <w:r w:rsidR="00036309" w:rsidRPr="00877A48">
        <w:rPr>
          <w:rFonts w:ascii="Calibri" w:hAnsi="Calibri" w:cs="Calibri"/>
          <w:sz w:val="22"/>
          <w:szCs w:val="22"/>
        </w:rPr>
        <w:t>4</w:t>
      </w:r>
      <w:r w:rsidRPr="00877A48">
        <w:rPr>
          <w:rFonts w:ascii="Calibri" w:hAnsi="Calibri" w:cs="Calibri"/>
          <w:sz w:val="22"/>
          <w:szCs w:val="22"/>
        </w:rPr>
        <w:t>.202</w:t>
      </w:r>
      <w:r w:rsidR="00036309" w:rsidRPr="00877A48">
        <w:rPr>
          <w:rFonts w:ascii="Calibri" w:hAnsi="Calibri" w:cs="Calibri"/>
          <w:sz w:val="22"/>
          <w:szCs w:val="22"/>
        </w:rPr>
        <w:t>6</w:t>
      </w:r>
      <w:r w:rsidRPr="00877A48">
        <w:rPr>
          <w:rFonts w:ascii="Calibri" w:hAnsi="Calibri" w:cs="Calibri"/>
          <w:sz w:val="22"/>
          <w:szCs w:val="22"/>
        </w:rPr>
        <w:t xml:space="preserve"> r.</w:t>
      </w:r>
    </w:p>
    <w:p w14:paraId="7E24B774" w14:textId="2C6F3F17" w:rsidR="00D7473A" w:rsidRPr="00877A48" w:rsidRDefault="00D7473A" w:rsidP="00C773A8">
      <w:pPr>
        <w:jc w:val="center"/>
        <w:rPr>
          <w:rFonts w:ascii="Calibri" w:hAnsi="Calibri" w:cs="Calibri"/>
          <w:b/>
          <w:bCs/>
        </w:rPr>
      </w:pPr>
      <w:r w:rsidRPr="00877A48">
        <w:rPr>
          <w:rFonts w:ascii="Calibri" w:hAnsi="Calibri" w:cs="Calibri"/>
          <w:b/>
          <w:bCs/>
        </w:rPr>
        <w:t>Wojna w Iranie a ceny mieszkań w Polsce</w:t>
      </w:r>
      <w:r w:rsidR="005430D9" w:rsidRPr="00877A48">
        <w:rPr>
          <w:rFonts w:ascii="Calibri" w:hAnsi="Calibri" w:cs="Calibri"/>
          <w:b/>
          <w:bCs/>
        </w:rPr>
        <w:t xml:space="preserve"> – </w:t>
      </w:r>
      <w:r w:rsidR="001D3AC7" w:rsidRPr="00877A48">
        <w:rPr>
          <w:rFonts w:ascii="Calibri" w:hAnsi="Calibri" w:cs="Calibri"/>
          <w:b/>
          <w:bCs/>
        </w:rPr>
        <w:t xml:space="preserve">co </w:t>
      </w:r>
      <w:r w:rsidR="005430D9" w:rsidRPr="00877A48">
        <w:rPr>
          <w:rFonts w:ascii="Calibri" w:hAnsi="Calibri" w:cs="Calibri"/>
          <w:b/>
          <w:bCs/>
        </w:rPr>
        <w:t xml:space="preserve">konflikt na Bliskim Wschodzie </w:t>
      </w:r>
      <w:r w:rsidR="001D3AC7" w:rsidRPr="00877A48">
        <w:rPr>
          <w:rFonts w:ascii="Calibri" w:hAnsi="Calibri" w:cs="Calibri"/>
          <w:b/>
          <w:bCs/>
        </w:rPr>
        <w:t xml:space="preserve">oznacza </w:t>
      </w:r>
      <w:r w:rsidR="005430D9" w:rsidRPr="00877A48">
        <w:rPr>
          <w:rFonts w:ascii="Calibri" w:hAnsi="Calibri" w:cs="Calibri"/>
          <w:b/>
          <w:bCs/>
        </w:rPr>
        <w:t>dla polskiego rynku</w:t>
      </w:r>
      <w:r w:rsidR="00A0521D">
        <w:rPr>
          <w:rFonts w:ascii="Calibri" w:hAnsi="Calibri" w:cs="Calibri"/>
          <w:b/>
          <w:bCs/>
        </w:rPr>
        <w:t xml:space="preserve"> mieszkaniowego</w:t>
      </w:r>
      <w:r w:rsidR="005430D9" w:rsidRPr="00877A48">
        <w:rPr>
          <w:rFonts w:ascii="Calibri" w:hAnsi="Calibri" w:cs="Calibri"/>
          <w:b/>
          <w:bCs/>
        </w:rPr>
        <w:t>?</w:t>
      </w:r>
    </w:p>
    <w:p w14:paraId="10901A38" w14:textId="4EB7D64C" w:rsidR="004C0855" w:rsidRPr="00877A48" w:rsidRDefault="007F7E6A" w:rsidP="005C41E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77A48">
        <w:rPr>
          <w:rFonts w:ascii="Calibri" w:hAnsi="Calibri" w:cs="Calibri"/>
          <w:b/>
          <w:bCs/>
          <w:sz w:val="22"/>
          <w:szCs w:val="22"/>
        </w:rPr>
        <w:t>Trwający od końca lutego br. k</w:t>
      </w:r>
      <w:r w:rsidR="00336EE8" w:rsidRPr="00877A48">
        <w:rPr>
          <w:rFonts w:ascii="Calibri" w:hAnsi="Calibri" w:cs="Calibri"/>
          <w:b/>
          <w:bCs/>
          <w:sz w:val="22"/>
          <w:szCs w:val="22"/>
        </w:rPr>
        <w:t xml:space="preserve">onflikt na Bliskim Wschodzie będzie miał odczuwalne, ale </w:t>
      </w:r>
      <w:r w:rsidR="00A8610D" w:rsidRPr="00877A48">
        <w:rPr>
          <w:rFonts w:ascii="Calibri" w:hAnsi="Calibri" w:cs="Calibri"/>
          <w:b/>
          <w:bCs/>
          <w:sz w:val="22"/>
          <w:szCs w:val="22"/>
        </w:rPr>
        <w:t>jak</w:t>
      </w:r>
      <w:r w:rsidR="00336EE8" w:rsidRPr="0087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37739" w:rsidRPr="00877A48">
        <w:rPr>
          <w:rFonts w:ascii="Calibri" w:hAnsi="Calibri" w:cs="Calibri"/>
          <w:b/>
          <w:bCs/>
          <w:sz w:val="22"/>
          <w:szCs w:val="22"/>
        </w:rPr>
        <w:t>podkreślają analitycy Alior Banku</w:t>
      </w:r>
      <w:r w:rsidR="00A8610D" w:rsidRPr="00877A48">
        <w:rPr>
          <w:rFonts w:ascii="Calibri" w:hAnsi="Calibri" w:cs="Calibri"/>
          <w:b/>
          <w:bCs/>
          <w:sz w:val="22"/>
          <w:szCs w:val="22"/>
        </w:rPr>
        <w:t>,</w:t>
      </w:r>
      <w:r w:rsidR="00336EE8" w:rsidRPr="00877A48">
        <w:rPr>
          <w:rFonts w:ascii="Calibri" w:hAnsi="Calibri" w:cs="Calibri"/>
          <w:b/>
          <w:bCs/>
          <w:sz w:val="22"/>
          <w:szCs w:val="22"/>
        </w:rPr>
        <w:t xml:space="preserve"> nie rewolucyjne konsekwencje dla polskiego rynku mieszkaniowego</w:t>
      </w:r>
      <w:r w:rsidR="00B806C6" w:rsidRPr="00877A4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D783D">
        <w:rPr>
          <w:rFonts w:ascii="Calibri" w:hAnsi="Calibri" w:cs="Calibri"/>
          <w:b/>
          <w:bCs/>
          <w:sz w:val="22"/>
          <w:szCs w:val="22"/>
        </w:rPr>
        <w:t>Dynamika</w:t>
      </w:r>
      <w:r w:rsidR="00504DA2" w:rsidRPr="00877A48">
        <w:rPr>
          <w:rFonts w:ascii="Calibri" w:hAnsi="Calibri" w:cs="Calibri"/>
          <w:b/>
          <w:bCs/>
          <w:sz w:val="22"/>
          <w:szCs w:val="22"/>
        </w:rPr>
        <w:t xml:space="preserve"> popytu</w:t>
      </w:r>
      <w:r w:rsidR="00AD783D">
        <w:rPr>
          <w:rFonts w:ascii="Calibri" w:hAnsi="Calibri" w:cs="Calibri"/>
          <w:b/>
          <w:bCs/>
          <w:sz w:val="22"/>
          <w:szCs w:val="22"/>
        </w:rPr>
        <w:t xml:space="preserve"> na mieszkania</w:t>
      </w:r>
      <w:r w:rsidR="00504DA2" w:rsidRPr="0087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783D">
        <w:rPr>
          <w:rFonts w:ascii="Calibri" w:hAnsi="Calibri" w:cs="Calibri"/>
          <w:b/>
          <w:bCs/>
          <w:sz w:val="22"/>
          <w:szCs w:val="22"/>
        </w:rPr>
        <w:t xml:space="preserve">nieco wyhamuje </w:t>
      </w:r>
      <w:r w:rsidR="00326908">
        <w:rPr>
          <w:rFonts w:ascii="Calibri" w:hAnsi="Calibri" w:cs="Calibri"/>
          <w:b/>
          <w:bCs/>
          <w:sz w:val="22"/>
          <w:szCs w:val="22"/>
        </w:rPr>
        <w:t xml:space="preserve">m.in. </w:t>
      </w:r>
      <w:r w:rsidR="00AD783D">
        <w:rPr>
          <w:rFonts w:ascii="Calibri" w:hAnsi="Calibri" w:cs="Calibri"/>
          <w:b/>
          <w:bCs/>
          <w:sz w:val="22"/>
          <w:szCs w:val="22"/>
        </w:rPr>
        <w:t xml:space="preserve">w efekcie ochłodzenia </w:t>
      </w:r>
      <w:r w:rsidR="00504DA2" w:rsidRPr="00877A48">
        <w:rPr>
          <w:rFonts w:ascii="Calibri" w:hAnsi="Calibri" w:cs="Calibri"/>
          <w:b/>
          <w:bCs/>
          <w:sz w:val="22"/>
          <w:szCs w:val="22"/>
        </w:rPr>
        <w:t>nastrojów gospodarstw domowych</w:t>
      </w:r>
      <w:r w:rsidR="00AD783D">
        <w:rPr>
          <w:rFonts w:ascii="Calibri" w:hAnsi="Calibri" w:cs="Calibri"/>
          <w:b/>
          <w:bCs/>
          <w:sz w:val="22"/>
          <w:szCs w:val="22"/>
        </w:rPr>
        <w:t>, ale tak czy inaczej powinna być wyższa niż w 2025 r</w:t>
      </w:r>
      <w:r w:rsidR="00286F4F" w:rsidRPr="00877A48">
        <w:rPr>
          <w:rFonts w:ascii="Calibri" w:hAnsi="Calibri" w:cs="Calibri"/>
          <w:b/>
          <w:bCs/>
          <w:sz w:val="22"/>
          <w:szCs w:val="22"/>
        </w:rPr>
        <w:t>. Jak</w:t>
      </w:r>
      <w:r w:rsidR="004E01CA" w:rsidRPr="0087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6F4F" w:rsidRPr="00877A48">
        <w:rPr>
          <w:rFonts w:ascii="Calibri" w:hAnsi="Calibri" w:cs="Calibri"/>
          <w:b/>
          <w:bCs/>
          <w:sz w:val="22"/>
          <w:szCs w:val="22"/>
        </w:rPr>
        <w:t>wynika z raportu Alior Banku „Jak wojna w Iranie wpłynie na polski rynek mieszkaniowy?”</w:t>
      </w:r>
      <w:r w:rsidR="004E01CA" w:rsidRPr="0087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631E" w:rsidRPr="00877A48">
        <w:rPr>
          <w:rFonts w:ascii="Calibri" w:hAnsi="Calibri" w:cs="Calibri"/>
          <w:b/>
          <w:bCs/>
          <w:sz w:val="22"/>
          <w:szCs w:val="22"/>
        </w:rPr>
        <w:t xml:space="preserve">geopolityczny hamulec </w:t>
      </w:r>
      <w:r w:rsidR="00AD783D">
        <w:rPr>
          <w:rFonts w:ascii="Calibri" w:hAnsi="Calibri" w:cs="Calibri"/>
          <w:b/>
          <w:bCs/>
          <w:sz w:val="22"/>
          <w:szCs w:val="22"/>
        </w:rPr>
        <w:t xml:space="preserve">wynikający z konfliktu będzie bowiem </w:t>
      </w:r>
      <w:r w:rsidR="00A26D6F" w:rsidRPr="00877A48">
        <w:rPr>
          <w:rFonts w:ascii="Calibri" w:hAnsi="Calibri" w:cs="Calibri"/>
          <w:b/>
          <w:bCs/>
          <w:sz w:val="22"/>
          <w:szCs w:val="22"/>
        </w:rPr>
        <w:t>jedynie tymczasowy</w:t>
      </w:r>
      <w:r w:rsidR="0065631E" w:rsidRPr="00877A48">
        <w:rPr>
          <w:rFonts w:ascii="Calibri" w:hAnsi="Calibri" w:cs="Calibri"/>
          <w:b/>
          <w:bCs/>
          <w:sz w:val="22"/>
          <w:szCs w:val="22"/>
        </w:rPr>
        <w:t>.</w:t>
      </w:r>
      <w:r w:rsidR="00F36AA7" w:rsidRPr="00877A48">
        <w:rPr>
          <w:rFonts w:ascii="Calibri" w:hAnsi="Calibri" w:cs="Calibri"/>
          <w:b/>
          <w:bCs/>
          <w:sz w:val="22"/>
          <w:szCs w:val="22"/>
        </w:rPr>
        <w:t xml:space="preserve"> Długoterminowe perspektywy </w:t>
      </w:r>
      <w:r w:rsidR="00917419" w:rsidRPr="00877A48">
        <w:rPr>
          <w:rFonts w:ascii="Calibri" w:hAnsi="Calibri" w:cs="Calibri"/>
          <w:b/>
          <w:bCs/>
          <w:sz w:val="22"/>
          <w:szCs w:val="22"/>
        </w:rPr>
        <w:t xml:space="preserve">dla rynku </w:t>
      </w:r>
      <w:r w:rsidR="00F36AA7" w:rsidRPr="00877A48">
        <w:rPr>
          <w:rFonts w:ascii="Calibri" w:hAnsi="Calibri" w:cs="Calibri"/>
          <w:b/>
          <w:bCs/>
          <w:sz w:val="22"/>
          <w:szCs w:val="22"/>
        </w:rPr>
        <w:t>pozostają bez zmian i są</w:t>
      </w:r>
      <w:r w:rsidR="26F61F4A" w:rsidRPr="00877A48">
        <w:rPr>
          <w:rFonts w:ascii="Calibri" w:hAnsi="Calibri" w:cs="Calibri"/>
          <w:b/>
          <w:bCs/>
          <w:sz w:val="22"/>
          <w:szCs w:val="22"/>
        </w:rPr>
        <w:t>,</w:t>
      </w:r>
      <w:r w:rsidR="00F36AA7" w:rsidRPr="00877A48">
        <w:rPr>
          <w:rFonts w:ascii="Calibri" w:hAnsi="Calibri" w:cs="Calibri"/>
          <w:b/>
          <w:bCs/>
          <w:sz w:val="22"/>
          <w:szCs w:val="22"/>
        </w:rPr>
        <w:t xml:space="preserve"> zdaniem analityków</w:t>
      </w:r>
      <w:r w:rsidR="60B182B9" w:rsidRPr="00877A48">
        <w:rPr>
          <w:rFonts w:ascii="Calibri" w:hAnsi="Calibri" w:cs="Calibri"/>
          <w:b/>
          <w:bCs/>
          <w:sz w:val="22"/>
          <w:szCs w:val="22"/>
        </w:rPr>
        <w:t>,</w:t>
      </w:r>
      <w:r w:rsidR="00F36AA7" w:rsidRPr="00877A48">
        <w:rPr>
          <w:rFonts w:ascii="Calibri" w:hAnsi="Calibri" w:cs="Calibri"/>
          <w:b/>
          <w:bCs/>
          <w:sz w:val="22"/>
          <w:szCs w:val="22"/>
        </w:rPr>
        <w:t xml:space="preserve"> korzystne.</w:t>
      </w:r>
      <w:r w:rsidR="0065631E" w:rsidRPr="0087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C0855" w:rsidRPr="00877A48">
        <w:rPr>
          <w:rFonts w:ascii="Calibri" w:hAnsi="Calibri" w:cs="Calibri"/>
          <w:b/>
          <w:bCs/>
          <w:sz w:val="22"/>
          <w:szCs w:val="22"/>
        </w:rPr>
        <w:t xml:space="preserve">W 2026 </w:t>
      </w:r>
      <w:r w:rsidR="007D3E7A" w:rsidRPr="00877A48">
        <w:rPr>
          <w:rFonts w:ascii="Calibri" w:hAnsi="Calibri" w:cs="Calibri"/>
          <w:b/>
          <w:bCs/>
          <w:sz w:val="22"/>
          <w:szCs w:val="22"/>
        </w:rPr>
        <w:t xml:space="preserve">r. </w:t>
      </w:r>
      <w:r w:rsidR="00EA648B" w:rsidRPr="00877A48">
        <w:rPr>
          <w:rFonts w:ascii="Calibri" w:hAnsi="Calibri" w:cs="Calibri"/>
          <w:b/>
          <w:bCs/>
          <w:sz w:val="22"/>
          <w:szCs w:val="22"/>
        </w:rPr>
        <w:t xml:space="preserve">ekonomiści </w:t>
      </w:r>
      <w:r w:rsidR="008C62A8" w:rsidRPr="00877A48">
        <w:rPr>
          <w:rFonts w:ascii="Calibri" w:hAnsi="Calibri" w:cs="Calibri"/>
          <w:b/>
          <w:bCs/>
          <w:sz w:val="22"/>
          <w:szCs w:val="22"/>
        </w:rPr>
        <w:t xml:space="preserve">przewidują </w:t>
      </w:r>
      <w:r w:rsidR="00AD783D">
        <w:rPr>
          <w:rFonts w:ascii="Calibri" w:hAnsi="Calibri" w:cs="Calibri"/>
          <w:b/>
          <w:bCs/>
          <w:sz w:val="22"/>
          <w:szCs w:val="22"/>
        </w:rPr>
        <w:t xml:space="preserve">też wysoką podaż mieszkań </w:t>
      </w:r>
      <w:r w:rsidR="00A0521D">
        <w:rPr>
          <w:rFonts w:ascii="Calibri" w:hAnsi="Calibri" w:cs="Calibri"/>
          <w:b/>
          <w:bCs/>
          <w:sz w:val="22"/>
          <w:szCs w:val="22"/>
        </w:rPr>
        <w:t xml:space="preserve">w Polsce </w:t>
      </w:r>
      <w:r w:rsidR="007E1C29" w:rsidRPr="00877A48">
        <w:rPr>
          <w:rFonts w:ascii="Calibri" w:hAnsi="Calibri" w:cs="Calibri"/>
          <w:b/>
          <w:bCs/>
          <w:sz w:val="22"/>
          <w:szCs w:val="22"/>
        </w:rPr>
        <w:t xml:space="preserve">oraz stabilizację </w:t>
      </w:r>
      <w:r w:rsidR="007D3E7A" w:rsidRPr="00877A48">
        <w:rPr>
          <w:rFonts w:ascii="Calibri" w:hAnsi="Calibri" w:cs="Calibri"/>
          <w:b/>
          <w:bCs/>
          <w:sz w:val="22"/>
          <w:szCs w:val="22"/>
        </w:rPr>
        <w:t>średni</w:t>
      </w:r>
      <w:r w:rsidR="007E1C29" w:rsidRPr="00877A48">
        <w:rPr>
          <w:rFonts w:ascii="Calibri" w:hAnsi="Calibri" w:cs="Calibri"/>
          <w:b/>
          <w:bCs/>
          <w:sz w:val="22"/>
          <w:szCs w:val="22"/>
        </w:rPr>
        <w:t>ch</w:t>
      </w:r>
      <w:r w:rsidR="007D3E7A" w:rsidRPr="00877A48">
        <w:rPr>
          <w:rFonts w:ascii="Calibri" w:hAnsi="Calibri" w:cs="Calibri"/>
          <w:b/>
          <w:bCs/>
          <w:sz w:val="22"/>
          <w:szCs w:val="22"/>
        </w:rPr>
        <w:t xml:space="preserve"> cen</w:t>
      </w:r>
      <w:r w:rsidR="007E1C29" w:rsidRPr="00877A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D3E7A" w:rsidRPr="00877A48">
        <w:rPr>
          <w:rFonts w:ascii="Calibri" w:hAnsi="Calibri" w:cs="Calibri"/>
          <w:b/>
          <w:bCs/>
          <w:sz w:val="22"/>
          <w:szCs w:val="22"/>
        </w:rPr>
        <w:t>transakcyjn</w:t>
      </w:r>
      <w:r w:rsidR="007E1C29" w:rsidRPr="00877A48">
        <w:rPr>
          <w:rFonts w:ascii="Calibri" w:hAnsi="Calibri" w:cs="Calibri"/>
          <w:b/>
          <w:bCs/>
          <w:sz w:val="22"/>
          <w:szCs w:val="22"/>
        </w:rPr>
        <w:t>ych</w:t>
      </w:r>
      <w:r w:rsidR="007D3E7A" w:rsidRPr="00877A48">
        <w:rPr>
          <w:rFonts w:ascii="Calibri" w:hAnsi="Calibri" w:cs="Calibri"/>
          <w:b/>
          <w:bCs/>
          <w:sz w:val="22"/>
          <w:szCs w:val="22"/>
        </w:rPr>
        <w:t xml:space="preserve"> na rynku pierwotnym dużych miast</w:t>
      </w:r>
      <w:r w:rsidR="008C62A8" w:rsidRPr="00877A48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4EB99E3E" w14:textId="709B500A" w:rsidR="00A85E52" w:rsidRPr="00877A48" w:rsidRDefault="00A85E52" w:rsidP="00F8694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77A48">
        <w:rPr>
          <w:rFonts w:ascii="Calibri" w:hAnsi="Calibri" w:cs="Calibri"/>
          <w:b/>
          <w:bCs/>
          <w:sz w:val="22"/>
          <w:szCs w:val="22"/>
        </w:rPr>
        <w:t>Spowolniony, ale wciąż rosnący popyt</w:t>
      </w:r>
    </w:p>
    <w:p w14:paraId="78AA9385" w14:textId="6329B08A" w:rsidR="00F53B82" w:rsidRPr="00877A48" w:rsidRDefault="006C1422" w:rsidP="00F8694B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>W</w:t>
      </w:r>
      <w:r w:rsidR="00B053E1" w:rsidRPr="00877A48">
        <w:rPr>
          <w:rFonts w:ascii="Calibri" w:hAnsi="Calibri" w:cs="Calibri"/>
          <w:sz w:val="22"/>
          <w:szCs w:val="22"/>
        </w:rPr>
        <w:t xml:space="preserve"> swoim</w:t>
      </w:r>
      <w:r w:rsidRPr="00877A48">
        <w:rPr>
          <w:rFonts w:ascii="Calibri" w:hAnsi="Calibri" w:cs="Calibri"/>
          <w:sz w:val="22"/>
          <w:szCs w:val="22"/>
        </w:rPr>
        <w:t xml:space="preserve"> </w:t>
      </w:r>
      <w:r w:rsidR="00B311A3" w:rsidRPr="00877A48">
        <w:rPr>
          <w:rFonts w:ascii="Calibri" w:hAnsi="Calibri" w:cs="Calibri"/>
          <w:sz w:val="22"/>
          <w:szCs w:val="22"/>
        </w:rPr>
        <w:t>najnowszym</w:t>
      </w:r>
      <w:r w:rsidRPr="00877A48">
        <w:rPr>
          <w:rFonts w:ascii="Calibri" w:hAnsi="Calibri" w:cs="Calibri"/>
          <w:sz w:val="22"/>
          <w:szCs w:val="22"/>
        </w:rPr>
        <w:t xml:space="preserve"> raporcie </w:t>
      </w:r>
      <w:r w:rsidR="00EA648B" w:rsidRPr="00877A48">
        <w:rPr>
          <w:rFonts w:ascii="Calibri" w:hAnsi="Calibri" w:cs="Calibri"/>
          <w:sz w:val="22"/>
          <w:szCs w:val="22"/>
        </w:rPr>
        <w:t>analitycy</w:t>
      </w:r>
      <w:r w:rsidRPr="00877A48">
        <w:rPr>
          <w:rFonts w:ascii="Calibri" w:hAnsi="Calibri" w:cs="Calibri"/>
          <w:sz w:val="22"/>
          <w:szCs w:val="22"/>
        </w:rPr>
        <w:t xml:space="preserve"> Alior Banku </w:t>
      </w:r>
      <w:r w:rsidR="00B053E1" w:rsidRPr="00877A48">
        <w:rPr>
          <w:rFonts w:ascii="Calibri" w:hAnsi="Calibri" w:cs="Calibri"/>
          <w:sz w:val="22"/>
          <w:szCs w:val="22"/>
        </w:rPr>
        <w:t>opisują możliw</w:t>
      </w:r>
      <w:r w:rsidR="00340C19" w:rsidRPr="00877A48">
        <w:rPr>
          <w:rFonts w:ascii="Calibri" w:hAnsi="Calibri" w:cs="Calibri"/>
          <w:sz w:val="22"/>
          <w:szCs w:val="22"/>
        </w:rPr>
        <w:t>y wpływ</w:t>
      </w:r>
      <w:r w:rsidR="00967889" w:rsidRPr="00877A48">
        <w:rPr>
          <w:rFonts w:ascii="Calibri" w:hAnsi="Calibri" w:cs="Calibri"/>
          <w:sz w:val="22"/>
          <w:szCs w:val="22"/>
        </w:rPr>
        <w:t xml:space="preserve"> </w:t>
      </w:r>
      <w:r w:rsidR="006D59F7" w:rsidRPr="00877A48">
        <w:rPr>
          <w:rFonts w:ascii="Calibri" w:hAnsi="Calibri" w:cs="Calibri"/>
          <w:sz w:val="22"/>
          <w:szCs w:val="22"/>
        </w:rPr>
        <w:t>sytu</w:t>
      </w:r>
      <w:r w:rsidR="00DA2FEB" w:rsidRPr="00877A48">
        <w:rPr>
          <w:rFonts w:ascii="Calibri" w:hAnsi="Calibri" w:cs="Calibri"/>
          <w:sz w:val="22"/>
          <w:szCs w:val="22"/>
        </w:rPr>
        <w:t xml:space="preserve">acji na Bliskim Wschodzie </w:t>
      </w:r>
      <w:r w:rsidR="00AE75B8" w:rsidRPr="00877A48">
        <w:rPr>
          <w:rFonts w:ascii="Calibri" w:hAnsi="Calibri" w:cs="Calibri"/>
          <w:sz w:val="22"/>
          <w:szCs w:val="22"/>
        </w:rPr>
        <w:t>na</w:t>
      </w:r>
      <w:r w:rsidR="004F308D" w:rsidRPr="00877A48">
        <w:rPr>
          <w:rFonts w:ascii="Calibri" w:hAnsi="Calibri" w:cs="Calibri"/>
          <w:sz w:val="22"/>
          <w:szCs w:val="22"/>
        </w:rPr>
        <w:t xml:space="preserve"> </w:t>
      </w:r>
      <w:r w:rsidR="00DA2FEB" w:rsidRPr="00877A48">
        <w:rPr>
          <w:rFonts w:ascii="Calibri" w:hAnsi="Calibri" w:cs="Calibri"/>
          <w:sz w:val="22"/>
          <w:szCs w:val="22"/>
        </w:rPr>
        <w:t>polsk</w:t>
      </w:r>
      <w:r w:rsidR="00AE75B8" w:rsidRPr="00877A48">
        <w:rPr>
          <w:rFonts w:ascii="Calibri" w:hAnsi="Calibri" w:cs="Calibri"/>
          <w:sz w:val="22"/>
          <w:szCs w:val="22"/>
        </w:rPr>
        <w:t>ą</w:t>
      </w:r>
      <w:r w:rsidR="004F308D" w:rsidRPr="00877A48">
        <w:rPr>
          <w:rFonts w:ascii="Calibri" w:hAnsi="Calibri" w:cs="Calibri"/>
          <w:sz w:val="22"/>
          <w:szCs w:val="22"/>
        </w:rPr>
        <w:t xml:space="preserve"> gospodark</w:t>
      </w:r>
      <w:r w:rsidR="00AE75B8" w:rsidRPr="00877A48">
        <w:rPr>
          <w:rFonts w:ascii="Calibri" w:hAnsi="Calibri" w:cs="Calibri"/>
          <w:sz w:val="22"/>
          <w:szCs w:val="22"/>
        </w:rPr>
        <w:t>ę</w:t>
      </w:r>
      <w:r w:rsidR="004F308D" w:rsidRPr="00877A48">
        <w:rPr>
          <w:rFonts w:ascii="Calibri" w:hAnsi="Calibri" w:cs="Calibri"/>
          <w:sz w:val="22"/>
          <w:szCs w:val="22"/>
        </w:rPr>
        <w:t xml:space="preserve"> i krajow</w:t>
      </w:r>
      <w:r w:rsidR="00AE75B8" w:rsidRPr="00877A48">
        <w:rPr>
          <w:rFonts w:ascii="Calibri" w:hAnsi="Calibri" w:cs="Calibri"/>
          <w:sz w:val="22"/>
          <w:szCs w:val="22"/>
        </w:rPr>
        <w:t>y</w:t>
      </w:r>
      <w:r w:rsidR="004F308D" w:rsidRPr="00877A48">
        <w:rPr>
          <w:rFonts w:ascii="Calibri" w:hAnsi="Calibri" w:cs="Calibri"/>
          <w:sz w:val="22"/>
          <w:szCs w:val="22"/>
        </w:rPr>
        <w:t xml:space="preserve"> ryn</w:t>
      </w:r>
      <w:r w:rsidR="00AE75B8" w:rsidRPr="00877A48">
        <w:rPr>
          <w:rFonts w:ascii="Calibri" w:hAnsi="Calibri" w:cs="Calibri"/>
          <w:sz w:val="22"/>
          <w:szCs w:val="22"/>
        </w:rPr>
        <w:t>e</w:t>
      </w:r>
      <w:r w:rsidR="004F308D" w:rsidRPr="00877A48">
        <w:rPr>
          <w:rFonts w:ascii="Calibri" w:hAnsi="Calibri" w:cs="Calibri"/>
          <w:sz w:val="22"/>
          <w:szCs w:val="22"/>
        </w:rPr>
        <w:t xml:space="preserve">k </w:t>
      </w:r>
      <w:r w:rsidR="0019410A" w:rsidRPr="00877A48">
        <w:rPr>
          <w:rFonts w:ascii="Calibri" w:hAnsi="Calibri" w:cs="Calibri"/>
          <w:sz w:val="22"/>
          <w:szCs w:val="22"/>
        </w:rPr>
        <w:t>mieszkaniowy</w:t>
      </w:r>
      <w:r w:rsidRPr="00877A48">
        <w:rPr>
          <w:rFonts w:ascii="Calibri" w:hAnsi="Calibri" w:cs="Calibri"/>
          <w:sz w:val="22"/>
          <w:szCs w:val="22"/>
        </w:rPr>
        <w:t xml:space="preserve">. </w:t>
      </w:r>
      <w:r w:rsidR="002123D3" w:rsidRPr="00877A48">
        <w:rPr>
          <w:rFonts w:ascii="Calibri" w:hAnsi="Calibri" w:cs="Calibri"/>
          <w:sz w:val="22"/>
          <w:szCs w:val="22"/>
        </w:rPr>
        <w:t xml:space="preserve">Scenariusz bazowy zakłada stopniowe wyciszanie konfliktu </w:t>
      </w:r>
      <w:r w:rsidR="00326908">
        <w:rPr>
          <w:rFonts w:ascii="Calibri" w:hAnsi="Calibri" w:cs="Calibri"/>
          <w:sz w:val="22"/>
          <w:szCs w:val="22"/>
        </w:rPr>
        <w:t>w najbliższych tygodniach</w:t>
      </w:r>
      <w:r w:rsidR="002123D3" w:rsidRPr="00877A48">
        <w:rPr>
          <w:rFonts w:ascii="Calibri" w:hAnsi="Calibri" w:cs="Calibri"/>
          <w:sz w:val="22"/>
          <w:szCs w:val="22"/>
        </w:rPr>
        <w:t xml:space="preserve"> i względną normalizację rynku paliw płynnych</w:t>
      </w:r>
      <w:r w:rsidR="00326908">
        <w:rPr>
          <w:rFonts w:ascii="Calibri" w:hAnsi="Calibri" w:cs="Calibri"/>
          <w:sz w:val="22"/>
          <w:szCs w:val="22"/>
        </w:rPr>
        <w:t xml:space="preserve"> do połowy roku</w:t>
      </w:r>
      <w:r w:rsidR="00DB5561" w:rsidRPr="00877A48">
        <w:rPr>
          <w:rFonts w:ascii="Calibri" w:hAnsi="Calibri" w:cs="Calibri"/>
          <w:sz w:val="22"/>
          <w:szCs w:val="22"/>
        </w:rPr>
        <w:t xml:space="preserve">. </w:t>
      </w:r>
      <w:r w:rsidR="006D3260" w:rsidRPr="00877A48">
        <w:rPr>
          <w:rFonts w:ascii="Calibri" w:hAnsi="Calibri" w:cs="Calibri"/>
          <w:sz w:val="22"/>
          <w:szCs w:val="22"/>
        </w:rPr>
        <w:t>Dla</w:t>
      </w:r>
      <w:r w:rsidR="00DB5561" w:rsidRPr="00877A48">
        <w:rPr>
          <w:rFonts w:ascii="Calibri" w:hAnsi="Calibri" w:cs="Calibri"/>
          <w:sz w:val="22"/>
          <w:szCs w:val="22"/>
        </w:rPr>
        <w:t xml:space="preserve"> polskiej gospodarki </w:t>
      </w:r>
      <w:r w:rsidR="006D3260" w:rsidRPr="00877A48">
        <w:rPr>
          <w:rFonts w:ascii="Calibri" w:hAnsi="Calibri" w:cs="Calibri"/>
          <w:sz w:val="22"/>
          <w:szCs w:val="22"/>
        </w:rPr>
        <w:t xml:space="preserve">oznacza to </w:t>
      </w:r>
      <w:r w:rsidR="00A67B05" w:rsidRPr="00877A48">
        <w:rPr>
          <w:rFonts w:ascii="Calibri" w:hAnsi="Calibri" w:cs="Calibri"/>
          <w:sz w:val="22"/>
          <w:szCs w:val="22"/>
        </w:rPr>
        <w:t xml:space="preserve">m.in. </w:t>
      </w:r>
      <w:r w:rsidR="00876704" w:rsidRPr="00877A48">
        <w:rPr>
          <w:rFonts w:ascii="Calibri" w:hAnsi="Calibri" w:cs="Calibri"/>
          <w:sz w:val="22"/>
          <w:szCs w:val="22"/>
        </w:rPr>
        <w:t>podbicie dynamiki cen</w:t>
      </w:r>
      <w:r w:rsidR="00A67B05" w:rsidRPr="00877A48">
        <w:rPr>
          <w:rFonts w:ascii="Calibri" w:hAnsi="Calibri" w:cs="Calibri"/>
          <w:sz w:val="22"/>
          <w:szCs w:val="22"/>
        </w:rPr>
        <w:t xml:space="preserve">, </w:t>
      </w:r>
      <w:r w:rsidR="00DB5561" w:rsidRPr="00877A48">
        <w:rPr>
          <w:rFonts w:ascii="Calibri" w:hAnsi="Calibri" w:cs="Calibri"/>
          <w:sz w:val="22"/>
          <w:szCs w:val="22"/>
        </w:rPr>
        <w:t xml:space="preserve">osłabienie konsumpcji gospodarstw domowych </w:t>
      </w:r>
      <w:r w:rsidR="00AA3426" w:rsidRPr="00877A48">
        <w:rPr>
          <w:rFonts w:ascii="Calibri" w:hAnsi="Calibri" w:cs="Calibri"/>
          <w:sz w:val="22"/>
          <w:szCs w:val="22"/>
        </w:rPr>
        <w:t>oraz</w:t>
      </w:r>
      <w:r w:rsidR="00DB5561" w:rsidRPr="00877A48">
        <w:rPr>
          <w:rFonts w:ascii="Calibri" w:hAnsi="Calibri" w:cs="Calibri"/>
          <w:sz w:val="22"/>
          <w:szCs w:val="22"/>
        </w:rPr>
        <w:t xml:space="preserve"> </w:t>
      </w:r>
      <w:r w:rsidR="00A0521D">
        <w:rPr>
          <w:rFonts w:ascii="Calibri" w:hAnsi="Calibri" w:cs="Calibri"/>
          <w:sz w:val="22"/>
          <w:szCs w:val="22"/>
        </w:rPr>
        <w:t>prawdopodobieństwo</w:t>
      </w:r>
      <w:r w:rsidR="00326908">
        <w:rPr>
          <w:rFonts w:ascii="Calibri" w:hAnsi="Calibri" w:cs="Calibri"/>
          <w:sz w:val="22"/>
          <w:szCs w:val="22"/>
        </w:rPr>
        <w:t xml:space="preserve"> </w:t>
      </w:r>
      <w:r w:rsidR="00DB5561" w:rsidRPr="00877A48">
        <w:rPr>
          <w:rFonts w:ascii="Calibri" w:hAnsi="Calibri" w:cs="Calibri"/>
          <w:sz w:val="22"/>
          <w:szCs w:val="22"/>
        </w:rPr>
        <w:t>zawieszeni</w:t>
      </w:r>
      <w:r w:rsidR="00A0521D">
        <w:rPr>
          <w:rFonts w:ascii="Calibri" w:hAnsi="Calibri" w:cs="Calibri"/>
          <w:sz w:val="22"/>
          <w:szCs w:val="22"/>
        </w:rPr>
        <w:t>a</w:t>
      </w:r>
      <w:r w:rsidR="00DB5561" w:rsidRPr="00877A48">
        <w:rPr>
          <w:rFonts w:ascii="Calibri" w:hAnsi="Calibri" w:cs="Calibri"/>
          <w:sz w:val="22"/>
          <w:szCs w:val="22"/>
        </w:rPr>
        <w:t xml:space="preserve"> obniżek stóp procentowych przez RPP do końca roku</w:t>
      </w:r>
      <w:r w:rsidR="00C339B0" w:rsidRPr="00877A48">
        <w:rPr>
          <w:rFonts w:ascii="Calibri" w:hAnsi="Calibri" w:cs="Calibri"/>
          <w:sz w:val="22"/>
          <w:szCs w:val="22"/>
        </w:rPr>
        <w:t>.</w:t>
      </w:r>
      <w:r w:rsidR="00C743FB" w:rsidRPr="00877A48">
        <w:rPr>
          <w:rFonts w:ascii="Calibri" w:hAnsi="Calibri" w:cs="Calibri"/>
          <w:sz w:val="22"/>
          <w:szCs w:val="22"/>
        </w:rPr>
        <w:t xml:space="preserve"> </w:t>
      </w:r>
      <w:r w:rsidR="00B80259" w:rsidRPr="00877A48">
        <w:rPr>
          <w:rFonts w:ascii="Calibri" w:hAnsi="Calibri" w:cs="Calibri"/>
          <w:sz w:val="22"/>
          <w:szCs w:val="22"/>
        </w:rPr>
        <w:t>Mimo to, w</w:t>
      </w:r>
      <w:r w:rsidR="0095281A" w:rsidRPr="00877A48">
        <w:rPr>
          <w:rFonts w:ascii="Calibri" w:hAnsi="Calibri" w:cs="Calibri"/>
          <w:sz w:val="22"/>
          <w:szCs w:val="22"/>
        </w:rPr>
        <w:t>edług ekonomistów Alior Banku</w:t>
      </w:r>
      <w:r w:rsidR="007A7863" w:rsidRPr="00877A48">
        <w:rPr>
          <w:rFonts w:ascii="Calibri" w:hAnsi="Calibri" w:cs="Calibri"/>
          <w:sz w:val="22"/>
          <w:szCs w:val="22"/>
        </w:rPr>
        <w:t>,</w:t>
      </w:r>
      <w:r w:rsidR="0095281A" w:rsidRPr="00877A48">
        <w:rPr>
          <w:rFonts w:ascii="Calibri" w:hAnsi="Calibri" w:cs="Calibri"/>
          <w:sz w:val="22"/>
          <w:szCs w:val="22"/>
        </w:rPr>
        <w:t xml:space="preserve"> </w:t>
      </w:r>
      <w:r w:rsidR="00F53B82" w:rsidRPr="00877A48">
        <w:rPr>
          <w:rFonts w:ascii="Calibri" w:hAnsi="Calibri" w:cs="Calibri"/>
          <w:sz w:val="22"/>
          <w:szCs w:val="22"/>
        </w:rPr>
        <w:t xml:space="preserve">w 2026 r. </w:t>
      </w:r>
      <w:r w:rsidR="005739FB" w:rsidRPr="00877A48">
        <w:rPr>
          <w:rFonts w:ascii="Calibri" w:hAnsi="Calibri" w:cs="Calibri"/>
          <w:sz w:val="22"/>
          <w:szCs w:val="22"/>
        </w:rPr>
        <w:t xml:space="preserve">wciąż </w:t>
      </w:r>
      <w:r w:rsidR="00FD5740" w:rsidRPr="00877A48">
        <w:rPr>
          <w:rFonts w:ascii="Calibri" w:hAnsi="Calibri" w:cs="Calibri"/>
          <w:sz w:val="22"/>
          <w:szCs w:val="22"/>
        </w:rPr>
        <w:t>będziemy obserwować ożywienie</w:t>
      </w:r>
      <w:r w:rsidR="00F53B82" w:rsidRPr="00877A48">
        <w:rPr>
          <w:rFonts w:ascii="Calibri" w:hAnsi="Calibri" w:cs="Calibri"/>
          <w:sz w:val="22"/>
          <w:szCs w:val="22"/>
        </w:rPr>
        <w:t xml:space="preserve"> popytu na rynku mieszkaniowym w porównaniu </w:t>
      </w:r>
      <w:r w:rsidR="00100481" w:rsidRPr="00877A48">
        <w:rPr>
          <w:rFonts w:ascii="Calibri" w:hAnsi="Calibri" w:cs="Calibri"/>
          <w:sz w:val="22"/>
          <w:szCs w:val="22"/>
        </w:rPr>
        <w:t xml:space="preserve">z </w:t>
      </w:r>
      <w:r w:rsidR="00F53B82" w:rsidRPr="00877A48">
        <w:rPr>
          <w:rFonts w:ascii="Calibri" w:hAnsi="Calibri" w:cs="Calibri"/>
          <w:sz w:val="22"/>
          <w:szCs w:val="22"/>
        </w:rPr>
        <w:t xml:space="preserve">2025 r. </w:t>
      </w:r>
      <w:r w:rsidR="208C13D0" w:rsidRPr="00877A48">
        <w:rPr>
          <w:rFonts w:ascii="Calibri" w:hAnsi="Calibri" w:cs="Calibri"/>
          <w:sz w:val="22"/>
          <w:szCs w:val="22"/>
        </w:rPr>
        <w:t>Aktualne p</w:t>
      </w:r>
      <w:r w:rsidR="00F53B82" w:rsidRPr="00877A48">
        <w:rPr>
          <w:rFonts w:ascii="Calibri" w:hAnsi="Calibri" w:cs="Calibri"/>
          <w:sz w:val="22"/>
          <w:szCs w:val="22"/>
        </w:rPr>
        <w:t xml:space="preserve">rzewidywania analityków są </w:t>
      </w:r>
      <w:r w:rsidR="002146F8" w:rsidRPr="00877A48">
        <w:rPr>
          <w:rFonts w:ascii="Calibri" w:hAnsi="Calibri" w:cs="Calibri"/>
          <w:sz w:val="22"/>
          <w:szCs w:val="22"/>
        </w:rPr>
        <w:t>w tym</w:t>
      </w:r>
      <w:r w:rsidR="00EA7DF5" w:rsidRPr="00877A48">
        <w:rPr>
          <w:rFonts w:ascii="Calibri" w:hAnsi="Calibri" w:cs="Calibri"/>
          <w:sz w:val="22"/>
          <w:szCs w:val="22"/>
        </w:rPr>
        <w:t xml:space="preserve"> zakresie </w:t>
      </w:r>
      <w:r w:rsidR="00F60475" w:rsidRPr="00877A48">
        <w:rPr>
          <w:rFonts w:ascii="Calibri" w:hAnsi="Calibri" w:cs="Calibri"/>
          <w:sz w:val="22"/>
          <w:szCs w:val="22"/>
        </w:rPr>
        <w:t>delikatnie</w:t>
      </w:r>
      <w:r w:rsidR="00F53B82" w:rsidRPr="00877A48">
        <w:rPr>
          <w:rFonts w:ascii="Calibri" w:hAnsi="Calibri" w:cs="Calibri"/>
          <w:sz w:val="22"/>
          <w:szCs w:val="22"/>
        </w:rPr>
        <w:t xml:space="preserve"> mniej pozytywne niż przed wybuchem konfliktu</w:t>
      </w:r>
      <w:r w:rsidR="00A0521D">
        <w:rPr>
          <w:rFonts w:ascii="Calibri" w:hAnsi="Calibri" w:cs="Calibri"/>
          <w:sz w:val="22"/>
          <w:szCs w:val="22"/>
        </w:rPr>
        <w:t>: w</w:t>
      </w:r>
      <w:r w:rsidR="00F53B82" w:rsidRPr="00877A48">
        <w:rPr>
          <w:rFonts w:ascii="Calibri" w:hAnsi="Calibri" w:cs="Calibri"/>
          <w:sz w:val="22"/>
          <w:szCs w:val="22"/>
        </w:rPr>
        <w:t xml:space="preserve"> wariancie bardziej pesymistycznym popyt </w:t>
      </w:r>
      <w:r w:rsidR="00326908">
        <w:rPr>
          <w:rFonts w:ascii="Calibri" w:hAnsi="Calibri" w:cs="Calibri"/>
          <w:sz w:val="22"/>
          <w:szCs w:val="22"/>
        </w:rPr>
        <w:t xml:space="preserve">na mieszkania </w:t>
      </w:r>
      <w:r w:rsidR="00A0521D">
        <w:rPr>
          <w:rFonts w:ascii="Calibri" w:hAnsi="Calibri" w:cs="Calibri"/>
          <w:sz w:val="22"/>
          <w:szCs w:val="22"/>
        </w:rPr>
        <w:t xml:space="preserve">w 2026 r. </w:t>
      </w:r>
      <w:r w:rsidR="00F53B82" w:rsidRPr="00877A48">
        <w:rPr>
          <w:rFonts w:ascii="Calibri" w:hAnsi="Calibri" w:cs="Calibri"/>
          <w:sz w:val="22"/>
          <w:szCs w:val="22"/>
        </w:rPr>
        <w:t xml:space="preserve">wzrośnie jednocyfrowo, a w bardziej optymistycznym </w:t>
      </w:r>
      <w:r w:rsidR="00A37A0F" w:rsidRPr="00877A48">
        <w:rPr>
          <w:rFonts w:ascii="Calibri" w:hAnsi="Calibri" w:cs="Calibri"/>
          <w:sz w:val="22"/>
          <w:szCs w:val="22"/>
        </w:rPr>
        <w:t xml:space="preserve">– </w:t>
      </w:r>
      <w:r w:rsidR="00326908">
        <w:rPr>
          <w:rFonts w:ascii="Calibri" w:hAnsi="Calibri" w:cs="Calibri"/>
          <w:sz w:val="22"/>
          <w:szCs w:val="22"/>
        </w:rPr>
        <w:t>w tempie nieznacznie powyżej 10</w:t>
      </w:r>
      <w:r w:rsidR="005C35C7">
        <w:rPr>
          <w:rFonts w:ascii="Calibri" w:hAnsi="Calibri" w:cs="Calibri"/>
          <w:sz w:val="22"/>
          <w:szCs w:val="22"/>
        </w:rPr>
        <w:t xml:space="preserve"> proc. </w:t>
      </w:r>
      <w:r w:rsidR="00F53B82" w:rsidRPr="00877A48">
        <w:rPr>
          <w:rFonts w:ascii="Calibri" w:hAnsi="Calibri" w:cs="Calibri"/>
          <w:sz w:val="22"/>
          <w:szCs w:val="22"/>
        </w:rPr>
        <w:t>(r</w:t>
      </w:r>
      <w:r w:rsidR="00100481" w:rsidRPr="00877A48">
        <w:rPr>
          <w:rFonts w:ascii="Calibri" w:hAnsi="Calibri" w:cs="Calibri"/>
          <w:sz w:val="22"/>
          <w:szCs w:val="22"/>
        </w:rPr>
        <w:t>ok do roku</w:t>
      </w:r>
      <w:r w:rsidR="00F53B82" w:rsidRPr="00877A48">
        <w:rPr>
          <w:rFonts w:ascii="Calibri" w:hAnsi="Calibri" w:cs="Calibri"/>
          <w:sz w:val="22"/>
          <w:szCs w:val="22"/>
        </w:rPr>
        <w:t>, ilościowo).</w:t>
      </w:r>
    </w:p>
    <w:p w14:paraId="0D451D5C" w14:textId="2996732B" w:rsidR="0098494D" w:rsidRPr="00877A48" w:rsidRDefault="00A514C2" w:rsidP="005C41E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877A48">
        <w:rPr>
          <w:rFonts w:ascii="Calibri" w:hAnsi="Calibri" w:cs="Calibri"/>
          <w:i/>
          <w:iCs/>
          <w:sz w:val="22"/>
          <w:szCs w:val="22"/>
        </w:rPr>
        <w:t>–</w:t>
      </w:r>
      <w:r w:rsidR="00F8694B" w:rsidRPr="00877A48">
        <w:rPr>
          <w:rFonts w:ascii="Calibri" w:hAnsi="Calibri" w:cs="Calibri"/>
          <w:sz w:val="22"/>
          <w:szCs w:val="22"/>
        </w:rPr>
        <w:t xml:space="preserve"> 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Wojna w Iranie </w:t>
      </w:r>
      <w:r w:rsidR="00F36791" w:rsidRPr="00877A48">
        <w:rPr>
          <w:rFonts w:ascii="Calibri" w:hAnsi="Calibri" w:cs="Calibri"/>
          <w:i/>
          <w:iCs/>
          <w:sz w:val="22"/>
          <w:szCs w:val="22"/>
        </w:rPr>
        <w:t>schłodzi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nastroje uczestników </w:t>
      </w:r>
      <w:r w:rsidR="00F36791" w:rsidRPr="00877A48">
        <w:rPr>
          <w:rFonts w:ascii="Calibri" w:hAnsi="Calibri" w:cs="Calibri"/>
          <w:i/>
          <w:iCs/>
          <w:sz w:val="22"/>
          <w:szCs w:val="22"/>
        </w:rPr>
        <w:t xml:space="preserve">polskiego 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>rynku</w:t>
      </w:r>
      <w:r w:rsidR="00F36791" w:rsidRPr="00877A48">
        <w:rPr>
          <w:rFonts w:ascii="Calibri" w:hAnsi="Calibri" w:cs="Calibri"/>
          <w:i/>
          <w:iCs/>
          <w:sz w:val="22"/>
          <w:szCs w:val="22"/>
        </w:rPr>
        <w:t xml:space="preserve"> mieszkaniowego</w:t>
      </w:r>
      <w:r w:rsidR="00326908">
        <w:rPr>
          <w:rFonts w:ascii="Calibri" w:hAnsi="Calibri" w:cs="Calibri"/>
          <w:i/>
          <w:iCs/>
          <w:sz w:val="22"/>
          <w:szCs w:val="22"/>
        </w:rPr>
        <w:t>, ale w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horyzoncie najbliższych miesięcy</w:t>
      </w:r>
      <w:r w:rsidR="00FB719C" w:rsidRPr="00877A48">
        <w:t xml:space="preserve"> </w:t>
      </w:r>
      <w:r w:rsidR="00326908">
        <w:rPr>
          <w:rFonts w:ascii="Calibri" w:hAnsi="Calibri" w:cs="Calibri"/>
          <w:i/>
          <w:iCs/>
          <w:sz w:val="22"/>
          <w:szCs w:val="22"/>
        </w:rPr>
        <w:t>wrócą one</w:t>
      </w:r>
      <w:r w:rsidR="00D14E28">
        <w:rPr>
          <w:rFonts w:ascii="Calibri" w:hAnsi="Calibri" w:cs="Calibri"/>
          <w:i/>
          <w:iCs/>
          <w:sz w:val="22"/>
          <w:szCs w:val="22"/>
        </w:rPr>
        <w:t>,</w:t>
      </w:r>
      <w:r w:rsidR="00326908">
        <w:rPr>
          <w:rFonts w:ascii="Calibri" w:hAnsi="Calibri" w:cs="Calibri"/>
          <w:i/>
          <w:iCs/>
          <w:sz w:val="22"/>
          <w:szCs w:val="22"/>
        </w:rPr>
        <w:t xml:space="preserve"> naszym zdaniem</w:t>
      </w:r>
      <w:r w:rsidR="00D14E28">
        <w:rPr>
          <w:rFonts w:ascii="Calibri" w:hAnsi="Calibri" w:cs="Calibri"/>
          <w:i/>
          <w:iCs/>
          <w:sz w:val="22"/>
          <w:szCs w:val="22"/>
        </w:rPr>
        <w:t>,</w:t>
      </w:r>
      <w:r w:rsidR="0032690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do </w:t>
      </w:r>
      <w:r w:rsidR="00326908">
        <w:rPr>
          <w:rFonts w:ascii="Calibri" w:hAnsi="Calibri" w:cs="Calibri"/>
          <w:i/>
          <w:iCs/>
          <w:sz w:val="22"/>
          <w:szCs w:val="22"/>
        </w:rPr>
        <w:t xml:space="preserve">wcześniejszego trendu wzrostowego. 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>Podobne zjawisko</w:t>
      </w:r>
      <w:r w:rsidR="00D25EDB" w:rsidRPr="00877A48">
        <w:rPr>
          <w:rFonts w:ascii="Calibri" w:hAnsi="Calibri" w:cs="Calibri"/>
          <w:i/>
          <w:iCs/>
          <w:sz w:val="22"/>
          <w:szCs w:val="22"/>
        </w:rPr>
        <w:t xml:space="preserve"> obserwowaliśmy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po wybuchu wojny w Ukrainie</w:t>
      </w:r>
      <w:r w:rsidR="00A0521D">
        <w:rPr>
          <w:rFonts w:ascii="Calibri" w:hAnsi="Calibri" w:cs="Calibri"/>
          <w:i/>
          <w:iCs/>
          <w:sz w:val="22"/>
          <w:szCs w:val="22"/>
        </w:rPr>
        <w:t>, ale t</w:t>
      </w:r>
      <w:r w:rsidR="00852FC3" w:rsidRPr="00877A48">
        <w:rPr>
          <w:rFonts w:ascii="Calibri" w:hAnsi="Calibri" w:cs="Calibri"/>
          <w:i/>
          <w:iCs/>
          <w:sz w:val="22"/>
          <w:szCs w:val="22"/>
        </w:rPr>
        <w:t>eraz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poprawa powinna być</w:t>
      </w:r>
      <w:r w:rsidR="00852FC3" w:rsidRPr="00877A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0521D">
        <w:rPr>
          <w:rFonts w:ascii="Calibri" w:hAnsi="Calibri" w:cs="Calibri"/>
          <w:i/>
          <w:iCs/>
          <w:sz w:val="22"/>
          <w:szCs w:val="22"/>
        </w:rPr>
        <w:t xml:space="preserve">w naszej ocenie 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szybsza, m.in. </w:t>
      </w:r>
      <w:r w:rsidR="00CB584E" w:rsidRPr="00877A48">
        <w:rPr>
          <w:rFonts w:ascii="Calibri" w:hAnsi="Calibri" w:cs="Calibri"/>
          <w:i/>
          <w:iCs/>
          <w:sz w:val="22"/>
          <w:szCs w:val="22"/>
        </w:rPr>
        <w:t>za sprawą wdrożonych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w marcu </w:t>
      </w:r>
      <w:r w:rsidR="00CB584E" w:rsidRPr="00877A48">
        <w:rPr>
          <w:rFonts w:ascii="Calibri" w:hAnsi="Calibri" w:cs="Calibri"/>
          <w:i/>
          <w:iCs/>
          <w:sz w:val="22"/>
          <w:szCs w:val="22"/>
        </w:rPr>
        <w:t>regulacji</w:t>
      </w:r>
      <w:r w:rsidR="00CC04C9" w:rsidRPr="00877A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B584E" w:rsidRPr="00877A48">
        <w:rPr>
          <w:rFonts w:ascii="Calibri" w:hAnsi="Calibri" w:cs="Calibri"/>
          <w:i/>
          <w:iCs/>
          <w:sz w:val="22"/>
          <w:szCs w:val="22"/>
        </w:rPr>
        <w:t>dotyczących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cen paliw</w:t>
      </w:r>
      <w:r w:rsidR="00544EDC" w:rsidRPr="00877A48">
        <w:rPr>
          <w:rFonts w:ascii="Calibri" w:hAnsi="Calibri" w:cs="Calibri"/>
          <w:i/>
          <w:iCs/>
          <w:sz w:val="22"/>
          <w:szCs w:val="22"/>
        </w:rPr>
        <w:t xml:space="preserve"> i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0521D" w:rsidRPr="00877A48">
        <w:rPr>
          <w:rFonts w:ascii="Calibri" w:hAnsi="Calibri" w:cs="Calibri"/>
          <w:i/>
          <w:iCs/>
          <w:sz w:val="22"/>
          <w:szCs w:val="22"/>
        </w:rPr>
        <w:t xml:space="preserve">geograficznej </w:t>
      </w:r>
      <w:r w:rsidR="00960044" w:rsidRPr="00877A48">
        <w:rPr>
          <w:rFonts w:ascii="Calibri" w:hAnsi="Calibri" w:cs="Calibri"/>
          <w:i/>
          <w:iCs/>
          <w:sz w:val="22"/>
          <w:szCs w:val="22"/>
        </w:rPr>
        <w:t>odległośc</w:t>
      </w:r>
      <w:r w:rsidR="00544EDC" w:rsidRPr="00877A48">
        <w:rPr>
          <w:rFonts w:ascii="Calibri" w:hAnsi="Calibri" w:cs="Calibri"/>
          <w:i/>
          <w:iCs/>
          <w:sz w:val="22"/>
          <w:szCs w:val="22"/>
        </w:rPr>
        <w:t>i</w:t>
      </w:r>
      <w:r w:rsidR="00BB50EF" w:rsidRPr="00877A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3244" w:rsidRPr="00877A48">
        <w:rPr>
          <w:rFonts w:ascii="Calibri" w:hAnsi="Calibri" w:cs="Calibri"/>
          <w:i/>
          <w:iCs/>
          <w:sz w:val="22"/>
          <w:szCs w:val="22"/>
        </w:rPr>
        <w:t>Iranu</w:t>
      </w:r>
      <w:r w:rsidR="00CC04C9" w:rsidRPr="00877A48">
        <w:rPr>
          <w:rFonts w:ascii="Calibri" w:hAnsi="Calibri" w:cs="Calibri"/>
          <w:i/>
          <w:iCs/>
          <w:sz w:val="22"/>
          <w:szCs w:val="22"/>
        </w:rPr>
        <w:t xml:space="preserve"> od Polski</w:t>
      </w:r>
      <w:r w:rsidR="00544EDC" w:rsidRPr="00877A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8694B" w:rsidRPr="00877A48">
        <w:rPr>
          <w:rFonts w:ascii="Calibri" w:hAnsi="Calibri" w:cs="Calibri"/>
          <w:sz w:val="22"/>
          <w:szCs w:val="22"/>
        </w:rPr>
        <w:t xml:space="preserve">– zauważa </w:t>
      </w:r>
      <w:r w:rsidR="003955CA" w:rsidRPr="00877A48">
        <w:rPr>
          <w:rFonts w:ascii="Calibri" w:hAnsi="Calibri" w:cs="Calibri"/>
          <w:b/>
          <w:bCs/>
          <w:sz w:val="22"/>
          <w:szCs w:val="22"/>
        </w:rPr>
        <w:t xml:space="preserve">Wojciech </w:t>
      </w:r>
      <w:proofErr w:type="spellStart"/>
      <w:r w:rsidR="003955CA" w:rsidRPr="00877A48">
        <w:rPr>
          <w:rFonts w:ascii="Calibri" w:hAnsi="Calibri" w:cs="Calibri"/>
          <w:b/>
          <w:bCs/>
          <w:sz w:val="22"/>
          <w:szCs w:val="22"/>
        </w:rPr>
        <w:t>Szajnert</w:t>
      </w:r>
      <w:proofErr w:type="spellEnd"/>
      <w:r w:rsidR="003955CA" w:rsidRPr="00877A48">
        <w:rPr>
          <w:rFonts w:ascii="Calibri" w:hAnsi="Calibri" w:cs="Calibri"/>
          <w:sz w:val="22"/>
          <w:szCs w:val="22"/>
        </w:rPr>
        <w:t xml:space="preserve">, ekspert ds. analiz sektorowych </w:t>
      </w:r>
      <w:r w:rsidR="00F8694B" w:rsidRPr="00877A48">
        <w:rPr>
          <w:rFonts w:ascii="Calibri" w:hAnsi="Calibri" w:cs="Calibri"/>
          <w:sz w:val="22"/>
          <w:szCs w:val="22"/>
        </w:rPr>
        <w:t xml:space="preserve">z Alior Banku. </w:t>
      </w:r>
    </w:p>
    <w:p w14:paraId="53365C4C" w14:textId="23CC4853" w:rsidR="007E6393" w:rsidRPr="00877A48" w:rsidRDefault="007E6393" w:rsidP="00801FD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77A48">
        <w:rPr>
          <w:rFonts w:ascii="Calibri" w:hAnsi="Calibri" w:cs="Calibri"/>
          <w:b/>
          <w:bCs/>
          <w:sz w:val="22"/>
          <w:szCs w:val="22"/>
        </w:rPr>
        <w:t>Rosnąca podaż i stabilne ceny</w:t>
      </w:r>
    </w:p>
    <w:p w14:paraId="025E5E11" w14:textId="7DA50B54" w:rsidR="00326908" w:rsidRPr="00877A48" w:rsidRDefault="00C24BE9" w:rsidP="00326908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>Ze względu na</w:t>
      </w:r>
      <w:r w:rsidR="006A7868" w:rsidRPr="00877A48">
        <w:rPr>
          <w:rFonts w:ascii="Calibri" w:hAnsi="Calibri" w:cs="Calibri"/>
          <w:sz w:val="22"/>
          <w:szCs w:val="22"/>
        </w:rPr>
        <w:t xml:space="preserve"> konflikt </w:t>
      </w:r>
      <w:r w:rsidR="007649F3" w:rsidRPr="00877A48">
        <w:rPr>
          <w:rFonts w:ascii="Calibri" w:hAnsi="Calibri" w:cs="Calibri"/>
          <w:sz w:val="22"/>
          <w:szCs w:val="22"/>
        </w:rPr>
        <w:t xml:space="preserve">analitycy </w:t>
      </w:r>
      <w:r w:rsidR="00326908">
        <w:rPr>
          <w:rFonts w:ascii="Calibri" w:hAnsi="Calibri" w:cs="Calibri"/>
          <w:sz w:val="22"/>
          <w:szCs w:val="22"/>
        </w:rPr>
        <w:t xml:space="preserve">nieznacznie </w:t>
      </w:r>
      <w:r w:rsidR="007649F3" w:rsidRPr="00877A48">
        <w:rPr>
          <w:rFonts w:ascii="Calibri" w:hAnsi="Calibri" w:cs="Calibri"/>
          <w:sz w:val="22"/>
          <w:szCs w:val="22"/>
        </w:rPr>
        <w:t xml:space="preserve">rewidują </w:t>
      </w:r>
      <w:r w:rsidR="006A7868" w:rsidRPr="00877A48">
        <w:rPr>
          <w:rFonts w:ascii="Calibri" w:hAnsi="Calibri" w:cs="Calibri"/>
          <w:sz w:val="22"/>
          <w:szCs w:val="22"/>
        </w:rPr>
        <w:t>przewidywania</w:t>
      </w:r>
      <w:r w:rsidR="007649F3" w:rsidRPr="00877A48">
        <w:rPr>
          <w:rFonts w:ascii="Calibri" w:hAnsi="Calibri" w:cs="Calibri"/>
          <w:sz w:val="22"/>
          <w:szCs w:val="22"/>
        </w:rPr>
        <w:t xml:space="preserve"> co do</w:t>
      </w:r>
      <w:r w:rsidR="00385774" w:rsidRPr="00877A48">
        <w:rPr>
          <w:rFonts w:ascii="Calibri" w:hAnsi="Calibri" w:cs="Calibri"/>
          <w:sz w:val="22"/>
          <w:szCs w:val="22"/>
        </w:rPr>
        <w:t xml:space="preserve"> podaży</w:t>
      </w:r>
      <w:r w:rsidR="00DB0EF7" w:rsidRPr="00877A48">
        <w:rPr>
          <w:rFonts w:ascii="Calibri" w:hAnsi="Calibri" w:cs="Calibri"/>
          <w:sz w:val="22"/>
          <w:szCs w:val="22"/>
        </w:rPr>
        <w:t xml:space="preserve"> </w:t>
      </w:r>
      <w:r w:rsidR="00A0521D">
        <w:rPr>
          <w:rFonts w:ascii="Calibri" w:hAnsi="Calibri" w:cs="Calibri"/>
          <w:sz w:val="22"/>
          <w:szCs w:val="22"/>
        </w:rPr>
        <w:t>mieszkań w Polsce w 2026 r</w:t>
      </w:r>
      <w:r w:rsidR="006A7868" w:rsidRPr="00877A48">
        <w:rPr>
          <w:rFonts w:ascii="Calibri" w:hAnsi="Calibri" w:cs="Calibri"/>
          <w:sz w:val="22"/>
          <w:szCs w:val="22"/>
        </w:rPr>
        <w:t xml:space="preserve">. </w:t>
      </w:r>
      <w:r w:rsidR="00326908" w:rsidRPr="00877A48">
        <w:rPr>
          <w:rFonts w:ascii="Calibri" w:hAnsi="Calibri" w:cs="Calibri"/>
          <w:sz w:val="22"/>
          <w:szCs w:val="22"/>
        </w:rPr>
        <w:t xml:space="preserve">Według </w:t>
      </w:r>
      <w:r w:rsidR="00326908">
        <w:rPr>
          <w:rFonts w:ascii="Calibri" w:hAnsi="Calibri" w:cs="Calibri"/>
          <w:sz w:val="22"/>
          <w:szCs w:val="22"/>
        </w:rPr>
        <w:t xml:space="preserve">ich </w:t>
      </w:r>
      <w:r w:rsidR="00326908" w:rsidRPr="00877A48">
        <w:rPr>
          <w:rFonts w:ascii="Calibri" w:hAnsi="Calibri" w:cs="Calibri"/>
          <w:sz w:val="22"/>
          <w:szCs w:val="22"/>
        </w:rPr>
        <w:t>prognoz</w:t>
      </w:r>
      <w:r w:rsidR="00326908">
        <w:rPr>
          <w:rFonts w:ascii="Calibri" w:hAnsi="Calibri" w:cs="Calibri"/>
          <w:sz w:val="22"/>
          <w:szCs w:val="22"/>
        </w:rPr>
        <w:t>y</w:t>
      </w:r>
      <w:r w:rsidR="00326908" w:rsidRPr="00877A48">
        <w:rPr>
          <w:rFonts w:ascii="Calibri" w:hAnsi="Calibri" w:cs="Calibri"/>
          <w:sz w:val="22"/>
          <w:szCs w:val="22"/>
        </w:rPr>
        <w:t xml:space="preserve"> w </w:t>
      </w:r>
      <w:r w:rsidR="00A0521D">
        <w:rPr>
          <w:rFonts w:ascii="Calibri" w:hAnsi="Calibri" w:cs="Calibri"/>
          <w:sz w:val="22"/>
          <w:szCs w:val="22"/>
        </w:rPr>
        <w:t xml:space="preserve">bieżącym roku </w:t>
      </w:r>
      <w:r w:rsidR="00326908" w:rsidRPr="00877A48">
        <w:rPr>
          <w:rFonts w:ascii="Calibri" w:hAnsi="Calibri" w:cs="Calibri"/>
          <w:sz w:val="22"/>
          <w:szCs w:val="22"/>
        </w:rPr>
        <w:t xml:space="preserve">w Polsce do użytku zostanie oddanych ok. 225 tys. lokali mieszkalnych, co będzie </w:t>
      </w:r>
      <w:r w:rsidR="00326908">
        <w:rPr>
          <w:rFonts w:ascii="Calibri" w:hAnsi="Calibri" w:cs="Calibri"/>
          <w:sz w:val="22"/>
          <w:szCs w:val="22"/>
        </w:rPr>
        <w:t xml:space="preserve">nieco niższym </w:t>
      </w:r>
      <w:r w:rsidR="00646D38" w:rsidRPr="00877A48">
        <w:rPr>
          <w:rFonts w:ascii="Calibri" w:hAnsi="Calibri" w:cs="Calibri"/>
          <w:sz w:val="22"/>
          <w:szCs w:val="22"/>
        </w:rPr>
        <w:t xml:space="preserve">wynikiem </w:t>
      </w:r>
      <w:r w:rsidR="00326908">
        <w:rPr>
          <w:rFonts w:ascii="Calibri" w:hAnsi="Calibri" w:cs="Calibri"/>
          <w:sz w:val="22"/>
          <w:szCs w:val="22"/>
        </w:rPr>
        <w:t xml:space="preserve">niż przewidywany przed wybuchem wojny na Bliskim Wschodzie, ale wciąż </w:t>
      </w:r>
      <w:r w:rsidR="00326908" w:rsidRPr="00877A48">
        <w:rPr>
          <w:rFonts w:ascii="Calibri" w:hAnsi="Calibri" w:cs="Calibri"/>
          <w:sz w:val="22"/>
          <w:szCs w:val="22"/>
        </w:rPr>
        <w:t xml:space="preserve">wysokim na tle ostatnich lat. </w:t>
      </w:r>
    </w:p>
    <w:p w14:paraId="794B5637" w14:textId="77777777" w:rsidR="00326908" w:rsidRPr="00877A48" w:rsidRDefault="00326908" w:rsidP="00326908">
      <w:pPr>
        <w:jc w:val="center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1A038999" wp14:editId="636C03A7">
            <wp:extent cx="3378374" cy="1759040"/>
            <wp:effectExtent l="0" t="0" r="0" b="5080"/>
            <wp:docPr id="878196876" name="Obraz 1" descr="Obraz zawierający tekst, zrzut ekranu, Czcionka, linia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C0DFACE7-2153-40D6-8748-E536158100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96876" name="Obraz 1" descr="Obraz zawierający tekst, zrzut ekranu, Czcionka, linia&#10;&#10;Zawartość wygenerowana przez AI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8374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8708" w14:textId="6E38FAC8" w:rsidR="000E6199" w:rsidRPr="00877A48" w:rsidRDefault="00A52821" w:rsidP="00A52821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Głównym motorem napędowym </w:t>
      </w:r>
      <w:r w:rsidR="00646D38">
        <w:rPr>
          <w:rFonts w:ascii="Calibri" w:hAnsi="Calibri" w:cs="Calibri"/>
          <w:sz w:val="22"/>
          <w:szCs w:val="22"/>
        </w:rPr>
        <w:t>wzrostu podaży</w:t>
      </w:r>
      <w:r>
        <w:rPr>
          <w:rFonts w:ascii="Calibri" w:hAnsi="Calibri" w:cs="Calibri"/>
          <w:sz w:val="22"/>
          <w:szCs w:val="22"/>
        </w:rPr>
        <w:t xml:space="preserve"> będzie </w:t>
      </w:r>
      <w:r w:rsidRPr="00877A48">
        <w:rPr>
          <w:rFonts w:ascii="Calibri" w:hAnsi="Calibri" w:cs="Calibri"/>
          <w:sz w:val="22"/>
          <w:szCs w:val="22"/>
        </w:rPr>
        <w:t>liczba mieszkań wprowadz</w:t>
      </w:r>
      <w:r w:rsidR="00A0521D">
        <w:rPr>
          <w:rFonts w:ascii="Calibri" w:hAnsi="Calibri" w:cs="Calibri"/>
          <w:sz w:val="22"/>
          <w:szCs w:val="22"/>
        </w:rPr>
        <w:t>a</w:t>
      </w:r>
      <w:r w:rsidRPr="00877A48">
        <w:rPr>
          <w:rFonts w:ascii="Calibri" w:hAnsi="Calibri" w:cs="Calibri"/>
          <w:sz w:val="22"/>
          <w:szCs w:val="22"/>
        </w:rPr>
        <w:t xml:space="preserve">nych na rynek przez deweloperów. </w:t>
      </w:r>
      <w:r>
        <w:rPr>
          <w:rFonts w:ascii="Calibri" w:hAnsi="Calibri" w:cs="Calibri"/>
          <w:sz w:val="22"/>
          <w:szCs w:val="22"/>
        </w:rPr>
        <w:t>K</w:t>
      </w:r>
      <w:r w:rsidRPr="00877A48">
        <w:rPr>
          <w:rFonts w:ascii="Calibri" w:hAnsi="Calibri" w:cs="Calibri"/>
          <w:sz w:val="22"/>
          <w:szCs w:val="22"/>
        </w:rPr>
        <w:t xml:space="preserve">ończą </w:t>
      </w:r>
      <w:r>
        <w:rPr>
          <w:rFonts w:ascii="Calibri" w:hAnsi="Calibri" w:cs="Calibri"/>
          <w:sz w:val="22"/>
          <w:szCs w:val="22"/>
        </w:rPr>
        <w:t xml:space="preserve">oni </w:t>
      </w:r>
      <w:r w:rsidRPr="00877A48">
        <w:rPr>
          <w:rFonts w:ascii="Calibri" w:hAnsi="Calibri" w:cs="Calibri"/>
          <w:sz w:val="22"/>
          <w:szCs w:val="22"/>
        </w:rPr>
        <w:t>obecnie projekty, które zaplanowali w hossie lat 2021-2022, a zaczęli budować około 2023-2024 r.</w:t>
      </w:r>
      <w:r>
        <w:rPr>
          <w:rFonts w:ascii="Calibri" w:hAnsi="Calibri" w:cs="Calibri"/>
          <w:sz w:val="22"/>
          <w:szCs w:val="22"/>
        </w:rPr>
        <w:t xml:space="preserve">, </w:t>
      </w:r>
      <w:r w:rsidR="00646D38">
        <w:rPr>
          <w:rFonts w:ascii="Calibri" w:hAnsi="Calibri" w:cs="Calibri"/>
          <w:sz w:val="22"/>
          <w:szCs w:val="22"/>
        </w:rPr>
        <w:t xml:space="preserve">więc </w:t>
      </w:r>
      <w:r w:rsidRPr="00877A48">
        <w:rPr>
          <w:rFonts w:ascii="Calibri" w:hAnsi="Calibri" w:cs="Calibri"/>
          <w:sz w:val="22"/>
          <w:szCs w:val="22"/>
        </w:rPr>
        <w:t xml:space="preserve">konflikt </w:t>
      </w:r>
      <w:r>
        <w:rPr>
          <w:rFonts w:ascii="Calibri" w:hAnsi="Calibri" w:cs="Calibri"/>
          <w:sz w:val="22"/>
          <w:szCs w:val="22"/>
        </w:rPr>
        <w:t>w Iranie będzie mieć na realizację tych planów tylko nieznacznie ujemny wpływ</w:t>
      </w:r>
      <w:r w:rsidRPr="00877A4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Nieco w</w:t>
      </w:r>
      <w:r w:rsidR="00D14E28">
        <w:rPr>
          <w:rFonts w:ascii="Calibri" w:hAnsi="Calibri" w:cs="Calibri"/>
          <w:sz w:val="22"/>
          <w:szCs w:val="22"/>
        </w:rPr>
        <w:t xml:space="preserve">yraźniej </w:t>
      </w:r>
      <w:r>
        <w:rPr>
          <w:rFonts w:ascii="Calibri" w:hAnsi="Calibri" w:cs="Calibri"/>
          <w:sz w:val="22"/>
          <w:szCs w:val="22"/>
        </w:rPr>
        <w:t>wojn</w:t>
      </w:r>
      <w:r w:rsidR="00D14E28">
        <w:rPr>
          <w:rFonts w:ascii="Calibri" w:hAnsi="Calibri" w:cs="Calibri"/>
          <w:sz w:val="22"/>
          <w:szCs w:val="22"/>
        </w:rPr>
        <w:t xml:space="preserve">a wpłynie </w:t>
      </w:r>
      <w:r>
        <w:rPr>
          <w:rFonts w:ascii="Calibri" w:hAnsi="Calibri" w:cs="Calibri"/>
          <w:sz w:val="22"/>
          <w:szCs w:val="22"/>
        </w:rPr>
        <w:t xml:space="preserve">na budowy domów jednorodzinnych. W tej dziedzinie </w:t>
      </w:r>
      <w:r w:rsidR="006A7868" w:rsidRPr="00877A48">
        <w:rPr>
          <w:rFonts w:ascii="Calibri" w:hAnsi="Calibri" w:cs="Calibri"/>
          <w:sz w:val="22"/>
          <w:szCs w:val="22"/>
        </w:rPr>
        <w:t xml:space="preserve">w 2026 </w:t>
      </w:r>
      <w:r w:rsidR="00AA79B4" w:rsidRPr="00877A48">
        <w:rPr>
          <w:rFonts w:ascii="Calibri" w:hAnsi="Calibri" w:cs="Calibri"/>
          <w:sz w:val="22"/>
          <w:szCs w:val="22"/>
        </w:rPr>
        <w:t>r</w:t>
      </w:r>
      <w:r w:rsidR="00100481" w:rsidRPr="00877A4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wciąż </w:t>
      </w:r>
      <w:r w:rsidR="006A7868" w:rsidRPr="00877A48">
        <w:rPr>
          <w:rFonts w:ascii="Calibri" w:hAnsi="Calibri" w:cs="Calibri"/>
          <w:sz w:val="22"/>
          <w:szCs w:val="22"/>
        </w:rPr>
        <w:t>nastąpi wzrost podaży r</w:t>
      </w:r>
      <w:r w:rsidR="00100481" w:rsidRPr="00877A48">
        <w:rPr>
          <w:rFonts w:ascii="Calibri" w:hAnsi="Calibri" w:cs="Calibri"/>
          <w:sz w:val="22"/>
          <w:szCs w:val="22"/>
        </w:rPr>
        <w:t>ok do roku</w:t>
      </w:r>
      <w:r w:rsidR="006A7868" w:rsidRPr="00877A48">
        <w:rPr>
          <w:rFonts w:ascii="Calibri" w:hAnsi="Calibri" w:cs="Calibri"/>
          <w:sz w:val="22"/>
          <w:szCs w:val="22"/>
        </w:rPr>
        <w:t xml:space="preserve">, ale będzie on mniejszy niż dotąd </w:t>
      </w:r>
      <w:r w:rsidR="00DB7630" w:rsidRPr="00877A48">
        <w:rPr>
          <w:rFonts w:ascii="Calibri" w:hAnsi="Calibri" w:cs="Calibri"/>
          <w:sz w:val="22"/>
          <w:szCs w:val="22"/>
        </w:rPr>
        <w:t>zakładany</w:t>
      </w:r>
      <w:r w:rsidR="00A0521D">
        <w:rPr>
          <w:rFonts w:ascii="Calibri" w:hAnsi="Calibri" w:cs="Calibri"/>
          <w:sz w:val="22"/>
          <w:szCs w:val="22"/>
        </w:rPr>
        <w:t xml:space="preserve"> i</w:t>
      </w:r>
      <w:r w:rsidR="006A7868" w:rsidRPr="00877A48">
        <w:rPr>
          <w:rFonts w:ascii="Calibri" w:hAnsi="Calibri" w:cs="Calibri"/>
          <w:sz w:val="22"/>
          <w:szCs w:val="22"/>
        </w:rPr>
        <w:t xml:space="preserve"> prawdopodobnie </w:t>
      </w:r>
      <w:r w:rsidR="00C66942" w:rsidRPr="00877A48">
        <w:rPr>
          <w:rFonts w:ascii="Calibri" w:hAnsi="Calibri" w:cs="Calibri"/>
          <w:sz w:val="22"/>
          <w:szCs w:val="22"/>
        </w:rPr>
        <w:t xml:space="preserve">tylko </w:t>
      </w:r>
      <w:r w:rsidR="006A7868" w:rsidRPr="00877A48">
        <w:rPr>
          <w:rFonts w:ascii="Calibri" w:hAnsi="Calibri" w:cs="Calibri"/>
          <w:sz w:val="22"/>
          <w:szCs w:val="22"/>
        </w:rPr>
        <w:t xml:space="preserve">jednocyfrowy. </w:t>
      </w:r>
    </w:p>
    <w:p w14:paraId="423C2E19" w14:textId="24AF065D" w:rsidR="00E01E1E" w:rsidRPr="00877A48" w:rsidRDefault="00E01E1E" w:rsidP="00E72396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i/>
          <w:iCs/>
          <w:sz w:val="22"/>
          <w:szCs w:val="22"/>
        </w:rPr>
        <w:t>–</w:t>
      </w:r>
      <w:r w:rsidRPr="00877A48">
        <w:rPr>
          <w:rFonts w:ascii="Calibri" w:hAnsi="Calibri" w:cs="Calibri"/>
          <w:sz w:val="22"/>
          <w:szCs w:val="22"/>
        </w:rPr>
        <w:t xml:space="preserve"> </w:t>
      </w:r>
      <w:r w:rsidR="00A52821">
        <w:rPr>
          <w:rFonts w:ascii="Calibri" w:hAnsi="Calibri" w:cs="Calibri"/>
          <w:i/>
          <w:iCs/>
          <w:sz w:val="22"/>
          <w:szCs w:val="22"/>
        </w:rPr>
        <w:t>W sektorze deweloperskim s</w:t>
      </w:r>
      <w:r w:rsidR="00A52821" w:rsidRPr="00877A48">
        <w:rPr>
          <w:rFonts w:ascii="Calibri" w:hAnsi="Calibri" w:cs="Calibri"/>
          <w:i/>
          <w:iCs/>
          <w:sz w:val="22"/>
          <w:szCs w:val="22"/>
        </w:rPr>
        <w:t xml:space="preserve">kutki 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wojny w Iranie odczują </w:t>
      </w:r>
      <w:r w:rsidR="00A52821">
        <w:rPr>
          <w:rFonts w:ascii="Calibri" w:hAnsi="Calibri" w:cs="Calibri"/>
          <w:i/>
          <w:iCs/>
          <w:sz w:val="22"/>
          <w:szCs w:val="22"/>
        </w:rPr>
        <w:t xml:space="preserve">naszym zdaniem 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głównie </w:t>
      </w:r>
      <w:r w:rsidR="008604B5" w:rsidRPr="00877A48">
        <w:rPr>
          <w:rFonts w:ascii="Calibri" w:hAnsi="Calibri" w:cs="Calibri"/>
          <w:i/>
          <w:iCs/>
          <w:sz w:val="22"/>
          <w:szCs w:val="22"/>
        </w:rPr>
        <w:t>firmy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 działając</w:t>
      </w:r>
      <w:r w:rsidR="008604B5" w:rsidRPr="00877A48">
        <w:rPr>
          <w:rFonts w:ascii="Calibri" w:hAnsi="Calibri" w:cs="Calibri"/>
          <w:i/>
          <w:iCs/>
          <w:sz w:val="22"/>
          <w:szCs w:val="22"/>
        </w:rPr>
        <w:t>e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 w </w:t>
      </w:r>
      <w:r w:rsidR="00FE3248" w:rsidRPr="00877A48">
        <w:rPr>
          <w:rFonts w:ascii="Calibri" w:hAnsi="Calibri" w:cs="Calibri"/>
          <w:i/>
          <w:iCs/>
          <w:sz w:val="22"/>
          <w:szCs w:val="22"/>
        </w:rPr>
        <w:t xml:space="preserve">mniej atrakcyjnych 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lokalizacjach oraz małe podmioty traktujące deweloperkę jako uzupełnienie działalności. Związane z konfliktem </w:t>
      </w:r>
      <w:r w:rsidR="00A52821">
        <w:rPr>
          <w:rFonts w:ascii="Calibri" w:hAnsi="Calibri" w:cs="Calibri"/>
          <w:i/>
          <w:iCs/>
          <w:sz w:val="22"/>
          <w:szCs w:val="22"/>
        </w:rPr>
        <w:t>osłabienie dynamiki</w:t>
      </w:r>
      <w:r w:rsidR="00A52821" w:rsidRPr="00877A4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>popytu i wzrost kosztów</w:t>
      </w:r>
      <w:r w:rsidR="00A52821">
        <w:rPr>
          <w:rFonts w:ascii="Calibri" w:hAnsi="Calibri" w:cs="Calibri"/>
          <w:i/>
          <w:iCs/>
          <w:sz w:val="22"/>
          <w:szCs w:val="22"/>
        </w:rPr>
        <w:t xml:space="preserve"> materiałów budowlanych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, w połączeniu z </w:t>
      </w:r>
      <w:r w:rsidR="00A52821">
        <w:rPr>
          <w:rFonts w:ascii="Calibri" w:hAnsi="Calibri" w:cs="Calibri"/>
          <w:i/>
          <w:iCs/>
          <w:sz w:val="22"/>
          <w:szCs w:val="22"/>
        </w:rPr>
        <w:t>istniejącymi już wcześniej niekorzystnymi czynnikami</w:t>
      </w:r>
      <w:r w:rsidR="00B45FA3" w:rsidRPr="00877A48">
        <w:rPr>
          <w:rFonts w:ascii="Calibri" w:hAnsi="Calibri" w:cs="Calibri"/>
          <w:i/>
          <w:iCs/>
          <w:sz w:val="22"/>
          <w:szCs w:val="22"/>
        </w:rPr>
        <w:t>,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 mogą przechylić szalę i zmusić niektóre z takich </w:t>
      </w:r>
      <w:r w:rsidR="00890C37" w:rsidRPr="00877A48">
        <w:rPr>
          <w:rFonts w:ascii="Calibri" w:hAnsi="Calibri" w:cs="Calibri"/>
          <w:i/>
          <w:iCs/>
          <w:sz w:val="22"/>
          <w:szCs w:val="22"/>
        </w:rPr>
        <w:t>przedsiębiorst</w:t>
      </w:r>
      <w:r w:rsidR="00124EDA" w:rsidRPr="00877A48">
        <w:rPr>
          <w:rFonts w:ascii="Calibri" w:hAnsi="Calibri" w:cs="Calibri"/>
          <w:i/>
          <w:iCs/>
          <w:sz w:val="22"/>
          <w:szCs w:val="22"/>
        </w:rPr>
        <w:t>w</w:t>
      </w:r>
      <w:r w:rsidR="00801FDA" w:rsidRPr="00877A48">
        <w:rPr>
          <w:rFonts w:ascii="Calibri" w:hAnsi="Calibri" w:cs="Calibri"/>
          <w:i/>
          <w:iCs/>
          <w:sz w:val="22"/>
          <w:szCs w:val="22"/>
        </w:rPr>
        <w:t xml:space="preserve"> do wstrzymywania budów</w:t>
      </w:r>
      <w:r w:rsidR="00A52821">
        <w:rPr>
          <w:rFonts w:ascii="Calibri" w:hAnsi="Calibri" w:cs="Calibri"/>
          <w:i/>
          <w:iCs/>
          <w:sz w:val="22"/>
          <w:szCs w:val="22"/>
        </w:rPr>
        <w:t>, a także obniżek cen</w:t>
      </w:r>
      <w:r w:rsidR="00A0521D">
        <w:rPr>
          <w:rFonts w:ascii="Calibri" w:hAnsi="Calibri" w:cs="Calibri"/>
          <w:i/>
          <w:iCs/>
          <w:sz w:val="22"/>
          <w:szCs w:val="22"/>
        </w:rPr>
        <w:t>. Natomiast na duże firmy deweloperskie konflikt nie będzie miał znaczącego wpływu</w:t>
      </w:r>
      <w:r w:rsidRPr="00877A48">
        <w:rPr>
          <w:rFonts w:ascii="Calibri" w:hAnsi="Calibri" w:cs="Calibri"/>
          <w:sz w:val="22"/>
          <w:szCs w:val="22"/>
        </w:rPr>
        <w:t xml:space="preserve"> </w:t>
      </w:r>
      <w:r w:rsidRPr="00877A48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Pr="00877A48">
        <w:rPr>
          <w:rFonts w:ascii="Calibri" w:hAnsi="Calibri" w:cs="Calibri"/>
          <w:sz w:val="22"/>
          <w:szCs w:val="22"/>
        </w:rPr>
        <w:t xml:space="preserve">dodaje </w:t>
      </w:r>
      <w:r w:rsidR="00100481" w:rsidRPr="00877A48">
        <w:rPr>
          <w:rFonts w:ascii="Calibri" w:hAnsi="Calibri" w:cs="Calibri"/>
          <w:b/>
          <w:bCs/>
          <w:sz w:val="22"/>
          <w:szCs w:val="22"/>
        </w:rPr>
        <w:t xml:space="preserve">Wojciech </w:t>
      </w:r>
      <w:proofErr w:type="spellStart"/>
      <w:r w:rsidR="00100481" w:rsidRPr="00877A48">
        <w:rPr>
          <w:rFonts w:ascii="Calibri" w:hAnsi="Calibri" w:cs="Calibri"/>
          <w:b/>
          <w:bCs/>
          <w:sz w:val="22"/>
          <w:szCs w:val="22"/>
        </w:rPr>
        <w:t>Szajnert</w:t>
      </w:r>
      <w:proofErr w:type="spellEnd"/>
      <w:r w:rsidR="00100481" w:rsidRPr="00877A48">
        <w:rPr>
          <w:rFonts w:ascii="Calibri" w:hAnsi="Calibri" w:cs="Calibri"/>
          <w:b/>
          <w:bCs/>
          <w:sz w:val="22"/>
          <w:szCs w:val="22"/>
        </w:rPr>
        <w:t>,</w:t>
      </w:r>
      <w:r w:rsidR="00100481" w:rsidRPr="00877A48">
        <w:rPr>
          <w:rFonts w:ascii="Calibri" w:hAnsi="Calibri" w:cs="Calibri"/>
          <w:sz w:val="22"/>
          <w:szCs w:val="22"/>
        </w:rPr>
        <w:t xml:space="preserve"> ekspert </w:t>
      </w:r>
      <w:r w:rsidRPr="00877A48">
        <w:rPr>
          <w:rFonts w:ascii="Calibri" w:hAnsi="Calibri" w:cs="Calibri"/>
          <w:sz w:val="22"/>
          <w:szCs w:val="22"/>
        </w:rPr>
        <w:t>Alior Banku.</w:t>
      </w:r>
    </w:p>
    <w:p w14:paraId="038789D7" w14:textId="2F4D4BCF" w:rsidR="0032332A" w:rsidRPr="00877A48" w:rsidRDefault="00A52821" w:rsidP="00E72396">
      <w:pPr>
        <w:jc w:val="both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04E6D" w:rsidRPr="00877A48">
        <w:rPr>
          <w:rFonts w:ascii="Calibri" w:hAnsi="Calibri" w:cs="Calibri"/>
          <w:sz w:val="22"/>
          <w:szCs w:val="22"/>
        </w:rPr>
        <w:t>edług</w:t>
      </w:r>
      <w:r w:rsidR="007C5419" w:rsidRPr="00877A48">
        <w:rPr>
          <w:rFonts w:ascii="Calibri" w:hAnsi="Calibri" w:cs="Calibri"/>
          <w:sz w:val="22"/>
          <w:szCs w:val="22"/>
        </w:rPr>
        <w:t xml:space="preserve"> </w:t>
      </w:r>
      <w:r w:rsidR="00F04E6D" w:rsidRPr="00877A48">
        <w:rPr>
          <w:rFonts w:ascii="Calibri" w:hAnsi="Calibri" w:cs="Calibri"/>
          <w:sz w:val="22"/>
          <w:szCs w:val="22"/>
        </w:rPr>
        <w:t>analityków</w:t>
      </w:r>
      <w:r w:rsidR="005D44E9" w:rsidRPr="00877A48">
        <w:rPr>
          <w:rFonts w:ascii="Calibri" w:hAnsi="Calibri" w:cs="Calibri"/>
          <w:sz w:val="22"/>
          <w:szCs w:val="22"/>
        </w:rPr>
        <w:t xml:space="preserve"> Alior Banku </w:t>
      </w:r>
      <w:r w:rsidRPr="00A52821">
        <w:rPr>
          <w:rFonts w:ascii="Calibri" w:hAnsi="Calibri" w:cs="Calibri"/>
          <w:sz w:val="22"/>
          <w:szCs w:val="22"/>
        </w:rPr>
        <w:t xml:space="preserve">dynamika popytu na mieszkania będzie w </w:t>
      </w:r>
      <w:r>
        <w:rPr>
          <w:rFonts w:ascii="Calibri" w:hAnsi="Calibri" w:cs="Calibri"/>
          <w:sz w:val="22"/>
          <w:szCs w:val="22"/>
        </w:rPr>
        <w:t>2026 r</w:t>
      </w:r>
      <w:r w:rsidRPr="00A52821">
        <w:rPr>
          <w:rFonts w:ascii="Calibri" w:hAnsi="Calibri" w:cs="Calibri"/>
          <w:sz w:val="22"/>
          <w:szCs w:val="22"/>
        </w:rPr>
        <w:t>. porównywalna z dynamiką podaży, a w optymistycznym wariancie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A52821">
        <w:rPr>
          <w:rFonts w:ascii="Calibri" w:hAnsi="Calibri" w:cs="Calibri"/>
          <w:sz w:val="22"/>
          <w:szCs w:val="22"/>
        </w:rPr>
        <w:t>tylko nieznacznie od niej większa (r/r, ilościowo).</w:t>
      </w:r>
      <w:r>
        <w:rPr>
          <w:rFonts w:ascii="Calibri" w:hAnsi="Calibri" w:cs="Calibri"/>
          <w:sz w:val="22"/>
          <w:szCs w:val="22"/>
        </w:rPr>
        <w:t xml:space="preserve"> </w:t>
      </w:r>
      <w:r w:rsidR="00A0521D">
        <w:rPr>
          <w:rFonts w:ascii="Calibri" w:hAnsi="Calibri" w:cs="Calibri"/>
          <w:sz w:val="22"/>
          <w:szCs w:val="22"/>
        </w:rPr>
        <w:t>W</w:t>
      </w:r>
      <w:r w:rsidR="00AD783D" w:rsidRPr="00AD783D">
        <w:rPr>
          <w:rFonts w:ascii="Calibri" w:hAnsi="Calibri" w:cs="Calibri"/>
          <w:sz w:val="22"/>
          <w:szCs w:val="22"/>
        </w:rPr>
        <w:t xml:space="preserve"> efekcie w najbliższych miesiącach na rynku </w:t>
      </w:r>
      <w:r w:rsidR="00AD783D">
        <w:rPr>
          <w:rFonts w:ascii="Calibri" w:hAnsi="Calibri" w:cs="Calibri"/>
          <w:sz w:val="22"/>
          <w:szCs w:val="22"/>
        </w:rPr>
        <w:t xml:space="preserve">powinien </w:t>
      </w:r>
      <w:r w:rsidR="00AD783D" w:rsidRPr="00AD783D">
        <w:rPr>
          <w:rFonts w:ascii="Calibri" w:hAnsi="Calibri" w:cs="Calibri"/>
          <w:sz w:val="22"/>
          <w:szCs w:val="22"/>
        </w:rPr>
        <w:t>utrzyma</w:t>
      </w:r>
      <w:r w:rsidR="00AD783D">
        <w:rPr>
          <w:rFonts w:ascii="Calibri" w:hAnsi="Calibri" w:cs="Calibri"/>
          <w:sz w:val="22"/>
          <w:szCs w:val="22"/>
        </w:rPr>
        <w:t>ć</w:t>
      </w:r>
      <w:r w:rsidR="00AD783D" w:rsidRPr="00AD783D">
        <w:rPr>
          <w:rFonts w:ascii="Calibri" w:hAnsi="Calibri" w:cs="Calibri"/>
          <w:sz w:val="22"/>
          <w:szCs w:val="22"/>
        </w:rPr>
        <w:t xml:space="preserve"> się nadmiar lokali</w:t>
      </w:r>
      <w:r w:rsidR="00AD783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Prawdopodobnym efektem będzie </w:t>
      </w:r>
      <w:r w:rsidR="007C5419" w:rsidRPr="00877A48">
        <w:rPr>
          <w:rFonts w:ascii="Calibri" w:hAnsi="Calibri" w:cs="Calibri"/>
          <w:sz w:val="22"/>
          <w:szCs w:val="22"/>
        </w:rPr>
        <w:t>stabilizacj</w:t>
      </w:r>
      <w:r>
        <w:rPr>
          <w:rFonts w:ascii="Calibri" w:hAnsi="Calibri" w:cs="Calibri"/>
          <w:sz w:val="22"/>
          <w:szCs w:val="22"/>
        </w:rPr>
        <w:t>a</w:t>
      </w:r>
      <w:r w:rsidR="007C5419" w:rsidRPr="00877A4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transakcyjnych </w:t>
      </w:r>
      <w:r w:rsidR="007C5419" w:rsidRPr="00877A48">
        <w:rPr>
          <w:rFonts w:ascii="Calibri" w:hAnsi="Calibri" w:cs="Calibri"/>
          <w:sz w:val="22"/>
          <w:szCs w:val="22"/>
        </w:rPr>
        <w:t xml:space="preserve">cen mieszkań na rynku pierwotnym największych miast w 2026 </w:t>
      </w:r>
      <w:r w:rsidR="00100481" w:rsidRPr="00877A48">
        <w:rPr>
          <w:rFonts w:ascii="Calibri" w:hAnsi="Calibri" w:cs="Calibri"/>
          <w:sz w:val="22"/>
          <w:szCs w:val="22"/>
        </w:rPr>
        <w:t xml:space="preserve">r. </w:t>
      </w:r>
      <w:r w:rsidR="007C5419" w:rsidRPr="00877A48">
        <w:rPr>
          <w:rFonts w:ascii="Calibri" w:hAnsi="Calibri" w:cs="Calibri"/>
          <w:sz w:val="22"/>
          <w:szCs w:val="22"/>
        </w:rPr>
        <w:t>(</w:t>
      </w:r>
      <w:r w:rsidR="00100481" w:rsidRPr="00877A48">
        <w:rPr>
          <w:rFonts w:ascii="Calibri" w:hAnsi="Calibri" w:cs="Calibri"/>
          <w:sz w:val="22"/>
          <w:szCs w:val="22"/>
        </w:rPr>
        <w:t xml:space="preserve">w skali </w:t>
      </w:r>
      <w:r w:rsidR="007C5419" w:rsidRPr="00877A48">
        <w:rPr>
          <w:rFonts w:ascii="Calibri" w:hAnsi="Calibri" w:cs="Calibri"/>
          <w:sz w:val="22"/>
          <w:szCs w:val="22"/>
        </w:rPr>
        <w:t>r</w:t>
      </w:r>
      <w:r w:rsidR="00100481" w:rsidRPr="00877A48">
        <w:rPr>
          <w:rFonts w:ascii="Calibri" w:hAnsi="Calibri" w:cs="Calibri"/>
          <w:sz w:val="22"/>
          <w:szCs w:val="22"/>
        </w:rPr>
        <w:t>ok do roku</w:t>
      </w:r>
      <w:r w:rsidR="007C5419" w:rsidRPr="00877A48">
        <w:rPr>
          <w:rFonts w:ascii="Calibri" w:hAnsi="Calibri" w:cs="Calibri"/>
          <w:sz w:val="22"/>
          <w:szCs w:val="22"/>
        </w:rPr>
        <w:t>)</w:t>
      </w:r>
      <w:r w:rsidR="00CB4322" w:rsidRPr="00877A48">
        <w:rPr>
          <w:rFonts w:ascii="Calibri" w:hAnsi="Calibri" w:cs="Calibri"/>
          <w:sz w:val="22"/>
          <w:szCs w:val="22"/>
        </w:rPr>
        <w:t>.</w:t>
      </w:r>
      <w:r w:rsidR="00B34877" w:rsidRPr="00877A4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pierwszej połowie roku istnieje też możliwość, że nieznacznie </w:t>
      </w:r>
      <w:r w:rsidR="00066DD1">
        <w:rPr>
          <w:rFonts w:ascii="Calibri" w:hAnsi="Calibri" w:cs="Calibri"/>
          <w:sz w:val="22"/>
          <w:szCs w:val="22"/>
        </w:rPr>
        <w:t xml:space="preserve">one </w:t>
      </w:r>
      <w:r>
        <w:rPr>
          <w:rFonts w:ascii="Calibri" w:hAnsi="Calibri" w:cs="Calibri"/>
          <w:sz w:val="22"/>
          <w:szCs w:val="22"/>
        </w:rPr>
        <w:t xml:space="preserve">spadną. </w:t>
      </w:r>
      <w:r w:rsidR="00AD783D">
        <w:rPr>
          <w:rFonts w:ascii="Calibri" w:hAnsi="Calibri" w:cs="Calibri"/>
          <w:sz w:val="22"/>
          <w:szCs w:val="22"/>
        </w:rPr>
        <w:t>Mogą przyczynić się</w:t>
      </w:r>
      <w:r w:rsidR="00066DD1" w:rsidRPr="00066DD1">
        <w:rPr>
          <w:rFonts w:ascii="Calibri" w:hAnsi="Calibri" w:cs="Calibri"/>
          <w:sz w:val="22"/>
          <w:szCs w:val="22"/>
        </w:rPr>
        <w:t xml:space="preserve"> </w:t>
      </w:r>
      <w:r w:rsidR="00066DD1">
        <w:rPr>
          <w:rFonts w:ascii="Calibri" w:hAnsi="Calibri" w:cs="Calibri"/>
          <w:sz w:val="22"/>
          <w:szCs w:val="22"/>
        </w:rPr>
        <w:t>do tego</w:t>
      </w:r>
      <w:r w:rsidR="00AD783D">
        <w:rPr>
          <w:rFonts w:ascii="Calibri" w:hAnsi="Calibri" w:cs="Calibri"/>
          <w:sz w:val="22"/>
          <w:szCs w:val="22"/>
        </w:rPr>
        <w:t xml:space="preserve"> </w:t>
      </w:r>
      <w:r w:rsidRPr="00A52821">
        <w:rPr>
          <w:rFonts w:ascii="Calibri" w:hAnsi="Calibri" w:cs="Calibri"/>
          <w:sz w:val="22"/>
          <w:szCs w:val="22"/>
        </w:rPr>
        <w:t>wprowadzon</w:t>
      </w:r>
      <w:r w:rsidR="00AD783D">
        <w:rPr>
          <w:rFonts w:ascii="Calibri" w:hAnsi="Calibri" w:cs="Calibri"/>
          <w:sz w:val="22"/>
          <w:szCs w:val="22"/>
        </w:rPr>
        <w:t>a</w:t>
      </w:r>
      <w:r w:rsidRPr="00A52821">
        <w:rPr>
          <w:rFonts w:ascii="Calibri" w:hAnsi="Calibri" w:cs="Calibri"/>
          <w:sz w:val="22"/>
          <w:szCs w:val="22"/>
        </w:rPr>
        <w:t xml:space="preserve"> w u</w:t>
      </w:r>
      <w:r>
        <w:rPr>
          <w:rFonts w:ascii="Calibri" w:hAnsi="Calibri" w:cs="Calibri"/>
          <w:sz w:val="22"/>
          <w:szCs w:val="22"/>
        </w:rPr>
        <w:t xml:space="preserve">biegłym roku </w:t>
      </w:r>
      <w:r w:rsidRPr="00A52821">
        <w:rPr>
          <w:rFonts w:ascii="Calibri" w:hAnsi="Calibri" w:cs="Calibri"/>
          <w:sz w:val="22"/>
          <w:szCs w:val="22"/>
        </w:rPr>
        <w:t>jawno</w:t>
      </w:r>
      <w:r>
        <w:rPr>
          <w:rFonts w:ascii="Calibri" w:hAnsi="Calibri" w:cs="Calibri"/>
          <w:sz w:val="22"/>
          <w:szCs w:val="22"/>
        </w:rPr>
        <w:t>ś</w:t>
      </w:r>
      <w:r w:rsidR="00AD783D">
        <w:rPr>
          <w:rFonts w:ascii="Calibri" w:hAnsi="Calibri" w:cs="Calibri"/>
          <w:sz w:val="22"/>
          <w:szCs w:val="22"/>
        </w:rPr>
        <w:t>ć</w:t>
      </w:r>
      <w:r w:rsidRPr="00A52821">
        <w:rPr>
          <w:rFonts w:ascii="Calibri" w:hAnsi="Calibri" w:cs="Calibri"/>
          <w:sz w:val="22"/>
          <w:szCs w:val="22"/>
        </w:rPr>
        <w:t xml:space="preserve"> cen, aktywnoś</w:t>
      </w:r>
      <w:r w:rsidR="00AD783D">
        <w:rPr>
          <w:rFonts w:ascii="Calibri" w:hAnsi="Calibri" w:cs="Calibri"/>
          <w:sz w:val="22"/>
          <w:szCs w:val="22"/>
        </w:rPr>
        <w:t>ć</w:t>
      </w:r>
      <w:r w:rsidRPr="00A52821">
        <w:rPr>
          <w:rFonts w:ascii="Calibri" w:hAnsi="Calibri" w:cs="Calibri"/>
          <w:sz w:val="22"/>
          <w:szCs w:val="22"/>
        </w:rPr>
        <w:t xml:space="preserve"> niezależnych portali monitorujących rynek nieruchomości </w:t>
      </w:r>
      <w:r w:rsidR="00AD783D">
        <w:rPr>
          <w:rFonts w:ascii="Calibri" w:hAnsi="Calibri" w:cs="Calibri"/>
          <w:sz w:val="22"/>
          <w:szCs w:val="22"/>
        </w:rPr>
        <w:t xml:space="preserve">oraz słabość </w:t>
      </w:r>
      <w:r w:rsidRPr="00A52821">
        <w:rPr>
          <w:rFonts w:ascii="Calibri" w:hAnsi="Calibri" w:cs="Calibri"/>
          <w:sz w:val="22"/>
          <w:szCs w:val="22"/>
        </w:rPr>
        <w:t xml:space="preserve">popytu inwestycyjnego. </w:t>
      </w:r>
    </w:p>
    <w:p w14:paraId="180D1E80" w14:textId="277CC0DD" w:rsidR="00E063E7" w:rsidRPr="00877A48" w:rsidRDefault="00E063E7" w:rsidP="00E7239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77A48">
        <w:rPr>
          <w:rFonts w:ascii="Calibri" w:hAnsi="Calibri" w:cs="Calibri"/>
          <w:b/>
          <w:bCs/>
          <w:sz w:val="22"/>
          <w:szCs w:val="22"/>
        </w:rPr>
        <w:t>Dalsza perspektywa</w:t>
      </w:r>
    </w:p>
    <w:p w14:paraId="20643ED3" w14:textId="5E1638AE" w:rsidR="00AD783D" w:rsidRDefault="0004181A" w:rsidP="00E72396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Jeśli chodzi o skalę podaży mieszkań po 2026 r., ekonomiści nie spodziewają się, by na rynek wróciły jeszcze wzrosty podobne do tych z pierwszego dwudziestolecia XXI w. </w:t>
      </w:r>
      <w:r w:rsidR="00D01125" w:rsidRPr="00877A48">
        <w:rPr>
          <w:rFonts w:ascii="Calibri" w:hAnsi="Calibri" w:cs="Calibri"/>
          <w:sz w:val="22"/>
          <w:szCs w:val="22"/>
        </w:rPr>
        <w:t>L</w:t>
      </w:r>
      <w:r w:rsidRPr="00877A48">
        <w:rPr>
          <w:rFonts w:ascii="Calibri" w:hAnsi="Calibri" w:cs="Calibri"/>
          <w:sz w:val="22"/>
          <w:szCs w:val="22"/>
        </w:rPr>
        <w:t>iczba oddawanych lokali pozostanie do końca dekady na poziomie porównywalnym do okresu 2020-</w:t>
      </w:r>
      <w:r w:rsidR="00111049" w:rsidRPr="00877A48">
        <w:rPr>
          <w:rFonts w:ascii="Calibri" w:hAnsi="Calibri" w:cs="Calibri"/>
          <w:sz w:val="22"/>
          <w:szCs w:val="22"/>
        </w:rPr>
        <w:t>20</w:t>
      </w:r>
      <w:r w:rsidRPr="00877A48">
        <w:rPr>
          <w:rFonts w:ascii="Calibri" w:hAnsi="Calibri" w:cs="Calibri"/>
          <w:sz w:val="22"/>
          <w:szCs w:val="22"/>
        </w:rPr>
        <w:t>25</w:t>
      </w:r>
      <w:r w:rsidR="00D01125" w:rsidRPr="00877A48">
        <w:rPr>
          <w:rFonts w:ascii="Calibri" w:hAnsi="Calibri" w:cs="Calibri"/>
          <w:sz w:val="22"/>
          <w:szCs w:val="22"/>
        </w:rPr>
        <w:t xml:space="preserve">. </w:t>
      </w:r>
    </w:p>
    <w:p w14:paraId="141B5D8A" w14:textId="7CB65048" w:rsidR="005F2D2A" w:rsidRPr="00877A48" w:rsidRDefault="00A574D4" w:rsidP="00E72396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Według analityków Alior Banku </w:t>
      </w:r>
      <w:r w:rsidR="00A0521D" w:rsidRPr="00877A48">
        <w:rPr>
          <w:rFonts w:ascii="Calibri" w:hAnsi="Calibri" w:cs="Calibri"/>
          <w:sz w:val="22"/>
          <w:szCs w:val="22"/>
        </w:rPr>
        <w:t>w najbliższych latach</w:t>
      </w:r>
      <w:r w:rsidR="00A0521D" w:rsidRPr="00877A48" w:rsidDel="00AD783D">
        <w:rPr>
          <w:rFonts w:ascii="Calibri" w:hAnsi="Calibri" w:cs="Calibri"/>
          <w:sz w:val="22"/>
          <w:szCs w:val="22"/>
        </w:rPr>
        <w:t xml:space="preserve"> </w:t>
      </w:r>
      <w:r w:rsidR="00AD783D">
        <w:rPr>
          <w:rFonts w:ascii="Calibri" w:hAnsi="Calibri" w:cs="Calibri"/>
          <w:sz w:val="22"/>
          <w:szCs w:val="22"/>
        </w:rPr>
        <w:t xml:space="preserve">można też spodziewać się </w:t>
      </w:r>
      <w:r w:rsidRPr="00877A48">
        <w:rPr>
          <w:rFonts w:ascii="Calibri" w:hAnsi="Calibri" w:cs="Calibri"/>
          <w:sz w:val="22"/>
          <w:szCs w:val="22"/>
        </w:rPr>
        <w:t>konsolidacj</w:t>
      </w:r>
      <w:r w:rsidR="00AD783D">
        <w:rPr>
          <w:rFonts w:ascii="Calibri" w:hAnsi="Calibri" w:cs="Calibri"/>
          <w:sz w:val="22"/>
          <w:szCs w:val="22"/>
        </w:rPr>
        <w:t>i</w:t>
      </w:r>
      <w:r w:rsidRPr="00877A48">
        <w:rPr>
          <w:rFonts w:ascii="Calibri" w:hAnsi="Calibri" w:cs="Calibri"/>
          <w:sz w:val="22"/>
          <w:szCs w:val="22"/>
        </w:rPr>
        <w:t xml:space="preserve"> </w:t>
      </w:r>
      <w:r w:rsidR="00B75366" w:rsidRPr="00877A48">
        <w:rPr>
          <w:rFonts w:ascii="Calibri" w:hAnsi="Calibri" w:cs="Calibri"/>
          <w:sz w:val="22"/>
          <w:szCs w:val="22"/>
        </w:rPr>
        <w:t>sektora</w:t>
      </w:r>
      <w:r w:rsidRPr="00877A48">
        <w:rPr>
          <w:rFonts w:ascii="Calibri" w:hAnsi="Calibri" w:cs="Calibri"/>
          <w:sz w:val="22"/>
          <w:szCs w:val="22"/>
        </w:rPr>
        <w:t xml:space="preserve"> </w:t>
      </w:r>
      <w:r w:rsidR="00F72F26" w:rsidRPr="00877A48">
        <w:rPr>
          <w:rFonts w:ascii="Calibri" w:hAnsi="Calibri" w:cs="Calibri"/>
          <w:sz w:val="22"/>
          <w:szCs w:val="22"/>
        </w:rPr>
        <w:t>deweloperskiego</w:t>
      </w:r>
      <w:r w:rsidRPr="00877A48">
        <w:rPr>
          <w:rFonts w:ascii="Calibri" w:hAnsi="Calibri" w:cs="Calibri"/>
          <w:sz w:val="22"/>
          <w:szCs w:val="22"/>
        </w:rPr>
        <w:t>.</w:t>
      </w:r>
      <w:r w:rsidR="00B75366" w:rsidRPr="00877A48">
        <w:rPr>
          <w:rFonts w:ascii="Calibri" w:hAnsi="Calibri" w:cs="Calibri"/>
          <w:sz w:val="22"/>
          <w:szCs w:val="22"/>
        </w:rPr>
        <w:t xml:space="preserve"> Z</w:t>
      </w:r>
      <w:r w:rsidR="00E372AA" w:rsidRPr="00877A48">
        <w:rPr>
          <w:rFonts w:ascii="Calibri" w:hAnsi="Calibri" w:cs="Calibri"/>
          <w:sz w:val="22"/>
          <w:szCs w:val="22"/>
        </w:rPr>
        <w:t xml:space="preserve"> rynku zniknie wiele małych podmiotów, które zaczęły działalność w szczycie hossy lat 2021-</w:t>
      </w:r>
      <w:r w:rsidR="00D14E28">
        <w:rPr>
          <w:rFonts w:ascii="Calibri" w:hAnsi="Calibri" w:cs="Calibri"/>
          <w:sz w:val="22"/>
          <w:szCs w:val="22"/>
        </w:rPr>
        <w:t>20</w:t>
      </w:r>
      <w:r w:rsidR="00E372AA" w:rsidRPr="00877A48">
        <w:rPr>
          <w:rFonts w:ascii="Calibri" w:hAnsi="Calibri" w:cs="Calibri"/>
          <w:sz w:val="22"/>
          <w:szCs w:val="22"/>
        </w:rPr>
        <w:t>23. Możliwe są też przejęcia całych firm lub wybranych realizowanych przez nie inwestycji. Wybuch konfliktu w Iranie dodatkowo przyspieszy te trendy.</w:t>
      </w:r>
      <w:r w:rsidR="009027FE" w:rsidRPr="00877A48">
        <w:rPr>
          <w:rFonts w:ascii="Calibri" w:hAnsi="Calibri" w:cs="Calibri"/>
          <w:sz w:val="22"/>
          <w:szCs w:val="22"/>
        </w:rPr>
        <w:t xml:space="preserve"> </w:t>
      </w:r>
    </w:p>
    <w:p w14:paraId="0B2FA567" w14:textId="77777777" w:rsidR="000F5E37" w:rsidRDefault="000F5E37" w:rsidP="00E72396">
      <w:pPr>
        <w:jc w:val="both"/>
        <w:rPr>
          <w:rFonts w:ascii="Calibri" w:hAnsi="Calibri" w:cs="Calibri"/>
          <w:sz w:val="22"/>
          <w:szCs w:val="22"/>
        </w:rPr>
      </w:pPr>
    </w:p>
    <w:p w14:paraId="6BDAE397" w14:textId="21F9E76B" w:rsidR="006F3849" w:rsidRPr="00877A48" w:rsidRDefault="00877A48" w:rsidP="00E72396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W nadchodzących latach </w:t>
      </w:r>
      <w:r w:rsidR="00BC562C" w:rsidRPr="00877A48">
        <w:rPr>
          <w:rFonts w:ascii="Calibri" w:hAnsi="Calibri" w:cs="Calibri"/>
          <w:sz w:val="22"/>
          <w:szCs w:val="22"/>
        </w:rPr>
        <w:t>Polski rynek mieszkaniowy czeka</w:t>
      </w:r>
      <w:r w:rsidR="00AD4BCB" w:rsidRPr="00877A48">
        <w:rPr>
          <w:rFonts w:ascii="Calibri" w:hAnsi="Calibri" w:cs="Calibri"/>
          <w:sz w:val="22"/>
          <w:szCs w:val="22"/>
        </w:rPr>
        <w:t xml:space="preserve"> </w:t>
      </w:r>
      <w:r w:rsidR="00BC562C" w:rsidRPr="00877A48">
        <w:rPr>
          <w:rFonts w:ascii="Calibri" w:hAnsi="Calibri" w:cs="Calibri"/>
          <w:sz w:val="22"/>
          <w:szCs w:val="22"/>
        </w:rPr>
        <w:t xml:space="preserve">również </w:t>
      </w:r>
      <w:r w:rsidR="003B2C47" w:rsidRPr="00877A48">
        <w:rPr>
          <w:rFonts w:ascii="Calibri" w:hAnsi="Calibri" w:cs="Calibri"/>
          <w:sz w:val="22"/>
          <w:szCs w:val="22"/>
        </w:rPr>
        <w:t>osiąganie kolejnych punktów nasycenia</w:t>
      </w:r>
      <w:r w:rsidR="00AD4BCB" w:rsidRPr="00877A48">
        <w:rPr>
          <w:rFonts w:ascii="Calibri" w:hAnsi="Calibri" w:cs="Calibri"/>
          <w:sz w:val="22"/>
          <w:szCs w:val="22"/>
        </w:rPr>
        <w:t>. P</w:t>
      </w:r>
      <w:r w:rsidR="001871FA" w:rsidRPr="00877A48">
        <w:rPr>
          <w:rFonts w:ascii="Calibri" w:hAnsi="Calibri" w:cs="Calibri"/>
          <w:sz w:val="22"/>
          <w:szCs w:val="22"/>
        </w:rPr>
        <w:t>opyt utrzyma się jeszcze przez dekadę lub dłużej</w:t>
      </w:r>
      <w:r w:rsidR="00B10CEC" w:rsidRPr="00877A48">
        <w:rPr>
          <w:rFonts w:ascii="Calibri" w:hAnsi="Calibri" w:cs="Calibri"/>
          <w:sz w:val="22"/>
          <w:szCs w:val="22"/>
        </w:rPr>
        <w:t xml:space="preserve"> i to nawet </w:t>
      </w:r>
      <w:r w:rsidR="001871FA" w:rsidRPr="00877A48">
        <w:rPr>
          <w:rFonts w:ascii="Calibri" w:hAnsi="Calibri" w:cs="Calibri"/>
          <w:sz w:val="22"/>
          <w:szCs w:val="22"/>
        </w:rPr>
        <w:t xml:space="preserve">mimo faktu, że </w:t>
      </w:r>
      <w:r w:rsidR="00AD783D">
        <w:rPr>
          <w:rFonts w:ascii="Calibri" w:hAnsi="Calibri" w:cs="Calibri"/>
          <w:sz w:val="22"/>
          <w:szCs w:val="22"/>
        </w:rPr>
        <w:t xml:space="preserve">fundamentalne </w:t>
      </w:r>
      <w:r w:rsidR="00665B88" w:rsidRPr="00877A48">
        <w:rPr>
          <w:rFonts w:ascii="Calibri" w:hAnsi="Calibri" w:cs="Calibri"/>
          <w:sz w:val="22"/>
          <w:szCs w:val="22"/>
        </w:rPr>
        <w:t>zapotrzebowanie</w:t>
      </w:r>
      <w:r w:rsidR="001871FA" w:rsidRPr="00877A48">
        <w:rPr>
          <w:rFonts w:ascii="Calibri" w:hAnsi="Calibri" w:cs="Calibri"/>
          <w:sz w:val="22"/>
          <w:szCs w:val="22"/>
        </w:rPr>
        <w:t xml:space="preserve"> na własne „M” prawdopodobnie zostanie w skali kraju </w:t>
      </w:r>
      <w:r w:rsidR="00665B88" w:rsidRPr="00877A48">
        <w:rPr>
          <w:rFonts w:ascii="Calibri" w:hAnsi="Calibri" w:cs="Calibri"/>
          <w:sz w:val="22"/>
          <w:szCs w:val="22"/>
        </w:rPr>
        <w:t xml:space="preserve">zaspokojone </w:t>
      </w:r>
      <w:r w:rsidR="001871FA" w:rsidRPr="00877A48">
        <w:rPr>
          <w:rFonts w:ascii="Calibri" w:hAnsi="Calibri" w:cs="Calibri"/>
          <w:sz w:val="22"/>
          <w:szCs w:val="22"/>
        </w:rPr>
        <w:t>około 2028</w:t>
      </w:r>
      <w:r w:rsidR="002E3A08" w:rsidRPr="00877A48">
        <w:rPr>
          <w:rFonts w:ascii="Calibri" w:hAnsi="Calibri" w:cs="Calibri"/>
          <w:sz w:val="22"/>
          <w:szCs w:val="22"/>
        </w:rPr>
        <w:t xml:space="preserve"> roku.</w:t>
      </w:r>
      <w:r w:rsidR="001871FA" w:rsidRPr="00877A48">
        <w:rPr>
          <w:rFonts w:ascii="Calibri" w:hAnsi="Calibri" w:cs="Calibri"/>
          <w:sz w:val="22"/>
          <w:szCs w:val="22"/>
        </w:rPr>
        <w:t xml:space="preserve"> </w:t>
      </w:r>
      <w:r w:rsidR="00B20574" w:rsidRPr="00877A48">
        <w:rPr>
          <w:rFonts w:ascii="Calibri" w:hAnsi="Calibri" w:cs="Calibri"/>
          <w:sz w:val="22"/>
          <w:szCs w:val="22"/>
        </w:rPr>
        <w:t xml:space="preserve">Analitycy przewidują </w:t>
      </w:r>
      <w:r w:rsidR="00066DD1">
        <w:rPr>
          <w:rFonts w:ascii="Calibri" w:hAnsi="Calibri" w:cs="Calibri"/>
          <w:sz w:val="22"/>
          <w:szCs w:val="22"/>
        </w:rPr>
        <w:t>także</w:t>
      </w:r>
      <w:r w:rsidR="00066DD1" w:rsidRPr="00877A48">
        <w:rPr>
          <w:rFonts w:ascii="Calibri" w:hAnsi="Calibri" w:cs="Calibri"/>
          <w:sz w:val="22"/>
          <w:szCs w:val="22"/>
        </w:rPr>
        <w:t xml:space="preserve"> </w:t>
      </w:r>
      <w:r w:rsidR="00E8556A" w:rsidRPr="00877A48">
        <w:rPr>
          <w:rFonts w:ascii="Calibri" w:hAnsi="Calibri" w:cs="Calibri"/>
          <w:sz w:val="22"/>
          <w:szCs w:val="22"/>
        </w:rPr>
        <w:t>zmian</w:t>
      </w:r>
      <w:r w:rsidR="00B20574" w:rsidRPr="00877A48">
        <w:rPr>
          <w:rFonts w:ascii="Calibri" w:hAnsi="Calibri" w:cs="Calibri"/>
          <w:sz w:val="22"/>
          <w:szCs w:val="22"/>
        </w:rPr>
        <w:t>y</w:t>
      </w:r>
      <w:r w:rsidR="00E8556A" w:rsidRPr="00877A48">
        <w:rPr>
          <w:rFonts w:ascii="Calibri" w:hAnsi="Calibri" w:cs="Calibri"/>
          <w:sz w:val="22"/>
          <w:szCs w:val="22"/>
        </w:rPr>
        <w:t xml:space="preserve"> w charakterze popytu</w:t>
      </w:r>
      <w:r w:rsidR="003D6DD7" w:rsidRPr="00877A48">
        <w:rPr>
          <w:rFonts w:ascii="Calibri" w:hAnsi="Calibri" w:cs="Calibri"/>
          <w:sz w:val="22"/>
          <w:szCs w:val="22"/>
        </w:rPr>
        <w:t xml:space="preserve">. Według prognoz </w:t>
      </w:r>
      <w:r w:rsidR="00B20574" w:rsidRPr="00877A48">
        <w:rPr>
          <w:rFonts w:ascii="Calibri" w:hAnsi="Calibri" w:cs="Calibri"/>
          <w:sz w:val="22"/>
          <w:szCs w:val="22"/>
        </w:rPr>
        <w:t>wzrosną m.in.</w:t>
      </w:r>
      <w:r w:rsidR="00E8556A" w:rsidRPr="00877A48">
        <w:rPr>
          <w:rFonts w:ascii="Calibri" w:hAnsi="Calibri" w:cs="Calibri"/>
          <w:sz w:val="22"/>
          <w:szCs w:val="22"/>
        </w:rPr>
        <w:t xml:space="preserve"> wymaga</w:t>
      </w:r>
      <w:r w:rsidR="00B20574" w:rsidRPr="00877A48">
        <w:rPr>
          <w:rFonts w:ascii="Calibri" w:hAnsi="Calibri" w:cs="Calibri"/>
          <w:sz w:val="22"/>
          <w:szCs w:val="22"/>
        </w:rPr>
        <w:t>nia</w:t>
      </w:r>
      <w:r w:rsidR="00E8556A" w:rsidRPr="00877A48">
        <w:rPr>
          <w:rFonts w:ascii="Calibri" w:hAnsi="Calibri" w:cs="Calibri"/>
          <w:sz w:val="22"/>
          <w:szCs w:val="22"/>
        </w:rPr>
        <w:t xml:space="preserve"> nabywców</w:t>
      </w:r>
      <w:r w:rsidR="00A22C13" w:rsidRPr="00877A48">
        <w:rPr>
          <w:rFonts w:ascii="Calibri" w:hAnsi="Calibri" w:cs="Calibri"/>
          <w:sz w:val="22"/>
          <w:szCs w:val="22"/>
        </w:rPr>
        <w:t>, którzy</w:t>
      </w:r>
      <w:r w:rsidR="00E8556A" w:rsidRPr="00877A48">
        <w:rPr>
          <w:rFonts w:ascii="Calibri" w:hAnsi="Calibri" w:cs="Calibri"/>
          <w:sz w:val="22"/>
          <w:szCs w:val="22"/>
        </w:rPr>
        <w:t xml:space="preserve"> </w:t>
      </w:r>
      <w:r w:rsidR="000600D3" w:rsidRPr="00877A48">
        <w:rPr>
          <w:rFonts w:ascii="Calibri" w:hAnsi="Calibri" w:cs="Calibri"/>
          <w:sz w:val="22"/>
          <w:szCs w:val="22"/>
        </w:rPr>
        <w:t>poprzez kupno</w:t>
      </w:r>
      <w:r w:rsidR="001712FE" w:rsidRPr="00877A48">
        <w:rPr>
          <w:rFonts w:ascii="Calibri" w:hAnsi="Calibri" w:cs="Calibri"/>
          <w:sz w:val="22"/>
          <w:szCs w:val="22"/>
        </w:rPr>
        <w:t xml:space="preserve"> mieszkani</w:t>
      </w:r>
      <w:r w:rsidR="000600D3" w:rsidRPr="00877A48">
        <w:rPr>
          <w:rFonts w:ascii="Calibri" w:hAnsi="Calibri" w:cs="Calibri"/>
          <w:sz w:val="22"/>
          <w:szCs w:val="22"/>
        </w:rPr>
        <w:t>a</w:t>
      </w:r>
      <w:r w:rsidR="004C1C24" w:rsidRPr="00877A48">
        <w:rPr>
          <w:rFonts w:ascii="Calibri" w:hAnsi="Calibri" w:cs="Calibri"/>
          <w:sz w:val="22"/>
          <w:szCs w:val="22"/>
        </w:rPr>
        <w:t xml:space="preserve"> </w:t>
      </w:r>
      <w:r w:rsidR="001712FE" w:rsidRPr="00877A48">
        <w:rPr>
          <w:rFonts w:ascii="Calibri" w:hAnsi="Calibri" w:cs="Calibri"/>
          <w:sz w:val="22"/>
          <w:szCs w:val="22"/>
        </w:rPr>
        <w:t xml:space="preserve">coraz częściej </w:t>
      </w:r>
      <w:r w:rsidR="004C1C24" w:rsidRPr="00877A48">
        <w:rPr>
          <w:rFonts w:ascii="Calibri" w:hAnsi="Calibri" w:cs="Calibri"/>
          <w:sz w:val="22"/>
          <w:szCs w:val="22"/>
        </w:rPr>
        <w:t>będą chcieli</w:t>
      </w:r>
      <w:r w:rsidR="001712FE" w:rsidRPr="00877A48">
        <w:rPr>
          <w:rFonts w:ascii="Calibri" w:hAnsi="Calibri" w:cs="Calibri"/>
          <w:sz w:val="22"/>
          <w:szCs w:val="22"/>
        </w:rPr>
        <w:t xml:space="preserve"> popraw</w:t>
      </w:r>
      <w:r w:rsidR="004C1C24" w:rsidRPr="00877A48">
        <w:rPr>
          <w:rFonts w:ascii="Calibri" w:hAnsi="Calibri" w:cs="Calibri"/>
          <w:sz w:val="22"/>
          <w:szCs w:val="22"/>
        </w:rPr>
        <w:t>ić</w:t>
      </w:r>
      <w:r w:rsidR="001712FE" w:rsidRPr="00877A48">
        <w:rPr>
          <w:rFonts w:ascii="Calibri" w:hAnsi="Calibri" w:cs="Calibri"/>
          <w:sz w:val="22"/>
          <w:szCs w:val="22"/>
        </w:rPr>
        <w:t xml:space="preserve"> poziom życia.</w:t>
      </w:r>
    </w:p>
    <w:p w14:paraId="215693A0" w14:textId="2C7780D9" w:rsidR="009027FE" w:rsidRPr="00877A48" w:rsidRDefault="004F3E1B" w:rsidP="00E72396">
      <w:pPr>
        <w:jc w:val="both"/>
        <w:rPr>
          <w:rFonts w:ascii="Calibri" w:hAnsi="Calibri" w:cs="Calibri"/>
          <w:sz w:val="22"/>
          <w:szCs w:val="22"/>
        </w:rPr>
      </w:pPr>
      <w:r w:rsidRPr="00877A48">
        <w:rPr>
          <w:rFonts w:ascii="Calibri" w:hAnsi="Calibri" w:cs="Calibri"/>
          <w:sz w:val="22"/>
          <w:szCs w:val="22"/>
        </w:rPr>
        <w:t xml:space="preserve">Znaczący wpływ na te prognozy mogą mieć </w:t>
      </w:r>
      <w:r w:rsidR="0074320E" w:rsidRPr="00877A48">
        <w:rPr>
          <w:rFonts w:ascii="Calibri" w:hAnsi="Calibri" w:cs="Calibri"/>
          <w:sz w:val="22"/>
          <w:szCs w:val="22"/>
        </w:rPr>
        <w:t xml:space="preserve">jednak </w:t>
      </w:r>
      <w:r w:rsidRPr="00877A48">
        <w:rPr>
          <w:rFonts w:ascii="Calibri" w:hAnsi="Calibri" w:cs="Calibri"/>
          <w:sz w:val="22"/>
          <w:szCs w:val="22"/>
        </w:rPr>
        <w:t xml:space="preserve">nadchodzące wybory </w:t>
      </w:r>
      <w:r w:rsidR="006F3849" w:rsidRPr="00877A48">
        <w:rPr>
          <w:rFonts w:ascii="Calibri" w:hAnsi="Calibri" w:cs="Calibri"/>
          <w:sz w:val="22"/>
          <w:szCs w:val="22"/>
        </w:rPr>
        <w:t>parlamentarne</w:t>
      </w:r>
      <w:r w:rsidR="008A4179" w:rsidRPr="00877A48">
        <w:rPr>
          <w:rFonts w:ascii="Calibri" w:hAnsi="Calibri" w:cs="Calibri"/>
          <w:sz w:val="22"/>
          <w:szCs w:val="22"/>
        </w:rPr>
        <w:t>. Według analityków</w:t>
      </w:r>
      <w:r w:rsidR="006F3849" w:rsidRPr="00877A48">
        <w:rPr>
          <w:rFonts w:ascii="Calibri" w:hAnsi="Calibri" w:cs="Calibri"/>
          <w:sz w:val="22"/>
          <w:szCs w:val="22"/>
        </w:rPr>
        <w:t xml:space="preserve"> </w:t>
      </w:r>
      <w:r w:rsidR="008A4179" w:rsidRPr="00877A48">
        <w:rPr>
          <w:rFonts w:ascii="Calibri" w:hAnsi="Calibri" w:cs="Calibri"/>
          <w:sz w:val="22"/>
          <w:szCs w:val="22"/>
        </w:rPr>
        <w:t xml:space="preserve">okres </w:t>
      </w:r>
      <w:r w:rsidR="006F3849" w:rsidRPr="00877A48">
        <w:rPr>
          <w:rFonts w:ascii="Calibri" w:hAnsi="Calibri" w:cs="Calibri"/>
          <w:sz w:val="22"/>
          <w:szCs w:val="22"/>
        </w:rPr>
        <w:t xml:space="preserve">okołowyborczy może sprzyjać zmianom regulacyjnym w dziedzinie mieszkalnictwa. Natomiast w dłuższej perspektywie kluczowe ryzyka to geopolityka i kwestie demograficzne, zwłaszcza skala i kierunek migracji zagranicznych do i z Polski. Prawdopodobieństwo wystąpienia i kierunek oddziaływania każdego z tych </w:t>
      </w:r>
      <w:r w:rsidR="00D33E65" w:rsidRPr="00877A48">
        <w:rPr>
          <w:rFonts w:ascii="Calibri" w:hAnsi="Calibri" w:cs="Calibri"/>
          <w:sz w:val="22"/>
          <w:szCs w:val="22"/>
        </w:rPr>
        <w:t xml:space="preserve">czynników </w:t>
      </w:r>
      <w:r w:rsidR="006F3849" w:rsidRPr="00877A48">
        <w:rPr>
          <w:rFonts w:ascii="Calibri" w:hAnsi="Calibri" w:cs="Calibri"/>
          <w:sz w:val="22"/>
          <w:szCs w:val="22"/>
        </w:rPr>
        <w:t>jest</w:t>
      </w:r>
      <w:r w:rsidR="0018471F" w:rsidRPr="00877A48">
        <w:rPr>
          <w:rFonts w:ascii="Calibri" w:hAnsi="Calibri" w:cs="Calibri"/>
          <w:sz w:val="22"/>
          <w:szCs w:val="22"/>
        </w:rPr>
        <w:t xml:space="preserve"> jednak</w:t>
      </w:r>
      <w:r w:rsidR="006F3849" w:rsidRPr="00877A48">
        <w:rPr>
          <w:rFonts w:ascii="Calibri" w:hAnsi="Calibri" w:cs="Calibri"/>
          <w:sz w:val="22"/>
          <w:szCs w:val="22"/>
        </w:rPr>
        <w:t xml:space="preserve"> trudny do przewidzenia.</w:t>
      </w:r>
    </w:p>
    <w:p w14:paraId="74E7C159" w14:textId="7639BCD2" w:rsidR="00DD77DD" w:rsidRPr="004879D1" w:rsidRDefault="00DD14CD" w:rsidP="006870FD">
      <w:pPr>
        <w:jc w:val="both"/>
        <w:rPr>
          <w:rFonts w:ascii="Calibri" w:hAnsi="Calibri" w:cs="Calibri"/>
          <w:sz w:val="22"/>
          <w:szCs w:val="22"/>
        </w:rPr>
      </w:pPr>
      <w:hyperlink r:id="rId11" w:history="1">
        <w:r w:rsidR="00DD77DD" w:rsidRPr="00DD14CD">
          <w:rPr>
            <w:rStyle w:val="Hipercze"/>
            <w:rFonts w:ascii="Calibri" w:hAnsi="Calibri" w:cs="Calibri"/>
            <w:sz w:val="22"/>
            <w:szCs w:val="22"/>
          </w:rPr>
          <w:t>Pełny raport</w:t>
        </w:r>
      </w:hyperlink>
    </w:p>
    <w:p w14:paraId="586D47F3" w14:textId="1E387748" w:rsidR="0098494D" w:rsidRPr="00E72396" w:rsidRDefault="0098494D" w:rsidP="00E72396">
      <w:pPr>
        <w:jc w:val="both"/>
        <w:rPr>
          <w:rFonts w:ascii="Calibri" w:hAnsi="Calibri" w:cs="Calibri"/>
          <w:sz w:val="22"/>
          <w:szCs w:val="22"/>
        </w:rPr>
      </w:pPr>
    </w:p>
    <w:p w14:paraId="4DA9909E" w14:textId="7175C621" w:rsidR="00520D10" w:rsidRPr="0098494D" w:rsidRDefault="00520D10">
      <w:pPr>
        <w:rPr>
          <w:rFonts w:ascii="Calibri" w:hAnsi="Calibri" w:cs="Calibri"/>
          <w:sz w:val="22"/>
          <w:szCs w:val="22"/>
        </w:rPr>
      </w:pPr>
    </w:p>
    <w:sectPr w:rsidR="00520D10" w:rsidRPr="0098494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87DC" w14:textId="77777777" w:rsidR="00800983" w:rsidRDefault="00800983" w:rsidP="0098494D">
      <w:pPr>
        <w:spacing w:after="0" w:line="240" w:lineRule="auto"/>
      </w:pPr>
      <w:r>
        <w:separator/>
      </w:r>
    </w:p>
  </w:endnote>
  <w:endnote w:type="continuationSeparator" w:id="0">
    <w:p w14:paraId="2D71B671" w14:textId="77777777" w:rsidR="00800983" w:rsidRDefault="00800983" w:rsidP="0098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FC29" w14:textId="77777777" w:rsidR="00BC3787" w:rsidRPr="00694781" w:rsidRDefault="00BC3787" w:rsidP="00BC3787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176992AE" w14:textId="77777777" w:rsidR="00BC3787" w:rsidRPr="00694781" w:rsidRDefault="00BC3787" w:rsidP="00BC3787">
    <w:pPr>
      <w:rPr>
        <w:color w:val="7F7F7F" w:themeColor="text1" w:themeTint="80"/>
        <w:sz w:val="16"/>
        <w:szCs w:val="16"/>
      </w:rPr>
    </w:pPr>
  </w:p>
  <w:p w14:paraId="482CD243" w14:textId="77777777" w:rsidR="00BC3787" w:rsidRPr="00694781" w:rsidRDefault="00BC3787" w:rsidP="00BC3787">
    <w:pPr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0897EFCF" w14:textId="77777777" w:rsidR="00BC3787" w:rsidRDefault="00BC3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D357" w14:textId="77777777" w:rsidR="00800983" w:rsidRDefault="00800983" w:rsidP="0098494D">
      <w:pPr>
        <w:spacing w:after="0" w:line="240" w:lineRule="auto"/>
      </w:pPr>
      <w:r>
        <w:separator/>
      </w:r>
    </w:p>
  </w:footnote>
  <w:footnote w:type="continuationSeparator" w:id="0">
    <w:p w14:paraId="0800ACC9" w14:textId="77777777" w:rsidR="00800983" w:rsidRDefault="00800983" w:rsidP="0098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C37C" w14:textId="6F864061" w:rsidR="0098494D" w:rsidRDefault="0098494D">
    <w:pPr>
      <w:pStyle w:val="Nagwek"/>
    </w:pPr>
    <w:r>
      <w:rPr>
        <w:noProof/>
      </w:rPr>
      <w:drawing>
        <wp:inline distT="0" distB="0" distL="0" distR="0" wp14:anchorId="0C60C207" wp14:editId="77003286">
          <wp:extent cx="1060450" cy="528320"/>
          <wp:effectExtent l="0" t="0" r="6350" b="5080"/>
          <wp:docPr id="6" name="Picture 6" descr="Obraz zawierający żywność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14CBF316-8416-433F-ADC0-77CDF5621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Obraz zawierający żywność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45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45"/>
    <w:rsid w:val="00000402"/>
    <w:rsid w:val="000004B6"/>
    <w:rsid w:val="00000E34"/>
    <w:rsid w:val="0000299C"/>
    <w:rsid w:val="00010E6A"/>
    <w:rsid w:val="00011B21"/>
    <w:rsid w:val="00013244"/>
    <w:rsid w:val="0001446B"/>
    <w:rsid w:val="00024BB3"/>
    <w:rsid w:val="00036309"/>
    <w:rsid w:val="0003748A"/>
    <w:rsid w:val="0004181A"/>
    <w:rsid w:val="000435B4"/>
    <w:rsid w:val="000436EB"/>
    <w:rsid w:val="000569B3"/>
    <w:rsid w:val="00057A17"/>
    <w:rsid w:val="000600D3"/>
    <w:rsid w:val="00061135"/>
    <w:rsid w:val="00065376"/>
    <w:rsid w:val="0006575B"/>
    <w:rsid w:val="00066DD1"/>
    <w:rsid w:val="00070B9B"/>
    <w:rsid w:val="00086AA7"/>
    <w:rsid w:val="00090CDA"/>
    <w:rsid w:val="00093297"/>
    <w:rsid w:val="00093BC1"/>
    <w:rsid w:val="000967F7"/>
    <w:rsid w:val="000A0C4A"/>
    <w:rsid w:val="000A3B37"/>
    <w:rsid w:val="000D606E"/>
    <w:rsid w:val="000E6199"/>
    <w:rsid w:val="000F28A6"/>
    <w:rsid w:val="000F5DB0"/>
    <w:rsid w:val="000F5E37"/>
    <w:rsid w:val="000F6CE2"/>
    <w:rsid w:val="00100481"/>
    <w:rsid w:val="00106B31"/>
    <w:rsid w:val="0010789B"/>
    <w:rsid w:val="00107C68"/>
    <w:rsid w:val="00111049"/>
    <w:rsid w:val="00111779"/>
    <w:rsid w:val="00113FD8"/>
    <w:rsid w:val="00116BB1"/>
    <w:rsid w:val="00120963"/>
    <w:rsid w:val="00121D1C"/>
    <w:rsid w:val="00121F2F"/>
    <w:rsid w:val="0012370A"/>
    <w:rsid w:val="0012474B"/>
    <w:rsid w:val="00124EDA"/>
    <w:rsid w:val="00124F46"/>
    <w:rsid w:val="001305A7"/>
    <w:rsid w:val="00133D49"/>
    <w:rsid w:val="00137EF9"/>
    <w:rsid w:val="001454E0"/>
    <w:rsid w:val="00146962"/>
    <w:rsid w:val="0014794A"/>
    <w:rsid w:val="001552E8"/>
    <w:rsid w:val="00156DF6"/>
    <w:rsid w:val="0016035B"/>
    <w:rsid w:val="00161010"/>
    <w:rsid w:val="001611C5"/>
    <w:rsid w:val="001712FE"/>
    <w:rsid w:val="001715F1"/>
    <w:rsid w:val="001770B0"/>
    <w:rsid w:val="0018067F"/>
    <w:rsid w:val="0018471F"/>
    <w:rsid w:val="001871FA"/>
    <w:rsid w:val="00191E24"/>
    <w:rsid w:val="0019410A"/>
    <w:rsid w:val="001A03F8"/>
    <w:rsid w:val="001A201F"/>
    <w:rsid w:val="001A24CD"/>
    <w:rsid w:val="001B0221"/>
    <w:rsid w:val="001C2FD9"/>
    <w:rsid w:val="001C4BCB"/>
    <w:rsid w:val="001C72A8"/>
    <w:rsid w:val="001D1AFD"/>
    <w:rsid w:val="001D318E"/>
    <w:rsid w:val="001D3AC7"/>
    <w:rsid w:val="001D5D64"/>
    <w:rsid w:val="001E2E89"/>
    <w:rsid w:val="001E5592"/>
    <w:rsid w:val="001F69A5"/>
    <w:rsid w:val="00207B6D"/>
    <w:rsid w:val="002123D3"/>
    <w:rsid w:val="0021411F"/>
    <w:rsid w:val="002146F8"/>
    <w:rsid w:val="0022020B"/>
    <w:rsid w:val="0022086D"/>
    <w:rsid w:val="002226FB"/>
    <w:rsid w:val="00224D68"/>
    <w:rsid w:val="00225401"/>
    <w:rsid w:val="002324F4"/>
    <w:rsid w:val="00235897"/>
    <w:rsid w:val="00236CBC"/>
    <w:rsid w:val="002474D4"/>
    <w:rsid w:val="0025105E"/>
    <w:rsid w:val="00255201"/>
    <w:rsid w:val="002574F1"/>
    <w:rsid w:val="00260050"/>
    <w:rsid w:val="00261812"/>
    <w:rsid w:val="00263B45"/>
    <w:rsid w:val="00264266"/>
    <w:rsid w:val="00267840"/>
    <w:rsid w:val="0027090B"/>
    <w:rsid w:val="00274FC6"/>
    <w:rsid w:val="002761F1"/>
    <w:rsid w:val="002802D6"/>
    <w:rsid w:val="00280445"/>
    <w:rsid w:val="0028142C"/>
    <w:rsid w:val="002826F7"/>
    <w:rsid w:val="00282C27"/>
    <w:rsid w:val="00283D42"/>
    <w:rsid w:val="00286F4F"/>
    <w:rsid w:val="00287B60"/>
    <w:rsid w:val="00292460"/>
    <w:rsid w:val="0029325C"/>
    <w:rsid w:val="00294F48"/>
    <w:rsid w:val="00295E6A"/>
    <w:rsid w:val="00295E6E"/>
    <w:rsid w:val="002960CF"/>
    <w:rsid w:val="0029732E"/>
    <w:rsid w:val="002A2A32"/>
    <w:rsid w:val="002A2D39"/>
    <w:rsid w:val="002B106E"/>
    <w:rsid w:val="002B125E"/>
    <w:rsid w:val="002C4571"/>
    <w:rsid w:val="002C78CD"/>
    <w:rsid w:val="002D7155"/>
    <w:rsid w:val="002E1933"/>
    <w:rsid w:val="002E3A08"/>
    <w:rsid w:val="002E7399"/>
    <w:rsid w:val="002E7AA9"/>
    <w:rsid w:val="002E7C40"/>
    <w:rsid w:val="002F354A"/>
    <w:rsid w:val="002F7AE2"/>
    <w:rsid w:val="0030424A"/>
    <w:rsid w:val="00305418"/>
    <w:rsid w:val="0030629A"/>
    <w:rsid w:val="00310F45"/>
    <w:rsid w:val="00314350"/>
    <w:rsid w:val="00315D0D"/>
    <w:rsid w:val="0032332A"/>
    <w:rsid w:val="00323D1E"/>
    <w:rsid w:val="00323E5F"/>
    <w:rsid w:val="0032472C"/>
    <w:rsid w:val="00326908"/>
    <w:rsid w:val="00332A73"/>
    <w:rsid w:val="0033344F"/>
    <w:rsid w:val="00334B94"/>
    <w:rsid w:val="00336EE8"/>
    <w:rsid w:val="00340C19"/>
    <w:rsid w:val="00343210"/>
    <w:rsid w:val="00360140"/>
    <w:rsid w:val="00361ACE"/>
    <w:rsid w:val="003643D1"/>
    <w:rsid w:val="0037043E"/>
    <w:rsid w:val="0037158E"/>
    <w:rsid w:val="00372219"/>
    <w:rsid w:val="00372EDC"/>
    <w:rsid w:val="0038134E"/>
    <w:rsid w:val="00383800"/>
    <w:rsid w:val="00385774"/>
    <w:rsid w:val="003867E0"/>
    <w:rsid w:val="0039053B"/>
    <w:rsid w:val="003930E4"/>
    <w:rsid w:val="00393CFC"/>
    <w:rsid w:val="003955CA"/>
    <w:rsid w:val="00395B47"/>
    <w:rsid w:val="0039619E"/>
    <w:rsid w:val="00396E19"/>
    <w:rsid w:val="003B2C47"/>
    <w:rsid w:val="003B3A43"/>
    <w:rsid w:val="003B607E"/>
    <w:rsid w:val="003C274A"/>
    <w:rsid w:val="003D3E4D"/>
    <w:rsid w:val="003D3F4A"/>
    <w:rsid w:val="003D40DA"/>
    <w:rsid w:val="003D6C26"/>
    <w:rsid w:val="003D6DD7"/>
    <w:rsid w:val="003D750F"/>
    <w:rsid w:val="003E52B2"/>
    <w:rsid w:val="003E61E1"/>
    <w:rsid w:val="003E6ED7"/>
    <w:rsid w:val="003F0390"/>
    <w:rsid w:val="003F16EA"/>
    <w:rsid w:val="003F38FF"/>
    <w:rsid w:val="003F3FB3"/>
    <w:rsid w:val="004003E1"/>
    <w:rsid w:val="004018FB"/>
    <w:rsid w:val="00417F6A"/>
    <w:rsid w:val="004334A4"/>
    <w:rsid w:val="00435176"/>
    <w:rsid w:val="0044671A"/>
    <w:rsid w:val="00450366"/>
    <w:rsid w:val="004517D1"/>
    <w:rsid w:val="00453342"/>
    <w:rsid w:val="00462DE3"/>
    <w:rsid w:val="0048474D"/>
    <w:rsid w:val="004861BA"/>
    <w:rsid w:val="004879D1"/>
    <w:rsid w:val="004A4500"/>
    <w:rsid w:val="004B2291"/>
    <w:rsid w:val="004B3418"/>
    <w:rsid w:val="004C0855"/>
    <w:rsid w:val="004C1216"/>
    <w:rsid w:val="004C1C24"/>
    <w:rsid w:val="004C2EC9"/>
    <w:rsid w:val="004C53A8"/>
    <w:rsid w:val="004D36E1"/>
    <w:rsid w:val="004D4077"/>
    <w:rsid w:val="004D443C"/>
    <w:rsid w:val="004E01CA"/>
    <w:rsid w:val="004E07A5"/>
    <w:rsid w:val="004E6B64"/>
    <w:rsid w:val="004E6E65"/>
    <w:rsid w:val="004E7E59"/>
    <w:rsid w:val="004F0A4A"/>
    <w:rsid w:val="004F0EC5"/>
    <w:rsid w:val="004F308D"/>
    <w:rsid w:val="004F3AEF"/>
    <w:rsid w:val="004F3E1B"/>
    <w:rsid w:val="0050013E"/>
    <w:rsid w:val="005005D5"/>
    <w:rsid w:val="00503589"/>
    <w:rsid w:val="00504DA2"/>
    <w:rsid w:val="00512046"/>
    <w:rsid w:val="005146A7"/>
    <w:rsid w:val="00514715"/>
    <w:rsid w:val="00520D10"/>
    <w:rsid w:val="00531103"/>
    <w:rsid w:val="0053467A"/>
    <w:rsid w:val="0053490F"/>
    <w:rsid w:val="0053561D"/>
    <w:rsid w:val="005361FF"/>
    <w:rsid w:val="0053644A"/>
    <w:rsid w:val="00541135"/>
    <w:rsid w:val="005430D9"/>
    <w:rsid w:val="00544EDC"/>
    <w:rsid w:val="00545050"/>
    <w:rsid w:val="00550F50"/>
    <w:rsid w:val="00560BD4"/>
    <w:rsid w:val="00570D12"/>
    <w:rsid w:val="005739FB"/>
    <w:rsid w:val="00573B9A"/>
    <w:rsid w:val="00586C95"/>
    <w:rsid w:val="00591EDE"/>
    <w:rsid w:val="005923EB"/>
    <w:rsid w:val="005A17D2"/>
    <w:rsid w:val="005A5424"/>
    <w:rsid w:val="005A6DF5"/>
    <w:rsid w:val="005B0AFA"/>
    <w:rsid w:val="005B0B9B"/>
    <w:rsid w:val="005B1B61"/>
    <w:rsid w:val="005B1EE1"/>
    <w:rsid w:val="005B7153"/>
    <w:rsid w:val="005C35C7"/>
    <w:rsid w:val="005C3837"/>
    <w:rsid w:val="005C41EF"/>
    <w:rsid w:val="005C45DD"/>
    <w:rsid w:val="005C63B1"/>
    <w:rsid w:val="005D44E9"/>
    <w:rsid w:val="005D5913"/>
    <w:rsid w:val="005F18B0"/>
    <w:rsid w:val="005F2228"/>
    <w:rsid w:val="005F2B2C"/>
    <w:rsid w:val="005F2D2A"/>
    <w:rsid w:val="005F3ED9"/>
    <w:rsid w:val="005F46A7"/>
    <w:rsid w:val="00600BEE"/>
    <w:rsid w:val="006029BE"/>
    <w:rsid w:val="00604D0B"/>
    <w:rsid w:val="00604F36"/>
    <w:rsid w:val="00605665"/>
    <w:rsid w:val="00607831"/>
    <w:rsid w:val="006149FE"/>
    <w:rsid w:val="00615D16"/>
    <w:rsid w:val="006162D5"/>
    <w:rsid w:val="00617BF0"/>
    <w:rsid w:val="00622822"/>
    <w:rsid w:val="006236F2"/>
    <w:rsid w:val="0062370D"/>
    <w:rsid w:val="00623989"/>
    <w:rsid w:val="00624668"/>
    <w:rsid w:val="006327B3"/>
    <w:rsid w:val="0064042C"/>
    <w:rsid w:val="00644DC9"/>
    <w:rsid w:val="00646D38"/>
    <w:rsid w:val="006527B7"/>
    <w:rsid w:val="00654981"/>
    <w:rsid w:val="0065631E"/>
    <w:rsid w:val="00661C0E"/>
    <w:rsid w:val="006624EC"/>
    <w:rsid w:val="00662CC0"/>
    <w:rsid w:val="00663208"/>
    <w:rsid w:val="00663692"/>
    <w:rsid w:val="00663FBF"/>
    <w:rsid w:val="006653E0"/>
    <w:rsid w:val="00665B88"/>
    <w:rsid w:val="006747A3"/>
    <w:rsid w:val="006763E4"/>
    <w:rsid w:val="00680768"/>
    <w:rsid w:val="00680E72"/>
    <w:rsid w:val="00682495"/>
    <w:rsid w:val="006870FD"/>
    <w:rsid w:val="00696B74"/>
    <w:rsid w:val="006A341F"/>
    <w:rsid w:val="006A5345"/>
    <w:rsid w:val="006A7868"/>
    <w:rsid w:val="006B0E59"/>
    <w:rsid w:val="006B3C4E"/>
    <w:rsid w:val="006B3EAB"/>
    <w:rsid w:val="006B5A80"/>
    <w:rsid w:val="006C0A62"/>
    <w:rsid w:val="006C1422"/>
    <w:rsid w:val="006C54B7"/>
    <w:rsid w:val="006C5E70"/>
    <w:rsid w:val="006D3260"/>
    <w:rsid w:val="006D3BA8"/>
    <w:rsid w:val="006D4B4E"/>
    <w:rsid w:val="006D59F7"/>
    <w:rsid w:val="006E3328"/>
    <w:rsid w:val="006E3ED3"/>
    <w:rsid w:val="006E50ED"/>
    <w:rsid w:val="006E70BE"/>
    <w:rsid w:val="006F3849"/>
    <w:rsid w:val="006F596A"/>
    <w:rsid w:val="007012D4"/>
    <w:rsid w:val="00701FC9"/>
    <w:rsid w:val="007020BB"/>
    <w:rsid w:val="0070707F"/>
    <w:rsid w:val="00707C3C"/>
    <w:rsid w:val="00710D5F"/>
    <w:rsid w:val="00710DEC"/>
    <w:rsid w:val="00710F9A"/>
    <w:rsid w:val="007172CC"/>
    <w:rsid w:val="0071798A"/>
    <w:rsid w:val="00723286"/>
    <w:rsid w:val="00725B75"/>
    <w:rsid w:val="00727C5A"/>
    <w:rsid w:val="00731450"/>
    <w:rsid w:val="007315DA"/>
    <w:rsid w:val="00735C0E"/>
    <w:rsid w:val="00741444"/>
    <w:rsid w:val="00742148"/>
    <w:rsid w:val="0074320E"/>
    <w:rsid w:val="00747F3C"/>
    <w:rsid w:val="00751127"/>
    <w:rsid w:val="00754293"/>
    <w:rsid w:val="0076206B"/>
    <w:rsid w:val="007620A4"/>
    <w:rsid w:val="007628C4"/>
    <w:rsid w:val="00763CC1"/>
    <w:rsid w:val="007649F3"/>
    <w:rsid w:val="0077155F"/>
    <w:rsid w:val="007736D8"/>
    <w:rsid w:val="00776524"/>
    <w:rsid w:val="00782CD0"/>
    <w:rsid w:val="00783490"/>
    <w:rsid w:val="007840D5"/>
    <w:rsid w:val="00784172"/>
    <w:rsid w:val="00784406"/>
    <w:rsid w:val="0078610F"/>
    <w:rsid w:val="00791002"/>
    <w:rsid w:val="00792011"/>
    <w:rsid w:val="007A2421"/>
    <w:rsid w:val="007A2E4B"/>
    <w:rsid w:val="007A7863"/>
    <w:rsid w:val="007B1F47"/>
    <w:rsid w:val="007B4154"/>
    <w:rsid w:val="007B6AF6"/>
    <w:rsid w:val="007C2295"/>
    <w:rsid w:val="007C4285"/>
    <w:rsid w:val="007C5419"/>
    <w:rsid w:val="007C5915"/>
    <w:rsid w:val="007C785A"/>
    <w:rsid w:val="007C7C12"/>
    <w:rsid w:val="007D3E7A"/>
    <w:rsid w:val="007E0AB6"/>
    <w:rsid w:val="007E1C29"/>
    <w:rsid w:val="007E48AC"/>
    <w:rsid w:val="007E6393"/>
    <w:rsid w:val="007E693A"/>
    <w:rsid w:val="007F456B"/>
    <w:rsid w:val="007F52BB"/>
    <w:rsid w:val="007F5BD3"/>
    <w:rsid w:val="007F7E6A"/>
    <w:rsid w:val="00800983"/>
    <w:rsid w:val="00801FDA"/>
    <w:rsid w:val="00805E6D"/>
    <w:rsid w:val="00811992"/>
    <w:rsid w:val="00813568"/>
    <w:rsid w:val="00814BBB"/>
    <w:rsid w:val="00816E67"/>
    <w:rsid w:val="008410CC"/>
    <w:rsid w:val="00852FC3"/>
    <w:rsid w:val="008604B5"/>
    <w:rsid w:val="00861F7F"/>
    <w:rsid w:val="00864106"/>
    <w:rsid w:val="00865389"/>
    <w:rsid w:val="00867E8D"/>
    <w:rsid w:val="00870B35"/>
    <w:rsid w:val="00871C46"/>
    <w:rsid w:val="00876131"/>
    <w:rsid w:val="00876704"/>
    <w:rsid w:val="00877A48"/>
    <w:rsid w:val="00880F8D"/>
    <w:rsid w:val="00887BD4"/>
    <w:rsid w:val="00890A8A"/>
    <w:rsid w:val="00890C37"/>
    <w:rsid w:val="0089603A"/>
    <w:rsid w:val="008A2899"/>
    <w:rsid w:val="008A4179"/>
    <w:rsid w:val="008B1CF2"/>
    <w:rsid w:val="008B4A49"/>
    <w:rsid w:val="008C62A8"/>
    <w:rsid w:val="008C67D2"/>
    <w:rsid w:val="008C68A9"/>
    <w:rsid w:val="008E3F0F"/>
    <w:rsid w:val="008E58A5"/>
    <w:rsid w:val="008F047D"/>
    <w:rsid w:val="008F05A9"/>
    <w:rsid w:val="008F1839"/>
    <w:rsid w:val="008F4897"/>
    <w:rsid w:val="008F58B5"/>
    <w:rsid w:val="008F59A9"/>
    <w:rsid w:val="009027FE"/>
    <w:rsid w:val="009047C1"/>
    <w:rsid w:val="009075E3"/>
    <w:rsid w:val="009129B3"/>
    <w:rsid w:val="00917419"/>
    <w:rsid w:val="0092117A"/>
    <w:rsid w:val="009231D9"/>
    <w:rsid w:val="00924673"/>
    <w:rsid w:val="00924EFD"/>
    <w:rsid w:val="00932D43"/>
    <w:rsid w:val="0093535B"/>
    <w:rsid w:val="0093710D"/>
    <w:rsid w:val="00937739"/>
    <w:rsid w:val="00943A2B"/>
    <w:rsid w:val="009449E7"/>
    <w:rsid w:val="009453BA"/>
    <w:rsid w:val="0095164D"/>
    <w:rsid w:val="0095281A"/>
    <w:rsid w:val="00954886"/>
    <w:rsid w:val="00960044"/>
    <w:rsid w:val="00962BE2"/>
    <w:rsid w:val="0096304B"/>
    <w:rsid w:val="00967889"/>
    <w:rsid w:val="00980BA8"/>
    <w:rsid w:val="0098146B"/>
    <w:rsid w:val="009843BF"/>
    <w:rsid w:val="0098494D"/>
    <w:rsid w:val="00986EAA"/>
    <w:rsid w:val="0099442D"/>
    <w:rsid w:val="009C33FD"/>
    <w:rsid w:val="009C376E"/>
    <w:rsid w:val="009C4AE0"/>
    <w:rsid w:val="009C61AF"/>
    <w:rsid w:val="009C7EB9"/>
    <w:rsid w:val="009D63A9"/>
    <w:rsid w:val="009F2D6A"/>
    <w:rsid w:val="009F3D54"/>
    <w:rsid w:val="00A00DE1"/>
    <w:rsid w:val="00A0521D"/>
    <w:rsid w:val="00A06C8E"/>
    <w:rsid w:val="00A07CD9"/>
    <w:rsid w:val="00A118EF"/>
    <w:rsid w:val="00A137C5"/>
    <w:rsid w:val="00A14373"/>
    <w:rsid w:val="00A16AFA"/>
    <w:rsid w:val="00A22C13"/>
    <w:rsid w:val="00A237C6"/>
    <w:rsid w:val="00A24985"/>
    <w:rsid w:val="00A26D6F"/>
    <w:rsid w:val="00A35456"/>
    <w:rsid w:val="00A3664B"/>
    <w:rsid w:val="00A37A0F"/>
    <w:rsid w:val="00A504D5"/>
    <w:rsid w:val="00A514C2"/>
    <w:rsid w:val="00A52821"/>
    <w:rsid w:val="00A569DC"/>
    <w:rsid w:val="00A574D4"/>
    <w:rsid w:val="00A62FF2"/>
    <w:rsid w:val="00A66CCA"/>
    <w:rsid w:val="00A67B05"/>
    <w:rsid w:val="00A7289E"/>
    <w:rsid w:val="00A73F77"/>
    <w:rsid w:val="00A748F9"/>
    <w:rsid w:val="00A817C3"/>
    <w:rsid w:val="00A82B1A"/>
    <w:rsid w:val="00A839E5"/>
    <w:rsid w:val="00A85E52"/>
    <w:rsid w:val="00A8610D"/>
    <w:rsid w:val="00A86487"/>
    <w:rsid w:val="00A94B3A"/>
    <w:rsid w:val="00A97BF9"/>
    <w:rsid w:val="00AA1011"/>
    <w:rsid w:val="00AA3426"/>
    <w:rsid w:val="00AA69AB"/>
    <w:rsid w:val="00AA7140"/>
    <w:rsid w:val="00AA79B4"/>
    <w:rsid w:val="00AB7890"/>
    <w:rsid w:val="00AC1BC1"/>
    <w:rsid w:val="00AC4200"/>
    <w:rsid w:val="00AC62C3"/>
    <w:rsid w:val="00AD48EE"/>
    <w:rsid w:val="00AD4BCB"/>
    <w:rsid w:val="00AD5A55"/>
    <w:rsid w:val="00AD65BC"/>
    <w:rsid w:val="00AD783D"/>
    <w:rsid w:val="00AD7D21"/>
    <w:rsid w:val="00AE12C6"/>
    <w:rsid w:val="00AE16BD"/>
    <w:rsid w:val="00AE23A6"/>
    <w:rsid w:val="00AE75B8"/>
    <w:rsid w:val="00AE76E9"/>
    <w:rsid w:val="00AF2A04"/>
    <w:rsid w:val="00AF5BA3"/>
    <w:rsid w:val="00AF6794"/>
    <w:rsid w:val="00AF7567"/>
    <w:rsid w:val="00B0013A"/>
    <w:rsid w:val="00B00535"/>
    <w:rsid w:val="00B02C8F"/>
    <w:rsid w:val="00B03423"/>
    <w:rsid w:val="00B053E1"/>
    <w:rsid w:val="00B05544"/>
    <w:rsid w:val="00B10CEC"/>
    <w:rsid w:val="00B16FED"/>
    <w:rsid w:val="00B20574"/>
    <w:rsid w:val="00B22CC1"/>
    <w:rsid w:val="00B302FA"/>
    <w:rsid w:val="00B3061C"/>
    <w:rsid w:val="00B30FDF"/>
    <w:rsid w:val="00B311A3"/>
    <w:rsid w:val="00B34877"/>
    <w:rsid w:val="00B3661C"/>
    <w:rsid w:val="00B45FA3"/>
    <w:rsid w:val="00B478EC"/>
    <w:rsid w:val="00B509DA"/>
    <w:rsid w:val="00B513ED"/>
    <w:rsid w:val="00B54AA7"/>
    <w:rsid w:val="00B554ED"/>
    <w:rsid w:val="00B72912"/>
    <w:rsid w:val="00B74C3E"/>
    <w:rsid w:val="00B75366"/>
    <w:rsid w:val="00B773DD"/>
    <w:rsid w:val="00B77F8F"/>
    <w:rsid w:val="00B80259"/>
    <w:rsid w:val="00B806C6"/>
    <w:rsid w:val="00B80CC9"/>
    <w:rsid w:val="00B81CD4"/>
    <w:rsid w:val="00B8512F"/>
    <w:rsid w:val="00B87970"/>
    <w:rsid w:val="00B9032D"/>
    <w:rsid w:val="00B960B3"/>
    <w:rsid w:val="00BA0061"/>
    <w:rsid w:val="00BA1358"/>
    <w:rsid w:val="00BA292F"/>
    <w:rsid w:val="00BA5AC3"/>
    <w:rsid w:val="00BA5D64"/>
    <w:rsid w:val="00BB50EF"/>
    <w:rsid w:val="00BB63CF"/>
    <w:rsid w:val="00BC3787"/>
    <w:rsid w:val="00BC4B19"/>
    <w:rsid w:val="00BC562C"/>
    <w:rsid w:val="00BC655E"/>
    <w:rsid w:val="00BD086F"/>
    <w:rsid w:val="00BD2798"/>
    <w:rsid w:val="00BD3764"/>
    <w:rsid w:val="00BE3A2B"/>
    <w:rsid w:val="00BE45D1"/>
    <w:rsid w:val="00BF22D7"/>
    <w:rsid w:val="00BF3CD3"/>
    <w:rsid w:val="00C110BA"/>
    <w:rsid w:val="00C1228A"/>
    <w:rsid w:val="00C13378"/>
    <w:rsid w:val="00C22BC6"/>
    <w:rsid w:val="00C23C26"/>
    <w:rsid w:val="00C23C3F"/>
    <w:rsid w:val="00C24BE9"/>
    <w:rsid w:val="00C328C5"/>
    <w:rsid w:val="00C339B0"/>
    <w:rsid w:val="00C373F4"/>
    <w:rsid w:val="00C41C6B"/>
    <w:rsid w:val="00C55C0E"/>
    <w:rsid w:val="00C6311F"/>
    <w:rsid w:val="00C63332"/>
    <w:rsid w:val="00C65D48"/>
    <w:rsid w:val="00C66942"/>
    <w:rsid w:val="00C676BE"/>
    <w:rsid w:val="00C71521"/>
    <w:rsid w:val="00C743FB"/>
    <w:rsid w:val="00C74612"/>
    <w:rsid w:val="00C773A8"/>
    <w:rsid w:val="00C816C2"/>
    <w:rsid w:val="00C82308"/>
    <w:rsid w:val="00C85507"/>
    <w:rsid w:val="00C86A92"/>
    <w:rsid w:val="00C9089E"/>
    <w:rsid w:val="00C93E89"/>
    <w:rsid w:val="00C95308"/>
    <w:rsid w:val="00CA137E"/>
    <w:rsid w:val="00CA2925"/>
    <w:rsid w:val="00CA6DF6"/>
    <w:rsid w:val="00CA6E97"/>
    <w:rsid w:val="00CB08EC"/>
    <w:rsid w:val="00CB13E4"/>
    <w:rsid w:val="00CB2FA2"/>
    <w:rsid w:val="00CB4322"/>
    <w:rsid w:val="00CB584E"/>
    <w:rsid w:val="00CB6B96"/>
    <w:rsid w:val="00CB75EE"/>
    <w:rsid w:val="00CB7C4D"/>
    <w:rsid w:val="00CC04C9"/>
    <w:rsid w:val="00CC0919"/>
    <w:rsid w:val="00CC144A"/>
    <w:rsid w:val="00CC193C"/>
    <w:rsid w:val="00CC384A"/>
    <w:rsid w:val="00CC4357"/>
    <w:rsid w:val="00CC6B65"/>
    <w:rsid w:val="00CD3800"/>
    <w:rsid w:val="00CD6C44"/>
    <w:rsid w:val="00CE465C"/>
    <w:rsid w:val="00CE7E4F"/>
    <w:rsid w:val="00CF1744"/>
    <w:rsid w:val="00CF3B76"/>
    <w:rsid w:val="00CF5423"/>
    <w:rsid w:val="00D01125"/>
    <w:rsid w:val="00D116DF"/>
    <w:rsid w:val="00D14E28"/>
    <w:rsid w:val="00D2222D"/>
    <w:rsid w:val="00D25EDB"/>
    <w:rsid w:val="00D26119"/>
    <w:rsid w:val="00D26757"/>
    <w:rsid w:val="00D33E65"/>
    <w:rsid w:val="00D4067B"/>
    <w:rsid w:val="00D408C7"/>
    <w:rsid w:val="00D450EF"/>
    <w:rsid w:val="00D45134"/>
    <w:rsid w:val="00D5081E"/>
    <w:rsid w:val="00D50F8C"/>
    <w:rsid w:val="00D51EEB"/>
    <w:rsid w:val="00D5403C"/>
    <w:rsid w:val="00D55FFF"/>
    <w:rsid w:val="00D649EC"/>
    <w:rsid w:val="00D7398E"/>
    <w:rsid w:val="00D743D9"/>
    <w:rsid w:val="00D7473A"/>
    <w:rsid w:val="00D822DF"/>
    <w:rsid w:val="00D832E8"/>
    <w:rsid w:val="00D87FBB"/>
    <w:rsid w:val="00D90781"/>
    <w:rsid w:val="00D90C99"/>
    <w:rsid w:val="00D944BB"/>
    <w:rsid w:val="00D97D7B"/>
    <w:rsid w:val="00DA2FEB"/>
    <w:rsid w:val="00DA6757"/>
    <w:rsid w:val="00DB0EF7"/>
    <w:rsid w:val="00DB1ACB"/>
    <w:rsid w:val="00DB519E"/>
    <w:rsid w:val="00DB5249"/>
    <w:rsid w:val="00DB5561"/>
    <w:rsid w:val="00DB5835"/>
    <w:rsid w:val="00DB7630"/>
    <w:rsid w:val="00DC0323"/>
    <w:rsid w:val="00DC4466"/>
    <w:rsid w:val="00DD14CD"/>
    <w:rsid w:val="00DD77DD"/>
    <w:rsid w:val="00DE13D4"/>
    <w:rsid w:val="00DF121D"/>
    <w:rsid w:val="00DF1252"/>
    <w:rsid w:val="00E01E1E"/>
    <w:rsid w:val="00E063E7"/>
    <w:rsid w:val="00E1300E"/>
    <w:rsid w:val="00E1430E"/>
    <w:rsid w:val="00E1522E"/>
    <w:rsid w:val="00E20001"/>
    <w:rsid w:val="00E2433D"/>
    <w:rsid w:val="00E2548E"/>
    <w:rsid w:val="00E26268"/>
    <w:rsid w:val="00E2658D"/>
    <w:rsid w:val="00E3558B"/>
    <w:rsid w:val="00E372AA"/>
    <w:rsid w:val="00E40569"/>
    <w:rsid w:val="00E45F83"/>
    <w:rsid w:val="00E46D76"/>
    <w:rsid w:val="00E50F67"/>
    <w:rsid w:val="00E70000"/>
    <w:rsid w:val="00E72396"/>
    <w:rsid w:val="00E73F11"/>
    <w:rsid w:val="00E76B0F"/>
    <w:rsid w:val="00E812B6"/>
    <w:rsid w:val="00E82F95"/>
    <w:rsid w:val="00E8556A"/>
    <w:rsid w:val="00E91580"/>
    <w:rsid w:val="00E94BDA"/>
    <w:rsid w:val="00EA648B"/>
    <w:rsid w:val="00EA7DF5"/>
    <w:rsid w:val="00EB0FFC"/>
    <w:rsid w:val="00EB4AD1"/>
    <w:rsid w:val="00EC2526"/>
    <w:rsid w:val="00EC31EB"/>
    <w:rsid w:val="00EC43E0"/>
    <w:rsid w:val="00EC6303"/>
    <w:rsid w:val="00ED1155"/>
    <w:rsid w:val="00EE3C92"/>
    <w:rsid w:val="00EF669A"/>
    <w:rsid w:val="00F04E6D"/>
    <w:rsid w:val="00F05CF7"/>
    <w:rsid w:val="00F05FA0"/>
    <w:rsid w:val="00F0601A"/>
    <w:rsid w:val="00F113D9"/>
    <w:rsid w:val="00F11657"/>
    <w:rsid w:val="00F12B20"/>
    <w:rsid w:val="00F15221"/>
    <w:rsid w:val="00F22514"/>
    <w:rsid w:val="00F2255F"/>
    <w:rsid w:val="00F22C8B"/>
    <w:rsid w:val="00F36791"/>
    <w:rsid w:val="00F36AA7"/>
    <w:rsid w:val="00F40134"/>
    <w:rsid w:val="00F42A45"/>
    <w:rsid w:val="00F4492F"/>
    <w:rsid w:val="00F50FB9"/>
    <w:rsid w:val="00F52164"/>
    <w:rsid w:val="00F53B82"/>
    <w:rsid w:val="00F60475"/>
    <w:rsid w:val="00F65F35"/>
    <w:rsid w:val="00F70794"/>
    <w:rsid w:val="00F71D7C"/>
    <w:rsid w:val="00F72F26"/>
    <w:rsid w:val="00F74B7F"/>
    <w:rsid w:val="00F82386"/>
    <w:rsid w:val="00F8694B"/>
    <w:rsid w:val="00F91223"/>
    <w:rsid w:val="00F954EF"/>
    <w:rsid w:val="00F972AC"/>
    <w:rsid w:val="00F97A94"/>
    <w:rsid w:val="00FA3D2D"/>
    <w:rsid w:val="00FA5D5D"/>
    <w:rsid w:val="00FB039C"/>
    <w:rsid w:val="00FB719C"/>
    <w:rsid w:val="00FC4CEC"/>
    <w:rsid w:val="00FD52E1"/>
    <w:rsid w:val="00FD5740"/>
    <w:rsid w:val="00FD625E"/>
    <w:rsid w:val="00FE3248"/>
    <w:rsid w:val="00FE3B66"/>
    <w:rsid w:val="0C61FE7A"/>
    <w:rsid w:val="208C13D0"/>
    <w:rsid w:val="2544EC20"/>
    <w:rsid w:val="26F61F4A"/>
    <w:rsid w:val="287F354F"/>
    <w:rsid w:val="330E3AA2"/>
    <w:rsid w:val="3C95A7F5"/>
    <w:rsid w:val="42EC64E3"/>
    <w:rsid w:val="44DBF876"/>
    <w:rsid w:val="523CD10A"/>
    <w:rsid w:val="57DE1BFE"/>
    <w:rsid w:val="58E2D236"/>
    <w:rsid w:val="60B182B9"/>
    <w:rsid w:val="64E33517"/>
    <w:rsid w:val="68F4AFD0"/>
    <w:rsid w:val="7A1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F1E9"/>
  <w15:chartTrackingRefBased/>
  <w15:docId w15:val="{FE5AE0B2-95BA-4A22-BF17-B94934C7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445"/>
  </w:style>
  <w:style w:type="paragraph" w:styleId="Nagwek1">
    <w:name w:val="heading 1"/>
    <w:basedOn w:val="Normalny"/>
    <w:next w:val="Normalny"/>
    <w:link w:val="Nagwek1Znak"/>
    <w:uiPriority w:val="9"/>
    <w:qFormat/>
    <w:rsid w:val="0028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4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4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4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4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4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4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4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4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4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4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44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94D"/>
  </w:style>
  <w:style w:type="paragraph" w:styleId="Stopka">
    <w:name w:val="footer"/>
    <w:basedOn w:val="Normalny"/>
    <w:link w:val="StopkaZnak"/>
    <w:uiPriority w:val="99"/>
    <w:unhideWhenUsed/>
    <w:rsid w:val="0098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94D"/>
  </w:style>
  <w:style w:type="character" w:styleId="Odwoaniedokomentarza">
    <w:name w:val="annotation reference"/>
    <w:basedOn w:val="Domylnaczcionkaakapitu"/>
    <w:uiPriority w:val="99"/>
    <w:semiHidden/>
    <w:unhideWhenUsed/>
    <w:rsid w:val="005B1B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B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B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B6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7C1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F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F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5F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14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iorbank.pl/dodatkowe-informacje/informacje/serwis-ekonomiczny/analizy-sektorowe/analizy-sektorowe-2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3F1F8-113E-43D6-9A0C-ABC67826A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3D5FB-9455-4752-88E9-DCA713699382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747E540E-6F64-4E28-B091-8EFCAC5F5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610B20-5A6E-4AF4-96F4-7CA41735DB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838</Words>
  <Characters>5433</Characters>
  <Application>Microsoft Office Word</Application>
  <DocSecurity>0</DocSecurity>
  <Lines>97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5</cp:revision>
  <dcterms:created xsi:type="dcterms:W3CDTF">2026-04-08T11:27:00Z</dcterms:created>
  <dcterms:modified xsi:type="dcterms:W3CDTF">2026-04-09T06:54:00Z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